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line="360" w:lineRule="auto"/>
        <w:jc w:val="center"/>
        <w:rPr>
          <w:rFonts w:hint="eastAsia" w:ascii="宋体" w:hAnsi="宋体"/>
          <w:b/>
          <w:color w:val="auto"/>
          <w:sz w:val="48"/>
          <w:szCs w:val="48"/>
          <w:highlight w:val="none"/>
          <w:lang w:val="en-US" w:eastAsia="zh-CN"/>
        </w:rPr>
      </w:pPr>
      <w:bookmarkStart w:id="5" w:name="_GoBack"/>
      <w:bookmarkEnd w:id="5"/>
    </w:p>
    <w:p>
      <w:pPr>
        <w:tabs>
          <w:tab w:val="left" w:pos="720"/>
        </w:tabs>
        <w:spacing w:line="360" w:lineRule="auto"/>
        <w:jc w:val="center"/>
        <w:rPr>
          <w:rFonts w:hint="eastAsia" w:ascii="宋体" w:hAnsi="宋体"/>
          <w:b/>
          <w:color w:val="auto"/>
          <w:sz w:val="48"/>
          <w:szCs w:val="48"/>
          <w:highlight w:val="none"/>
          <w:lang w:val="en-US" w:eastAsia="zh-CN"/>
        </w:rPr>
      </w:pPr>
    </w:p>
    <w:p>
      <w:pPr>
        <w:pStyle w:val="32"/>
        <w:rPr>
          <w:rFonts w:hint="eastAsia"/>
          <w:highlight w:val="none"/>
          <w:lang w:val="en-US" w:eastAsia="zh-CN"/>
        </w:rPr>
      </w:pPr>
    </w:p>
    <w:p>
      <w:pPr>
        <w:rPr>
          <w:rFonts w:hint="eastAsia"/>
          <w:highlight w:val="none"/>
          <w:lang w:val="en-US" w:eastAsia="zh-CN"/>
        </w:rPr>
      </w:pPr>
    </w:p>
    <w:p>
      <w:pPr>
        <w:pStyle w:val="32"/>
        <w:rPr>
          <w:rFonts w:hint="eastAsia"/>
          <w:highlight w:val="none"/>
          <w:lang w:val="en-US" w:eastAsia="zh-CN"/>
        </w:rPr>
      </w:pPr>
    </w:p>
    <w:p>
      <w:pPr>
        <w:rPr>
          <w:rFonts w:hint="eastAsia"/>
          <w:highlight w:val="none"/>
          <w:lang w:val="en-US" w:eastAsia="zh-CN"/>
        </w:rPr>
      </w:pPr>
    </w:p>
    <w:p>
      <w:pPr>
        <w:pStyle w:val="32"/>
        <w:rPr>
          <w:rFonts w:hint="eastAsia"/>
          <w:highlight w:val="none"/>
          <w:lang w:val="en-US" w:eastAsia="zh-CN"/>
        </w:rPr>
      </w:pPr>
    </w:p>
    <w:p>
      <w:pPr>
        <w:rPr>
          <w:rFonts w:hint="eastAsia"/>
          <w:highlight w:val="none"/>
          <w:lang w:val="en-US" w:eastAsia="zh-CN"/>
        </w:rPr>
      </w:pPr>
    </w:p>
    <w:p>
      <w:pPr>
        <w:pStyle w:val="32"/>
        <w:rPr>
          <w:rFonts w:hint="eastAsia"/>
          <w:highlight w:val="none"/>
          <w:lang w:val="en-US" w:eastAsia="zh-CN"/>
        </w:rPr>
      </w:pPr>
    </w:p>
    <w:p>
      <w:pPr>
        <w:rPr>
          <w:rFonts w:hint="eastAsia"/>
          <w:highlight w:val="none"/>
          <w:lang w:val="en-US" w:eastAsia="zh-CN"/>
        </w:rPr>
      </w:pPr>
    </w:p>
    <w:p>
      <w:pPr>
        <w:pStyle w:val="32"/>
        <w:rPr>
          <w:rFonts w:hint="eastAsia"/>
          <w:highlight w:val="none"/>
          <w:lang w:val="en-US" w:eastAsia="zh-CN"/>
        </w:rPr>
      </w:pPr>
    </w:p>
    <w:p>
      <w:pPr>
        <w:rPr>
          <w:rFonts w:hint="eastAsia"/>
          <w:highlight w:val="none"/>
          <w:lang w:val="en-US" w:eastAsia="zh-CN"/>
        </w:rPr>
      </w:pPr>
    </w:p>
    <w:p>
      <w:pPr>
        <w:pStyle w:val="32"/>
        <w:rPr>
          <w:rFonts w:hint="eastAsia"/>
          <w:highlight w:val="none"/>
          <w:lang w:val="en-US" w:eastAsia="zh-CN"/>
        </w:rPr>
      </w:pPr>
    </w:p>
    <w:p>
      <w:pPr>
        <w:tabs>
          <w:tab w:val="left" w:pos="720"/>
        </w:tabs>
        <w:spacing w:line="360" w:lineRule="auto"/>
        <w:jc w:val="center"/>
        <w:rPr>
          <w:rFonts w:hint="eastAsia" w:ascii="宋体" w:hAnsi="宋体"/>
          <w:b/>
          <w:color w:val="auto"/>
          <w:sz w:val="48"/>
          <w:szCs w:val="48"/>
          <w:highlight w:val="none"/>
          <w:lang w:val="en-US" w:eastAsia="zh-CN"/>
        </w:rPr>
      </w:pPr>
    </w:p>
    <w:p>
      <w:pPr>
        <w:tabs>
          <w:tab w:val="left" w:pos="720"/>
        </w:tabs>
        <w:spacing w:line="360" w:lineRule="auto"/>
        <w:jc w:val="center"/>
        <w:rPr>
          <w:rFonts w:ascii="宋体" w:hAnsi="宋体"/>
          <w:b/>
          <w:color w:val="auto"/>
          <w:sz w:val="48"/>
          <w:szCs w:val="48"/>
          <w:highlight w:val="none"/>
        </w:rPr>
      </w:pPr>
      <w:r>
        <w:rPr>
          <w:rFonts w:hint="eastAsia" w:ascii="宋体" w:hAnsi="宋体"/>
          <w:b/>
          <w:color w:val="auto"/>
          <w:sz w:val="48"/>
          <w:szCs w:val="48"/>
          <w:highlight w:val="none"/>
          <w:lang w:val="en-US" w:eastAsia="zh-CN"/>
        </w:rPr>
        <w:t>第一部分</w:t>
      </w:r>
      <w:r>
        <w:rPr>
          <w:rFonts w:hint="eastAsia" w:ascii="宋体" w:hAnsi="宋体"/>
          <w:b/>
          <w:color w:val="auto"/>
          <w:sz w:val="48"/>
          <w:szCs w:val="48"/>
          <w:highlight w:val="none"/>
        </w:rPr>
        <w:t>、用户需求书</w:t>
      </w:r>
    </w:p>
    <w:p>
      <w:pPr>
        <w:tabs>
          <w:tab w:val="left" w:pos="720"/>
        </w:tabs>
        <w:spacing w:line="360" w:lineRule="auto"/>
        <w:rPr>
          <w:rFonts w:ascii="宋体" w:hAnsi="宋体"/>
          <w:b/>
          <w:color w:val="auto"/>
          <w:sz w:val="48"/>
          <w:szCs w:val="48"/>
          <w:highlight w:val="none"/>
        </w:rPr>
      </w:pPr>
    </w:p>
    <w:p>
      <w:pPr>
        <w:spacing w:line="300" w:lineRule="auto"/>
        <w:rPr>
          <w:rFonts w:ascii="宋体" w:hAnsi="宋体"/>
          <w:b/>
          <w:color w:val="auto"/>
          <w:sz w:val="24"/>
          <w:szCs w:val="24"/>
          <w:highlight w:val="none"/>
        </w:rPr>
      </w:pPr>
      <w:r>
        <w:rPr>
          <w:rFonts w:ascii="宋体" w:hAnsi="宋体"/>
          <w:b/>
          <w:color w:val="auto"/>
          <w:sz w:val="24"/>
          <w:szCs w:val="24"/>
          <w:highlight w:val="none"/>
        </w:rPr>
        <w:br w:type="page"/>
      </w:r>
    </w:p>
    <w:p>
      <w:pPr>
        <w:numPr>
          <w:ilvl w:val="0"/>
          <w:numId w:val="0"/>
        </w:numPr>
        <w:spacing w:line="300" w:lineRule="auto"/>
        <w:jc w:val="center"/>
        <w:rPr>
          <w:rFonts w:hint="eastAsia" w:ascii="宋体" w:hAnsi="宋体"/>
          <w:b/>
          <w:bCs/>
          <w:color w:val="auto"/>
          <w:spacing w:val="10"/>
          <w:kern w:val="0"/>
          <w:sz w:val="28"/>
          <w:szCs w:val="28"/>
          <w:highlight w:val="none"/>
          <w:lang w:val="en-US" w:eastAsia="zh-CN"/>
        </w:rPr>
      </w:pPr>
      <w:r>
        <w:rPr>
          <w:rFonts w:hint="eastAsia" w:ascii="宋体" w:hAnsi="宋体"/>
          <w:b/>
          <w:bCs/>
          <w:color w:val="auto"/>
          <w:spacing w:val="10"/>
          <w:kern w:val="0"/>
          <w:sz w:val="28"/>
          <w:szCs w:val="28"/>
          <w:highlight w:val="none"/>
          <w:lang w:val="en-US" w:eastAsia="zh-CN"/>
        </w:rPr>
        <w:t>用户需求书</w:t>
      </w:r>
    </w:p>
    <w:p>
      <w:pPr>
        <w:spacing w:line="300" w:lineRule="auto"/>
        <w:jc w:val="both"/>
        <w:rPr>
          <w:rFonts w:hint="eastAsia" w:hAnsi="宋体"/>
          <w:color w:val="auto"/>
          <w:sz w:val="24"/>
          <w:szCs w:val="24"/>
          <w:highlight w:val="none"/>
          <w:lang w:val="en-US" w:eastAsia="zh-CN"/>
        </w:rPr>
      </w:pPr>
    </w:p>
    <w:p>
      <w:pPr>
        <w:pStyle w:val="7"/>
        <w:kinsoku w:val="0"/>
        <w:overflowPunct w:val="0"/>
        <w:ind w:left="0" w:firstLine="0"/>
        <w:rPr>
          <w:rFonts w:hAnsi="宋体" w:cs="宋体"/>
          <w:color w:val="auto"/>
          <w:sz w:val="21"/>
          <w:szCs w:val="21"/>
          <w:highlight w:val="none"/>
        </w:rPr>
      </w:pPr>
      <w:bookmarkStart w:id="0" w:name="OLE_LINK3"/>
      <w:r>
        <w:rPr>
          <w:rFonts w:hint="eastAsia" w:hAnsi="宋体" w:cs="宋体"/>
          <w:color w:val="auto"/>
          <w:sz w:val="21"/>
          <w:szCs w:val="21"/>
          <w:highlight w:val="none"/>
        </w:rPr>
        <w:t>附表一：</w:t>
      </w:r>
      <w:r>
        <w:rPr>
          <w:rFonts w:hint="eastAsia" w:hAnsi="宋体"/>
          <w:color w:val="auto"/>
          <w:sz w:val="21"/>
          <w:szCs w:val="21"/>
          <w:highlight w:val="none"/>
          <w:lang w:eastAsia="zh-CN"/>
        </w:rPr>
        <w:t>温度调节设备维修保养服务</w:t>
      </w:r>
    </w:p>
    <w:p>
      <w:pPr>
        <w:ind w:firstLine="0" w:firstLineChars="0"/>
        <w:rPr>
          <w:rFonts w:hint="eastAsia" w:ascii="宋体" w:hAnsi="宋体" w:eastAsia="宋体" w:cs="宋体"/>
          <w:b/>
          <w:bCs/>
          <w:color w:val="auto"/>
          <w:spacing w:val="10"/>
          <w:sz w:val="21"/>
          <w:szCs w:val="21"/>
          <w:highlight w:val="yellow"/>
          <w:lang w:val="en-US" w:eastAsia="zh-CN"/>
        </w:rPr>
      </w:pPr>
      <w:r>
        <w:rPr>
          <w:rFonts w:hint="eastAsia" w:ascii="宋体" w:hAnsi="宋体" w:eastAsia="宋体" w:cs="宋体"/>
          <w:b/>
          <w:bCs/>
          <w:color w:val="auto"/>
          <w:spacing w:val="10"/>
          <w:sz w:val="21"/>
          <w:szCs w:val="21"/>
          <w:highlight w:val="yellow"/>
          <w:lang w:val="en-US" w:eastAsia="zh-CN"/>
        </w:rPr>
        <w:t>1、</w:t>
      </w:r>
      <w:r>
        <w:rPr>
          <w:rFonts w:hint="eastAsia" w:ascii="宋体" w:hAnsi="宋体" w:eastAsia="宋体" w:cs="宋体"/>
          <w:b/>
          <w:bCs/>
          <w:color w:val="auto"/>
          <w:spacing w:val="10"/>
          <w:sz w:val="21"/>
          <w:szCs w:val="21"/>
          <w:highlight w:val="yellow"/>
        </w:rPr>
        <w:t>投标人应对以下《用户需求书》的全部内容，逐条响应并填写《格式</w:t>
      </w:r>
      <w:r>
        <w:rPr>
          <w:rFonts w:hint="eastAsia" w:ascii="宋体" w:hAnsi="宋体" w:eastAsia="宋体" w:cs="宋体"/>
          <w:b/>
          <w:bCs/>
          <w:color w:val="auto"/>
          <w:spacing w:val="10"/>
          <w:sz w:val="21"/>
          <w:szCs w:val="21"/>
          <w:highlight w:val="yellow"/>
          <w:lang w:eastAsia="zh-CN"/>
        </w:rPr>
        <w:t>十六</w:t>
      </w:r>
      <w:r>
        <w:rPr>
          <w:rFonts w:hint="eastAsia" w:ascii="宋体" w:hAnsi="宋体" w:eastAsia="宋体" w:cs="宋体"/>
          <w:b/>
          <w:bCs/>
          <w:color w:val="auto"/>
          <w:spacing w:val="10"/>
          <w:sz w:val="21"/>
          <w:szCs w:val="21"/>
          <w:highlight w:val="yellow"/>
        </w:rPr>
        <w:t>：技术和服务要求响应表》，仅对其中部分技术或服务内容的响应都被视为无效投标。</w:t>
      </w:r>
    </w:p>
    <w:p>
      <w:pPr>
        <w:widowControl w:val="0"/>
        <w:autoSpaceDE w:val="0"/>
        <w:autoSpaceDN w:val="0"/>
        <w:adjustRightInd w:val="0"/>
        <w:ind w:left="0" w:leftChars="0" w:firstLine="0" w:firstLineChars="0"/>
        <w:rPr>
          <w:rFonts w:hint="eastAsia" w:ascii="宋体" w:hAnsi="宋体" w:eastAsia="宋体" w:cs="宋体"/>
          <w:b/>
          <w:bCs/>
          <w:color w:val="auto"/>
          <w:kern w:val="2"/>
          <w:sz w:val="21"/>
          <w:szCs w:val="21"/>
          <w:highlight w:val="yellow"/>
          <w:lang w:val="en-US" w:eastAsia="zh-CN" w:bidi="ar-SA"/>
        </w:rPr>
      </w:pPr>
      <w:r>
        <w:rPr>
          <w:rFonts w:hint="eastAsia" w:ascii="宋体" w:hAnsi="宋体" w:eastAsia="宋体" w:cs="宋体"/>
          <w:b w:val="0"/>
          <w:bCs w:val="0"/>
          <w:color w:val="auto"/>
          <w:spacing w:val="0"/>
          <w:kern w:val="2"/>
          <w:sz w:val="21"/>
          <w:szCs w:val="21"/>
          <w:highlight w:val="yellow"/>
          <w:lang w:val="en-US" w:eastAsia="zh-CN" w:bidi="ar-SA"/>
        </w:rPr>
        <w:t>2、本项目采购类型属于</w:t>
      </w:r>
      <w:r>
        <w:rPr>
          <w:rFonts w:hint="eastAsia" w:ascii="宋体" w:hAnsi="宋体" w:eastAsia="宋体" w:cs="宋体"/>
          <w:b/>
          <w:bCs/>
          <w:color w:val="auto"/>
          <w:spacing w:val="0"/>
          <w:kern w:val="2"/>
          <w:sz w:val="21"/>
          <w:szCs w:val="21"/>
          <w:highlight w:val="yellow"/>
          <w:u w:val="single"/>
          <w:lang w:val="en-US" w:eastAsia="zh-CN" w:bidi="ar-SA"/>
        </w:rPr>
        <w:t>服务</w:t>
      </w:r>
      <w:r>
        <w:rPr>
          <w:rFonts w:hint="eastAsia" w:ascii="宋体" w:hAnsi="宋体" w:eastAsia="宋体" w:cs="宋体"/>
          <w:b w:val="0"/>
          <w:bCs w:val="0"/>
          <w:color w:val="auto"/>
          <w:spacing w:val="0"/>
          <w:kern w:val="2"/>
          <w:sz w:val="21"/>
          <w:szCs w:val="21"/>
          <w:highlight w:val="yellow"/>
          <w:lang w:val="en-US" w:eastAsia="zh-CN" w:bidi="ar-SA"/>
        </w:rPr>
        <w:t>，如需提供中小企业声明函的，应按招标文件</w:t>
      </w:r>
      <w:r>
        <w:rPr>
          <w:rFonts w:hint="eastAsia" w:ascii="宋体" w:hAnsi="宋体" w:eastAsia="宋体" w:cs="宋体"/>
          <w:b/>
          <w:bCs/>
          <w:color w:val="auto"/>
          <w:spacing w:val="10"/>
          <w:sz w:val="21"/>
          <w:szCs w:val="21"/>
          <w:highlight w:val="yellow"/>
          <w:lang w:eastAsia="zh-CN"/>
        </w:rPr>
        <w:t>《</w:t>
      </w:r>
      <w:r>
        <w:rPr>
          <w:rFonts w:hint="eastAsia" w:ascii="宋体" w:hAnsi="宋体" w:eastAsia="宋体" w:cs="宋体"/>
          <w:b/>
          <w:bCs/>
          <w:color w:val="auto"/>
          <w:spacing w:val="10"/>
          <w:sz w:val="21"/>
          <w:szCs w:val="21"/>
          <w:highlight w:val="yellow"/>
          <w:lang w:val="en-US" w:eastAsia="zh-CN"/>
        </w:rPr>
        <w:t>格式十一：中小企业声明函</w:t>
      </w:r>
      <w:r>
        <w:rPr>
          <w:rFonts w:hint="eastAsia" w:ascii="宋体" w:hAnsi="宋体" w:eastAsia="宋体" w:cs="宋体"/>
          <w:b/>
          <w:bCs/>
          <w:color w:val="auto"/>
          <w:spacing w:val="10"/>
          <w:sz w:val="21"/>
          <w:szCs w:val="21"/>
          <w:highlight w:val="yellow"/>
          <w:lang w:eastAsia="zh-CN"/>
        </w:rPr>
        <w:t>》</w:t>
      </w:r>
      <w:r>
        <w:rPr>
          <w:rFonts w:hint="eastAsia" w:ascii="宋体" w:hAnsi="宋体" w:eastAsia="宋体" w:cs="宋体"/>
          <w:b/>
          <w:bCs/>
          <w:color w:val="000000" w:themeColor="text1"/>
          <w:spacing w:val="10"/>
          <w:sz w:val="21"/>
          <w:szCs w:val="21"/>
          <w:highlight w:val="yellow"/>
          <w14:textFill>
            <w14:solidFill>
              <w14:schemeClr w14:val="tx1"/>
            </w14:solidFill>
          </w14:textFill>
        </w:rPr>
        <w:t>（工程、服务）</w:t>
      </w:r>
      <w:r>
        <w:rPr>
          <w:rFonts w:hint="eastAsia" w:ascii="宋体" w:hAnsi="宋体" w:eastAsia="宋体" w:cs="宋体"/>
          <w:b w:val="0"/>
          <w:bCs w:val="0"/>
          <w:color w:val="auto"/>
          <w:spacing w:val="0"/>
          <w:kern w:val="2"/>
          <w:sz w:val="21"/>
          <w:szCs w:val="21"/>
          <w:highlight w:val="yellow"/>
          <w:lang w:val="en-US" w:eastAsia="zh-CN" w:bidi="ar-SA"/>
        </w:rPr>
        <w:t>格式提供。</w:t>
      </w:r>
    </w:p>
    <w:p>
      <w:pPr>
        <w:spacing w:line="300" w:lineRule="auto"/>
        <w:ind w:firstLine="460" w:firstLineChars="200"/>
        <w:rPr>
          <w:rFonts w:hAnsi="宋体"/>
          <w:color w:val="auto"/>
          <w:spacing w:val="10"/>
          <w:sz w:val="21"/>
          <w:szCs w:val="21"/>
          <w:highlight w:val="none"/>
        </w:rPr>
      </w:pPr>
    </w:p>
    <w:p>
      <w:pPr>
        <w:keepLines w:val="0"/>
        <w:pageBreakBefore w:val="0"/>
        <w:widowControl w:val="0"/>
        <w:kinsoku/>
        <w:wordWrap/>
        <w:overflowPunct/>
        <w:topLinePunct w:val="0"/>
        <w:autoSpaceDE w:val="0"/>
        <w:autoSpaceDN w:val="0"/>
        <w:bidi w:val="0"/>
        <w:adjustRightInd w:val="0"/>
        <w:spacing w:before="25" w:after="25"/>
        <w:ind w:firstLine="462" w:firstLineChars="200"/>
        <w:rPr>
          <w:rFonts w:ascii="Times New Roman" w:hAnsi="Times New Roman" w:cs="Times New Roman" w:eastAsiaTheme="minorEastAsia"/>
          <w:b/>
          <w:bCs w:val="0"/>
          <w:spacing w:val="10"/>
          <w:sz w:val="21"/>
          <w:szCs w:val="21"/>
          <w:highlight w:val="none"/>
          <w:lang w:val="en-US" w:eastAsia="zh-CN" w:bidi="ar-SA"/>
        </w:rPr>
      </w:pPr>
      <w:r>
        <w:rPr>
          <w:rFonts w:ascii="Times New Roman" w:hAnsi="Times New Roman" w:cs="Times New Roman" w:eastAsiaTheme="minorEastAsia"/>
          <w:b/>
          <w:bCs w:val="0"/>
          <w:spacing w:val="10"/>
          <w:sz w:val="21"/>
          <w:szCs w:val="21"/>
          <w:highlight w:val="none"/>
          <w:lang w:val="en-US" w:eastAsia="zh-CN" w:bidi="ar-SA"/>
        </w:rPr>
        <w:t>一、采购清单</w:t>
      </w:r>
    </w:p>
    <w:p>
      <w:pPr>
        <w:keepLines w:val="0"/>
        <w:pageBreakBefore w:val="0"/>
        <w:widowControl w:val="0"/>
        <w:kinsoku/>
        <w:wordWrap/>
        <w:overflowPunct/>
        <w:topLinePunct w:val="0"/>
        <w:autoSpaceDE w:val="0"/>
        <w:autoSpaceDN w:val="0"/>
        <w:bidi w:val="0"/>
        <w:adjustRightInd w:val="0"/>
        <w:spacing w:before="25" w:after="25"/>
        <w:ind w:firstLine="460" w:firstLineChars="200"/>
        <w:rPr>
          <w:rFonts w:ascii="Times New Roman" w:hAnsi="Times New Roman" w:cs="Times New Roman" w:eastAsiaTheme="minorEastAsia"/>
          <w:bCs/>
          <w:spacing w:val="10"/>
          <w:sz w:val="21"/>
          <w:szCs w:val="21"/>
          <w:highlight w:val="none"/>
          <w:lang w:val="en-US" w:eastAsia="zh-CN" w:bidi="ar-SA"/>
        </w:rPr>
      </w:pPr>
      <w:r>
        <w:rPr>
          <w:rFonts w:hint="eastAsia" w:ascii="Times New Roman" w:hAnsi="Times New Roman" w:cs="Times New Roman" w:eastAsiaTheme="minorEastAsia"/>
          <w:bCs/>
          <w:spacing w:val="10"/>
          <w:sz w:val="21"/>
          <w:szCs w:val="21"/>
          <w:highlight w:val="none"/>
          <w:lang w:val="en-US" w:eastAsia="zh-CN" w:bidi="ar-SA"/>
        </w:rPr>
        <w:t>广州市第一人民医院温度调节设备维修保养服务</w:t>
      </w:r>
      <w:r>
        <w:rPr>
          <w:rFonts w:ascii="Times New Roman" w:hAnsi="Times New Roman" w:cs="Times New Roman" w:eastAsiaTheme="minorEastAsia"/>
          <w:bCs/>
          <w:spacing w:val="10"/>
          <w:sz w:val="21"/>
          <w:szCs w:val="21"/>
          <w:highlight w:val="none"/>
          <w:lang w:val="en-US" w:eastAsia="zh-CN" w:bidi="ar-SA"/>
        </w:rPr>
        <w:t>确定一家中标人，为采购人提供温度调节设备维修保养服务，采购清单</w:t>
      </w:r>
      <w:r>
        <w:rPr>
          <w:rFonts w:hint="eastAsia" w:ascii="Times New Roman" w:hAnsi="Times New Roman" w:cs="Times New Roman" w:eastAsiaTheme="minorEastAsia"/>
          <w:bCs/>
          <w:spacing w:val="10"/>
          <w:sz w:val="21"/>
          <w:szCs w:val="21"/>
          <w:highlight w:val="none"/>
          <w:lang w:val="en-US" w:eastAsia="zh-CN" w:bidi="ar-SA"/>
        </w:rPr>
        <w:t>见表1。</w:t>
      </w:r>
    </w:p>
    <w:p>
      <w:pPr>
        <w:keepLines w:val="0"/>
        <w:pageBreakBefore w:val="0"/>
        <w:widowControl w:val="0"/>
        <w:kinsoku/>
        <w:wordWrap/>
        <w:overflowPunct/>
        <w:topLinePunct w:val="0"/>
        <w:autoSpaceDE w:val="0"/>
        <w:autoSpaceDN w:val="0"/>
        <w:bidi w:val="0"/>
        <w:adjustRightInd w:val="0"/>
        <w:spacing w:before="25" w:after="25"/>
        <w:ind w:firstLine="460" w:firstLineChars="200"/>
        <w:rPr>
          <w:rFonts w:ascii="Times New Roman" w:hAnsi="Times New Roman" w:cs="Times New Roman" w:eastAsiaTheme="minorEastAsia"/>
          <w:bCs/>
          <w:spacing w:val="10"/>
          <w:sz w:val="21"/>
          <w:szCs w:val="21"/>
          <w:highlight w:val="none"/>
          <w:lang w:val="en-US" w:eastAsia="zh-CN" w:bidi="ar-SA"/>
        </w:rPr>
      </w:pPr>
    </w:p>
    <w:p>
      <w:pPr>
        <w:keepLines w:val="0"/>
        <w:pageBreakBefore w:val="0"/>
        <w:widowControl w:val="0"/>
        <w:kinsoku/>
        <w:wordWrap/>
        <w:overflowPunct/>
        <w:topLinePunct w:val="0"/>
        <w:autoSpaceDE w:val="0"/>
        <w:autoSpaceDN w:val="0"/>
        <w:bidi w:val="0"/>
        <w:adjustRightInd w:val="0"/>
        <w:spacing w:before="25" w:after="25"/>
        <w:ind w:firstLine="460" w:firstLineChars="200"/>
        <w:rPr>
          <w:rFonts w:ascii="Times New Roman" w:hAnsi="Times New Roman" w:cs="Times New Roman" w:eastAsiaTheme="minorEastAsia"/>
          <w:bCs/>
          <w:spacing w:val="10"/>
          <w:sz w:val="21"/>
          <w:szCs w:val="21"/>
          <w:highlight w:val="none"/>
          <w:lang w:val="en-US" w:eastAsia="zh-CN" w:bidi="ar-SA"/>
        </w:rPr>
      </w:pPr>
      <w:r>
        <w:rPr>
          <w:rFonts w:ascii="Times New Roman" w:hAnsi="Times New Roman" w:cs="Times New Roman" w:eastAsiaTheme="minorEastAsia"/>
          <w:bCs/>
          <w:spacing w:val="10"/>
          <w:sz w:val="21"/>
          <w:szCs w:val="21"/>
          <w:highlight w:val="none"/>
          <w:lang w:val="en-US" w:eastAsia="zh-CN" w:bidi="ar-SA"/>
        </w:rPr>
        <w:t>表1.采购清单</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1165"/>
        <w:gridCol w:w="730"/>
        <w:gridCol w:w="2219"/>
        <w:gridCol w:w="1251"/>
        <w:gridCol w:w="3296"/>
        <w:gridCol w:w="1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650" w:type="dxa"/>
            <w:shd w:val="clear" w:color="auto" w:fill="EEECE1"/>
            <w:vAlign w:val="center"/>
          </w:tcPr>
          <w:p>
            <w:pPr>
              <w:keepLines w:val="0"/>
              <w:pageBreakBefore w:val="0"/>
              <w:kinsoku/>
              <w:wordWrap/>
              <w:overflowPunct/>
              <w:topLinePunct w:val="0"/>
              <w:bidi w:val="0"/>
              <w:jc w:val="center"/>
              <w:rPr>
                <w:rFonts w:ascii="Times New Roman" w:hAnsi="Times New Roman" w:cs="Times New Roman" w:eastAsiaTheme="minorEastAsia"/>
                <w:b/>
                <w:kern w:val="2"/>
                <w:sz w:val="21"/>
                <w:szCs w:val="21"/>
                <w:highlight w:val="none"/>
              </w:rPr>
            </w:pPr>
            <w:r>
              <w:rPr>
                <w:rFonts w:ascii="Times New Roman" w:hAnsi="Times New Roman" w:cs="Times New Roman" w:eastAsiaTheme="minorEastAsia"/>
                <w:b/>
                <w:kern w:val="2"/>
                <w:sz w:val="21"/>
                <w:szCs w:val="21"/>
                <w:highlight w:val="none"/>
              </w:rPr>
              <w:t>序号</w:t>
            </w:r>
          </w:p>
        </w:tc>
        <w:tc>
          <w:tcPr>
            <w:tcW w:w="1165" w:type="dxa"/>
            <w:shd w:val="clear" w:color="auto" w:fill="EEECE1"/>
            <w:vAlign w:val="center"/>
          </w:tcPr>
          <w:p>
            <w:pPr>
              <w:keepLines w:val="0"/>
              <w:pageBreakBefore w:val="0"/>
              <w:kinsoku/>
              <w:wordWrap/>
              <w:overflowPunct/>
              <w:topLinePunct w:val="0"/>
              <w:bidi w:val="0"/>
              <w:jc w:val="center"/>
              <w:rPr>
                <w:rFonts w:ascii="Times New Roman" w:hAnsi="Times New Roman" w:cs="Times New Roman" w:eastAsiaTheme="minorEastAsia"/>
                <w:b/>
                <w:kern w:val="2"/>
                <w:sz w:val="21"/>
                <w:szCs w:val="21"/>
                <w:highlight w:val="none"/>
              </w:rPr>
            </w:pPr>
            <w:r>
              <w:rPr>
                <w:rFonts w:ascii="Times New Roman" w:hAnsi="Times New Roman" w:cs="Times New Roman" w:eastAsiaTheme="minorEastAsia"/>
                <w:b/>
                <w:kern w:val="2"/>
                <w:sz w:val="21"/>
                <w:szCs w:val="21"/>
                <w:highlight w:val="none"/>
              </w:rPr>
              <w:t>采购内容</w:t>
            </w:r>
          </w:p>
        </w:tc>
        <w:tc>
          <w:tcPr>
            <w:tcW w:w="730" w:type="dxa"/>
            <w:shd w:val="clear" w:color="auto" w:fill="EEECE1"/>
            <w:vAlign w:val="center"/>
          </w:tcPr>
          <w:p>
            <w:pPr>
              <w:keepLines w:val="0"/>
              <w:pageBreakBefore w:val="0"/>
              <w:kinsoku/>
              <w:wordWrap/>
              <w:overflowPunct/>
              <w:topLinePunct w:val="0"/>
              <w:bidi w:val="0"/>
              <w:jc w:val="center"/>
              <w:rPr>
                <w:rFonts w:ascii="Times New Roman" w:hAnsi="Times New Roman" w:cs="Times New Roman" w:eastAsiaTheme="minorEastAsia"/>
                <w:b/>
                <w:kern w:val="2"/>
                <w:sz w:val="21"/>
                <w:szCs w:val="21"/>
                <w:highlight w:val="none"/>
              </w:rPr>
            </w:pPr>
            <w:r>
              <w:rPr>
                <w:rFonts w:ascii="Times New Roman" w:hAnsi="Times New Roman" w:cs="Times New Roman" w:eastAsiaTheme="minorEastAsia"/>
                <w:b/>
                <w:kern w:val="2"/>
                <w:sz w:val="21"/>
                <w:szCs w:val="21"/>
                <w:highlight w:val="none"/>
              </w:rPr>
              <w:t>数量</w:t>
            </w:r>
          </w:p>
        </w:tc>
        <w:tc>
          <w:tcPr>
            <w:tcW w:w="2219" w:type="dxa"/>
            <w:shd w:val="clear" w:color="auto" w:fill="EEECE1"/>
            <w:vAlign w:val="center"/>
          </w:tcPr>
          <w:p>
            <w:pPr>
              <w:keepLines w:val="0"/>
              <w:pageBreakBefore w:val="0"/>
              <w:kinsoku/>
              <w:wordWrap/>
              <w:overflowPunct/>
              <w:topLinePunct w:val="0"/>
              <w:bidi w:val="0"/>
              <w:jc w:val="center"/>
              <w:rPr>
                <w:rFonts w:hint="eastAsia" w:ascii="Times New Roman" w:hAnsi="Times New Roman" w:cs="Times New Roman" w:eastAsiaTheme="minorEastAsia"/>
                <w:b/>
                <w:kern w:val="2"/>
                <w:sz w:val="21"/>
                <w:szCs w:val="21"/>
                <w:highlight w:val="none"/>
                <w:lang w:eastAsia="zh-CN"/>
              </w:rPr>
            </w:pPr>
            <w:r>
              <w:rPr>
                <w:rFonts w:ascii="Times New Roman" w:hAnsi="Times New Roman" w:cs="Times New Roman" w:eastAsiaTheme="minorEastAsia"/>
                <w:b/>
                <w:kern w:val="2"/>
                <w:sz w:val="21"/>
                <w:szCs w:val="21"/>
                <w:highlight w:val="none"/>
              </w:rPr>
              <w:t>服务</w:t>
            </w:r>
            <w:r>
              <w:rPr>
                <w:rFonts w:hint="eastAsia" w:ascii="Times New Roman" w:hAnsi="Times New Roman" w:cs="Times New Roman" w:eastAsiaTheme="minorEastAsia"/>
                <w:b/>
                <w:kern w:val="2"/>
                <w:sz w:val="21"/>
                <w:szCs w:val="21"/>
                <w:highlight w:val="none"/>
                <w:lang w:val="en-US" w:eastAsia="zh-CN"/>
              </w:rPr>
              <w:t>期限</w:t>
            </w:r>
          </w:p>
        </w:tc>
        <w:tc>
          <w:tcPr>
            <w:tcW w:w="1251" w:type="dxa"/>
            <w:shd w:val="clear" w:color="auto" w:fill="EEECE1"/>
            <w:vAlign w:val="center"/>
          </w:tcPr>
          <w:p>
            <w:pPr>
              <w:keepLines w:val="0"/>
              <w:pageBreakBefore w:val="0"/>
              <w:kinsoku/>
              <w:wordWrap/>
              <w:overflowPunct/>
              <w:topLinePunct w:val="0"/>
              <w:bidi w:val="0"/>
              <w:jc w:val="center"/>
              <w:rPr>
                <w:rFonts w:ascii="Times New Roman" w:hAnsi="Times New Roman" w:cs="Times New Roman" w:eastAsiaTheme="minorEastAsia"/>
                <w:b/>
                <w:kern w:val="2"/>
                <w:sz w:val="21"/>
                <w:szCs w:val="21"/>
                <w:highlight w:val="none"/>
              </w:rPr>
            </w:pPr>
            <w:r>
              <w:rPr>
                <w:rFonts w:hint="eastAsia" w:ascii="Times New Roman" w:hAnsi="Times New Roman" w:cs="Times New Roman" w:eastAsiaTheme="minorEastAsia"/>
                <w:b/>
                <w:kern w:val="2"/>
                <w:sz w:val="21"/>
                <w:szCs w:val="21"/>
                <w:highlight w:val="none"/>
              </w:rPr>
              <w:t>采购预算（元）</w:t>
            </w:r>
          </w:p>
        </w:tc>
        <w:tc>
          <w:tcPr>
            <w:tcW w:w="3296" w:type="dxa"/>
            <w:shd w:val="clear" w:color="auto" w:fill="EEECE1"/>
            <w:vAlign w:val="center"/>
          </w:tcPr>
          <w:p>
            <w:pPr>
              <w:keepLines w:val="0"/>
              <w:pageBreakBefore w:val="0"/>
              <w:kinsoku/>
              <w:wordWrap/>
              <w:overflowPunct/>
              <w:topLinePunct w:val="0"/>
              <w:bidi w:val="0"/>
              <w:jc w:val="center"/>
              <w:rPr>
                <w:rFonts w:ascii="Times New Roman" w:hAnsi="Times New Roman" w:cs="Times New Roman" w:eastAsiaTheme="minorEastAsia"/>
                <w:b/>
                <w:kern w:val="2"/>
                <w:sz w:val="21"/>
                <w:szCs w:val="21"/>
                <w:highlight w:val="none"/>
              </w:rPr>
            </w:pPr>
            <w:r>
              <w:rPr>
                <w:rFonts w:ascii="Times New Roman" w:hAnsi="Times New Roman" w:cs="Times New Roman" w:eastAsiaTheme="minorEastAsia"/>
                <w:b/>
                <w:kern w:val="2"/>
                <w:sz w:val="21"/>
                <w:szCs w:val="21"/>
                <w:highlight w:val="none"/>
              </w:rPr>
              <w:t>备注</w:t>
            </w:r>
          </w:p>
        </w:tc>
        <w:tc>
          <w:tcPr>
            <w:tcW w:w="1377" w:type="dxa"/>
            <w:shd w:val="clear" w:color="auto" w:fill="EEECE1"/>
            <w:vAlign w:val="center"/>
          </w:tcPr>
          <w:p>
            <w:pPr>
              <w:keepLines w:val="0"/>
              <w:pageBreakBefore w:val="0"/>
              <w:kinsoku/>
              <w:wordWrap/>
              <w:overflowPunct/>
              <w:topLinePunct w:val="0"/>
              <w:bidi w:val="0"/>
              <w:jc w:val="center"/>
              <w:rPr>
                <w:rFonts w:ascii="Times New Roman" w:hAnsi="Times New Roman" w:cs="Times New Roman" w:eastAsiaTheme="minorEastAsia"/>
                <w:b/>
                <w:kern w:val="2"/>
                <w:sz w:val="21"/>
                <w:szCs w:val="21"/>
                <w:highlight w:val="none"/>
              </w:rPr>
            </w:pPr>
            <w:r>
              <w:rPr>
                <w:rFonts w:ascii="Times New Roman" w:hAnsi="Times New Roman" w:cs="Times New Roman" w:eastAsiaTheme="minorEastAsia"/>
                <w:b/>
                <w:kern w:val="2"/>
                <w:sz w:val="21"/>
                <w:szCs w:val="21"/>
                <w:highlight w:val="none"/>
              </w:rPr>
              <w:t>报价形式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3" w:hRule="atLeast"/>
          <w:jc w:val="center"/>
        </w:trPr>
        <w:tc>
          <w:tcPr>
            <w:tcW w:w="650" w:type="dxa"/>
            <w:vAlign w:val="center"/>
          </w:tcPr>
          <w:p>
            <w:pPr>
              <w:keepLines w:val="0"/>
              <w:pageBreakBefore w:val="0"/>
              <w:kinsoku/>
              <w:wordWrap/>
              <w:overflowPunct/>
              <w:topLinePunct w:val="0"/>
              <w:bidi w:val="0"/>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1</w:t>
            </w:r>
          </w:p>
        </w:tc>
        <w:tc>
          <w:tcPr>
            <w:tcW w:w="1165" w:type="dxa"/>
            <w:vAlign w:val="center"/>
          </w:tcPr>
          <w:p>
            <w:pPr>
              <w:keepLines w:val="0"/>
              <w:pageBreakBefore w:val="0"/>
              <w:kinsoku/>
              <w:wordWrap/>
              <w:overflowPunct/>
              <w:topLinePunct w:val="0"/>
              <w:autoSpaceDE/>
              <w:autoSpaceDN/>
              <w:bidi w:val="0"/>
              <w:adjustRightInd/>
              <w:jc w:val="center"/>
              <w:rPr>
                <w:rFonts w:ascii="Times New Roman" w:hAnsi="Times New Roman" w:cs="Times New Roman" w:eastAsiaTheme="minorEastAsia"/>
                <w:bCs/>
                <w:kern w:val="2"/>
                <w:sz w:val="21"/>
                <w:szCs w:val="21"/>
                <w:highlight w:val="none"/>
              </w:rPr>
            </w:pPr>
            <w:r>
              <w:rPr>
                <w:rFonts w:hint="eastAsia" w:ascii="Times New Roman" w:hAnsi="Times New Roman" w:cs="Times New Roman" w:eastAsiaTheme="minorEastAsia"/>
                <w:kern w:val="2"/>
                <w:sz w:val="21"/>
                <w:szCs w:val="21"/>
                <w:highlight w:val="none"/>
              </w:rPr>
              <w:t>温度调节设备维保服务</w:t>
            </w:r>
          </w:p>
        </w:tc>
        <w:tc>
          <w:tcPr>
            <w:tcW w:w="730" w:type="dxa"/>
            <w:vAlign w:val="center"/>
          </w:tcPr>
          <w:p>
            <w:pPr>
              <w:keepLines w:val="0"/>
              <w:pageBreakBefore w:val="0"/>
              <w:kinsoku/>
              <w:wordWrap/>
              <w:overflowPunct/>
              <w:topLinePunct w:val="0"/>
              <w:autoSpaceDE/>
              <w:autoSpaceDN/>
              <w:bidi w:val="0"/>
              <w:adjustRightInd/>
              <w:jc w:val="center"/>
              <w:rPr>
                <w:rFonts w:ascii="Times New Roman" w:hAnsi="Times New Roman" w:cs="Times New Roman" w:eastAsiaTheme="minorEastAsia"/>
                <w:bCs/>
                <w:kern w:val="2"/>
                <w:sz w:val="21"/>
                <w:szCs w:val="21"/>
                <w:highlight w:val="none"/>
              </w:rPr>
            </w:pPr>
            <w:r>
              <w:rPr>
                <w:rFonts w:hint="eastAsia" w:ascii="Times New Roman" w:hAnsi="Times New Roman" w:cs="Times New Roman" w:eastAsiaTheme="minorEastAsia"/>
                <w:bCs/>
                <w:kern w:val="2"/>
                <w:sz w:val="21"/>
                <w:szCs w:val="21"/>
                <w:highlight w:val="none"/>
              </w:rPr>
              <w:t>1项</w:t>
            </w:r>
          </w:p>
        </w:tc>
        <w:tc>
          <w:tcPr>
            <w:tcW w:w="2219" w:type="dxa"/>
            <w:vAlign w:val="center"/>
          </w:tcPr>
          <w:p>
            <w:pPr>
              <w:keepNext/>
              <w:keepLines w:val="0"/>
              <w:pageBreakBefore w:val="0"/>
              <w:kinsoku/>
              <w:wordWrap/>
              <w:overflowPunct/>
              <w:topLinePunct w:val="0"/>
              <w:autoSpaceDE/>
              <w:autoSpaceDN/>
              <w:bidi w:val="0"/>
              <w:jc w:val="center"/>
              <w:textAlignment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自合同签订之日起1年</w:t>
            </w:r>
          </w:p>
        </w:tc>
        <w:tc>
          <w:tcPr>
            <w:tcW w:w="1251" w:type="dxa"/>
            <w:vAlign w:val="center"/>
          </w:tcPr>
          <w:p>
            <w:pPr>
              <w:keepNext/>
              <w:keepLines w:val="0"/>
              <w:pageBreakBefore w:val="0"/>
              <w:kinsoku/>
              <w:wordWrap/>
              <w:overflowPunct/>
              <w:topLinePunct w:val="0"/>
              <w:autoSpaceDE/>
              <w:autoSpaceDN/>
              <w:bidi w:val="0"/>
              <w:jc w:val="center"/>
              <w:textAlignment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1230000</w:t>
            </w:r>
          </w:p>
        </w:tc>
        <w:tc>
          <w:tcPr>
            <w:tcW w:w="3296" w:type="dxa"/>
            <w:vAlign w:val="center"/>
          </w:tcPr>
          <w:p>
            <w:pPr>
              <w:keepLines w:val="0"/>
              <w:pageBreakBefore w:val="0"/>
              <w:widowControl w:val="0"/>
              <w:kinsoku/>
              <w:wordWrap/>
              <w:overflowPunct/>
              <w:topLinePunct w:val="0"/>
              <w:autoSpaceDE w:val="0"/>
              <w:autoSpaceDN w:val="0"/>
              <w:bidi w:val="0"/>
              <w:adjustRightInd w:val="0"/>
              <w:spacing w:before="25" w:after="25"/>
              <w:rPr>
                <w:rFonts w:ascii="Times New Roman" w:hAnsi="Times New Roman" w:cs="Times New Roman" w:eastAsiaTheme="minorEastAsia"/>
                <w:bCs/>
                <w:spacing w:val="10"/>
                <w:sz w:val="21"/>
                <w:szCs w:val="21"/>
                <w:highlight w:val="none"/>
                <w:lang w:val="en-US" w:eastAsia="zh-CN" w:bidi="ar-SA"/>
              </w:rPr>
            </w:pPr>
            <w:r>
              <w:rPr>
                <w:rFonts w:hint="eastAsia" w:ascii="Times New Roman" w:hAnsi="Times New Roman" w:cs="Times New Roman" w:eastAsiaTheme="minorEastAsia"/>
                <w:bCs/>
                <w:spacing w:val="10"/>
                <w:sz w:val="21"/>
                <w:szCs w:val="21"/>
                <w:highlight w:val="none"/>
                <w:lang w:val="en-US" w:eastAsia="zh-CN" w:bidi="ar-SA"/>
              </w:rPr>
              <w:t>服务内容：温度调节设备（中央空调、多联体空调、分体空调、天花机、柜机、抽湿机、冰箱、热泵、冷库、电梯空调等）维保服务。</w:t>
            </w:r>
          </w:p>
        </w:tc>
        <w:tc>
          <w:tcPr>
            <w:tcW w:w="1377" w:type="dxa"/>
            <w:vMerge w:val="restart"/>
            <w:vAlign w:val="center"/>
          </w:tcPr>
          <w:p>
            <w:pPr>
              <w:keepNext/>
              <w:keepLines w:val="0"/>
              <w:pageBreakBefore w:val="0"/>
              <w:kinsoku/>
              <w:wordWrap/>
              <w:overflowPunct/>
              <w:topLinePunct w:val="0"/>
              <w:bidi w:val="0"/>
              <w:jc w:val="both"/>
              <w:textAlignment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rPr>
              <w:t>折扣率</w:t>
            </w:r>
            <w:r>
              <w:rPr>
                <w:rFonts w:hint="eastAsia" w:ascii="宋体" w:hAnsi="宋体" w:eastAsia="宋体" w:cs="宋体"/>
                <w:kern w:val="2"/>
                <w:sz w:val="21"/>
                <w:szCs w:val="21"/>
                <w:highlight w:val="none"/>
              </w:rPr>
              <w:t>报价</w:t>
            </w:r>
          </w:p>
          <w:p>
            <w:pPr>
              <w:keepNext/>
              <w:keepLines w:val="0"/>
              <w:pageBreakBefore w:val="0"/>
              <w:kinsoku/>
              <w:wordWrap/>
              <w:overflowPunct/>
              <w:topLinePunct w:val="0"/>
              <w:bidi w:val="0"/>
              <w:jc w:val="center"/>
              <w:textAlignment w:val="center"/>
              <w:rPr>
                <w:rFonts w:ascii="Times New Roman" w:hAnsi="Times New Roman" w:cs="Times New Roman" w:eastAsiaTheme="minorEastAsia"/>
                <w:snapToGrid w:val="0"/>
                <w:spacing w:val="20"/>
                <w:sz w:val="21"/>
                <w:szCs w:val="21"/>
                <w:highlight w:val="none"/>
              </w:rPr>
            </w:pPr>
          </w:p>
          <w:p>
            <w:pPr>
              <w:keepNext/>
              <w:keepLines w:val="0"/>
              <w:pageBreakBefore w:val="0"/>
              <w:kinsoku/>
              <w:wordWrap/>
              <w:overflowPunct/>
              <w:topLinePunct w:val="0"/>
              <w:bidi w:val="0"/>
              <w:jc w:val="center"/>
              <w:textAlignment w:val="center"/>
              <w:rPr>
                <w:rFonts w:ascii="Times New Roman" w:hAnsi="Times New Roman" w:cs="Times New Roman" w:eastAsiaTheme="minorEastAsia"/>
                <w:snapToGrid w:val="0"/>
                <w:spacing w:val="2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50" w:type="dxa"/>
            <w:vAlign w:val="center"/>
          </w:tcPr>
          <w:p>
            <w:pPr>
              <w:keepLines w:val="0"/>
              <w:pageBreakBefore w:val="0"/>
              <w:kinsoku/>
              <w:wordWrap/>
              <w:overflowPunct/>
              <w:topLinePunct w:val="0"/>
              <w:bidi w:val="0"/>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2</w:t>
            </w:r>
          </w:p>
        </w:tc>
        <w:tc>
          <w:tcPr>
            <w:tcW w:w="1165" w:type="dxa"/>
            <w:vAlign w:val="center"/>
          </w:tcPr>
          <w:p>
            <w:pPr>
              <w:pStyle w:val="11"/>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温度调节设备</w:t>
            </w:r>
            <w:r>
              <w:rPr>
                <w:rFonts w:hint="eastAsia"/>
                <w:highlight w:val="none"/>
                <w:lang w:val="en-US" w:eastAsia="zh-CN"/>
              </w:rPr>
              <w:t>高值零配件（</w:t>
            </w:r>
            <w:r>
              <w:rPr>
                <w:rFonts w:hint="eastAsia" w:ascii="Times New Roman" w:hAnsi="Times New Roman" w:cs="Times New Roman" w:eastAsiaTheme="minorEastAsia"/>
                <w:sz w:val="21"/>
                <w:szCs w:val="21"/>
                <w:highlight w:val="none"/>
              </w:rPr>
              <w:t>≥</w:t>
            </w:r>
            <w:r>
              <w:rPr>
                <w:rFonts w:hint="eastAsia"/>
                <w:highlight w:val="none"/>
                <w:lang w:val="en-US" w:eastAsia="zh-CN"/>
              </w:rPr>
              <w:t>200元）</w:t>
            </w:r>
          </w:p>
        </w:tc>
        <w:tc>
          <w:tcPr>
            <w:tcW w:w="730" w:type="dxa"/>
            <w:vAlign w:val="center"/>
          </w:tcPr>
          <w:p>
            <w:pPr>
              <w:keepLines w:val="0"/>
              <w:pageBreakBefore w:val="0"/>
              <w:kinsoku/>
              <w:wordWrap/>
              <w:overflowPunct/>
              <w:topLinePunct w:val="0"/>
              <w:autoSpaceDE/>
              <w:autoSpaceDN/>
              <w:bidi w:val="0"/>
              <w:adjustRightInd/>
              <w:jc w:val="center"/>
              <w:rPr>
                <w:rFonts w:ascii="Times New Roman" w:hAnsi="Times New Roman" w:cs="Times New Roman" w:eastAsiaTheme="minorEastAsia"/>
                <w:bCs/>
                <w:kern w:val="2"/>
                <w:sz w:val="21"/>
                <w:szCs w:val="21"/>
                <w:highlight w:val="none"/>
              </w:rPr>
            </w:pPr>
            <w:r>
              <w:rPr>
                <w:rFonts w:hint="eastAsia" w:ascii="Times New Roman" w:hAnsi="Times New Roman" w:cs="Times New Roman" w:eastAsiaTheme="minorEastAsia"/>
                <w:bCs/>
                <w:kern w:val="2"/>
                <w:sz w:val="21"/>
                <w:szCs w:val="21"/>
                <w:highlight w:val="none"/>
              </w:rPr>
              <w:t>1项</w:t>
            </w:r>
          </w:p>
        </w:tc>
        <w:tc>
          <w:tcPr>
            <w:tcW w:w="2219" w:type="dxa"/>
            <w:vAlign w:val="center"/>
          </w:tcPr>
          <w:p>
            <w:pPr>
              <w:keepNext/>
              <w:keepLines w:val="0"/>
              <w:pageBreakBefore w:val="0"/>
              <w:kinsoku/>
              <w:wordWrap/>
              <w:overflowPunct/>
              <w:topLinePunct w:val="0"/>
              <w:autoSpaceDE/>
              <w:autoSpaceDN/>
              <w:bidi w:val="0"/>
              <w:jc w:val="center"/>
              <w:textAlignment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自合同签订之日起1年，或本子项合同金额用完为止，以先到的为准</w:t>
            </w:r>
          </w:p>
        </w:tc>
        <w:tc>
          <w:tcPr>
            <w:tcW w:w="1251" w:type="dxa"/>
            <w:vAlign w:val="center"/>
          </w:tcPr>
          <w:p>
            <w:pPr>
              <w:keepNext/>
              <w:keepLines w:val="0"/>
              <w:pageBreakBefore w:val="0"/>
              <w:kinsoku/>
              <w:wordWrap/>
              <w:overflowPunct/>
              <w:topLinePunct w:val="0"/>
              <w:autoSpaceDE/>
              <w:autoSpaceDN/>
              <w:bidi w:val="0"/>
              <w:jc w:val="center"/>
              <w:textAlignment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1035000</w:t>
            </w:r>
          </w:p>
        </w:tc>
        <w:tc>
          <w:tcPr>
            <w:tcW w:w="3296" w:type="dxa"/>
            <w:vAlign w:val="center"/>
          </w:tcPr>
          <w:p>
            <w:pPr>
              <w:keepNext/>
              <w:keepLines w:val="0"/>
              <w:pageBreakBefore w:val="0"/>
              <w:kinsoku/>
              <w:wordWrap/>
              <w:overflowPunct/>
              <w:topLinePunct w:val="0"/>
              <w:autoSpaceDE/>
              <w:autoSpaceDN/>
              <w:bidi w:val="0"/>
              <w:jc w:val="both"/>
              <w:textAlignment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服务内容：温度调节设备（中央空调、多联体空调、分体空调、天花机、柜机、抽湿机、冰箱、热泵、冷库、电梯空调等）维保所需高值零配件</w:t>
            </w:r>
            <w:r>
              <w:rPr>
                <w:rFonts w:hint="eastAsia" w:ascii="Times New Roman" w:hAnsi="Times New Roman" w:cs="Times New Roman" w:eastAsiaTheme="minorEastAsia"/>
                <w:kern w:val="2"/>
                <w:sz w:val="21"/>
                <w:szCs w:val="21"/>
                <w:highlight w:val="none"/>
              </w:rPr>
              <w:t>维修更换服务，高值零配件按实结算</w:t>
            </w:r>
            <w:r>
              <w:rPr>
                <w:rFonts w:hint="eastAsia" w:ascii="Times New Roman" w:hAnsi="Times New Roman" w:cs="Times New Roman" w:eastAsiaTheme="minorEastAsia"/>
                <w:snapToGrid w:val="0"/>
                <w:spacing w:val="20"/>
                <w:sz w:val="21"/>
                <w:szCs w:val="21"/>
                <w:highlight w:val="none"/>
              </w:rPr>
              <w:t>。</w:t>
            </w:r>
          </w:p>
          <w:p>
            <w:pPr>
              <w:keepNext/>
              <w:keepLines w:val="0"/>
              <w:pageBreakBefore w:val="0"/>
              <w:kinsoku/>
              <w:wordWrap/>
              <w:overflowPunct/>
              <w:topLinePunct w:val="0"/>
              <w:autoSpaceDE/>
              <w:autoSpaceDN/>
              <w:bidi w:val="0"/>
              <w:jc w:val="both"/>
              <w:textAlignment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本子项中的高值零配件是指在单次维修中，所使用的、功能上不可拆分且单价≥200元的独立零配件个体或总成，如为实现挡风功能，单块挡风板视为单个整体无需拆分论价。</w:t>
            </w:r>
          </w:p>
          <w:p>
            <w:pPr>
              <w:keepNext/>
              <w:keepLines w:val="0"/>
              <w:pageBreakBefore w:val="0"/>
              <w:kinsoku/>
              <w:wordWrap/>
              <w:overflowPunct/>
              <w:topLinePunct w:val="0"/>
              <w:autoSpaceDE/>
              <w:autoSpaceDN/>
              <w:bidi w:val="0"/>
              <w:jc w:val="both"/>
              <w:textAlignment w:val="center"/>
              <w:rPr>
                <w:rFonts w:ascii="Times New Roman" w:hAnsi="Times New Roman" w:cs="Times New Roman" w:eastAsiaTheme="minorEastAsia"/>
                <w:snapToGrid w:val="0"/>
                <w:spacing w:val="20"/>
                <w:sz w:val="21"/>
                <w:szCs w:val="21"/>
                <w:highlight w:val="none"/>
              </w:rPr>
            </w:pPr>
            <w:r>
              <w:rPr>
                <w:rFonts w:hint="eastAsia" w:ascii="Times New Roman" w:hAnsi="Times New Roman" w:cs="Times New Roman" w:eastAsiaTheme="minorEastAsia"/>
                <w:sz w:val="21"/>
                <w:szCs w:val="21"/>
                <w:highlight w:val="none"/>
              </w:rPr>
              <w:t>单价＜200元的零配件由中标人承担。</w:t>
            </w:r>
          </w:p>
        </w:tc>
        <w:tc>
          <w:tcPr>
            <w:tcW w:w="1377" w:type="dxa"/>
            <w:vMerge w:val="continue"/>
            <w:vAlign w:val="center"/>
          </w:tcPr>
          <w:p>
            <w:pPr>
              <w:keepNext/>
              <w:keepLines w:val="0"/>
              <w:pageBreakBefore w:val="0"/>
              <w:kinsoku/>
              <w:wordWrap/>
              <w:overflowPunct/>
              <w:topLinePunct w:val="0"/>
              <w:bidi w:val="0"/>
              <w:jc w:val="center"/>
              <w:textAlignment w:val="center"/>
              <w:rPr>
                <w:rFonts w:ascii="Times New Roman" w:hAnsi="Times New Roman" w:cs="Times New Roman" w:eastAsiaTheme="minorEastAsia"/>
                <w:snapToGrid w:val="0"/>
                <w:spacing w:val="2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3" w:hRule="atLeast"/>
          <w:jc w:val="center"/>
        </w:trPr>
        <w:tc>
          <w:tcPr>
            <w:tcW w:w="650" w:type="dxa"/>
            <w:vAlign w:val="center"/>
          </w:tcPr>
          <w:p>
            <w:pPr>
              <w:keepLines w:val="0"/>
              <w:pageBreakBefore w:val="0"/>
              <w:kinsoku/>
              <w:wordWrap/>
              <w:overflowPunct/>
              <w:topLinePunct w:val="0"/>
              <w:bidi w:val="0"/>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w:t>
            </w:r>
          </w:p>
        </w:tc>
        <w:tc>
          <w:tcPr>
            <w:tcW w:w="1165" w:type="dxa"/>
            <w:vAlign w:val="center"/>
          </w:tcPr>
          <w:p>
            <w:pPr>
              <w:keepLines w:val="0"/>
              <w:pageBreakBefore w:val="0"/>
              <w:kinsoku/>
              <w:wordWrap/>
              <w:overflowPunct/>
              <w:topLinePunct w:val="0"/>
              <w:autoSpaceDE/>
              <w:autoSpaceDN/>
              <w:bidi w:val="0"/>
              <w:adjustRightInd/>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拆装机服务</w:t>
            </w:r>
          </w:p>
        </w:tc>
        <w:tc>
          <w:tcPr>
            <w:tcW w:w="730" w:type="dxa"/>
            <w:vAlign w:val="center"/>
          </w:tcPr>
          <w:p>
            <w:pPr>
              <w:keepLines w:val="0"/>
              <w:pageBreakBefore w:val="0"/>
              <w:kinsoku/>
              <w:wordWrap/>
              <w:overflowPunct/>
              <w:topLinePunct w:val="0"/>
              <w:autoSpaceDE/>
              <w:autoSpaceDN/>
              <w:bidi w:val="0"/>
              <w:adjustRightInd/>
              <w:jc w:val="center"/>
              <w:rPr>
                <w:rFonts w:ascii="Times New Roman" w:hAnsi="Times New Roman" w:cs="Times New Roman" w:eastAsiaTheme="minorEastAsia"/>
                <w:bCs/>
                <w:kern w:val="2"/>
                <w:sz w:val="21"/>
                <w:szCs w:val="21"/>
                <w:highlight w:val="none"/>
              </w:rPr>
            </w:pPr>
            <w:r>
              <w:rPr>
                <w:rFonts w:hint="eastAsia" w:ascii="Times New Roman" w:hAnsi="Times New Roman" w:cs="Times New Roman" w:eastAsiaTheme="minorEastAsia"/>
                <w:bCs/>
                <w:kern w:val="2"/>
                <w:sz w:val="21"/>
                <w:szCs w:val="21"/>
                <w:highlight w:val="none"/>
              </w:rPr>
              <w:t>1项</w:t>
            </w:r>
          </w:p>
        </w:tc>
        <w:tc>
          <w:tcPr>
            <w:tcW w:w="2219" w:type="dxa"/>
            <w:vAlign w:val="center"/>
          </w:tcPr>
          <w:p>
            <w:pPr>
              <w:keepNext/>
              <w:keepLines w:val="0"/>
              <w:pageBreakBefore w:val="0"/>
              <w:kinsoku/>
              <w:wordWrap/>
              <w:overflowPunct/>
              <w:topLinePunct w:val="0"/>
              <w:autoSpaceDE/>
              <w:autoSpaceDN/>
              <w:bidi w:val="0"/>
              <w:jc w:val="center"/>
              <w:textAlignment w:val="center"/>
              <w:rPr>
                <w:rFonts w:ascii="Times New Roman" w:hAnsi="Times New Roman" w:cs="Times New Roman" w:eastAsiaTheme="minorEastAsia"/>
                <w:kern w:val="2"/>
                <w:sz w:val="21"/>
                <w:szCs w:val="21"/>
                <w:highlight w:val="none"/>
              </w:rPr>
            </w:pPr>
            <w:r>
              <w:rPr>
                <w:rFonts w:hint="eastAsia" w:ascii="宋体" w:hAnsi="宋体" w:eastAsia="宋体" w:cs="宋体"/>
                <w:kern w:val="2"/>
                <w:sz w:val="21"/>
                <w:szCs w:val="21"/>
                <w:highlight w:val="none"/>
              </w:rPr>
              <w:t>自合同签订之日起1年，或本子项合同金额用完为止，以先到的为准</w:t>
            </w:r>
          </w:p>
        </w:tc>
        <w:tc>
          <w:tcPr>
            <w:tcW w:w="1251" w:type="dxa"/>
            <w:vAlign w:val="center"/>
          </w:tcPr>
          <w:p>
            <w:pPr>
              <w:keepNext/>
              <w:keepLines w:val="0"/>
              <w:pageBreakBefore w:val="0"/>
              <w:kinsoku/>
              <w:wordWrap/>
              <w:overflowPunct/>
              <w:topLinePunct w:val="0"/>
              <w:autoSpaceDE/>
              <w:autoSpaceDN/>
              <w:bidi w:val="0"/>
              <w:jc w:val="center"/>
              <w:textAlignment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182000</w:t>
            </w:r>
          </w:p>
        </w:tc>
        <w:tc>
          <w:tcPr>
            <w:tcW w:w="3296" w:type="dxa"/>
            <w:vAlign w:val="center"/>
          </w:tcPr>
          <w:p>
            <w:pPr>
              <w:keepNext/>
              <w:keepLines w:val="0"/>
              <w:pageBreakBefore w:val="0"/>
              <w:kinsoku/>
              <w:wordWrap/>
              <w:overflowPunct/>
              <w:topLinePunct w:val="0"/>
              <w:autoSpaceDE/>
              <w:autoSpaceDN/>
              <w:bidi w:val="0"/>
              <w:jc w:val="both"/>
              <w:textAlignment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服务内容：温度调节设备</w:t>
            </w:r>
            <w:r>
              <w:rPr>
                <w:rFonts w:hint="eastAsia" w:ascii="Times New Roman" w:hAnsi="Times New Roman" w:cs="Times New Roman" w:eastAsiaTheme="minorEastAsia"/>
                <w:sz w:val="21"/>
                <w:szCs w:val="21"/>
                <w:highlight w:val="none"/>
              </w:rPr>
              <w:t>（分体空调、天花机、柜机等）及其配套设施</w:t>
            </w:r>
            <w:r>
              <w:rPr>
                <w:rFonts w:hint="eastAsia" w:ascii="Times New Roman" w:hAnsi="Times New Roman" w:cs="Times New Roman" w:eastAsiaTheme="minorEastAsia"/>
                <w:kern w:val="2"/>
                <w:sz w:val="21"/>
                <w:szCs w:val="21"/>
                <w:highlight w:val="none"/>
              </w:rPr>
              <w:t>拆装服务，包括排水管敷设、钻孔、补洞、试机等。</w:t>
            </w:r>
          </w:p>
          <w:p>
            <w:pPr>
              <w:keepNext/>
              <w:keepLines w:val="0"/>
              <w:pageBreakBefore w:val="0"/>
              <w:kinsoku/>
              <w:wordWrap/>
              <w:overflowPunct/>
              <w:topLinePunct w:val="0"/>
              <w:autoSpaceDE/>
              <w:autoSpaceDN/>
              <w:bidi w:val="0"/>
              <w:jc w:val="both"/>
              <w:textAlignment w:val="center"/>
              <w:rPr>
                <w:rFonts w:ascii="宋体" w:hAnsi="Times New Roman" w:eastAsia="宋体" w:cs="宋体"/>
                <w:sz w:val="21"/>
                <w:szCs w:val="21"/>
                <w:highlight w:val="none"/>
              </w:rPr>
            </w:pPr>
            <w:r>
              <w:rPr>
                <w:rFonts w:hint="eastAsia" w:ascii="Times New Roman" w:hAnsi="Times New Roman" w:cs="Times New Roman" w:eastAsiaTheme="minorEastAsia"/>
                <w:kern w:val="2"/>
                <w:sz w:val="21"/>
                <w:szCs w:val="21"/>
                <w:highlight w:val="none"/>
              </w:rPr>
              <w:t>经采购人同意，中标人应主动联系其他维保单位协助拆装机服务，如安装空调电位等。</w:t>
            </w:r>
          </w:p>
        </w:tc>
        <w:tc>
          <w:tcPr>
            <w:tcW w:w="1377" w:type="dxa"/>
            <w:vMerge w:val="continue"/>
            <w:vAlign w:val="center"/>
          </w:tcPr>
          <w:p>
            <w:pPr>
              <w:keepNext/>
              <w:keepLines w:val="0"/>
              <w:pageBreakBefore w:val="0"/>
              <w:kinsoku/>
              <w:wordWrap/>
              <w:overflowPunct/>
              <w:topLinePunct w:val="0"/>
              <w:bidi w:val="0"/>
              <w:jc w:val="center"/>
              <w:textAlignment w:val="center"/>
              <w:rPr>
                <w:rFonts w:ascii="Times New Roman" w:hAnsi="Times New Roman" w:cs="Times New Roman" w:eastAsiaTheme="minorEastAsia"/>
                <w:snapToGrid w:val="0"/>
                <w:spacing w:val="2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3" w:hRule="atLeast"/>
          <w:jc w:val="center"/>
        </w:trPr>
        <w:tc>
          <w:tcPr>
            <w:tcW w:w="650" w:type="dxa"/>
            <w:vAlign w:val="center"/>
          </w:tcPr>
          <w:p>
            <w:pPr>
              <w:keepLines w:val="0"/>
              <w:pageBreakBefore w:val="0"/>
              <w:kinsoku/>
              <w:wordWrap/>
              <w:overflowPunct/>
              <w:topLinePunct w:val="0"/>
              <w:bidi w:val="0"/>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4</w:t>
            </w:r>
          </w:p>
        </w:tc>
        <w:tc>
          <w:tcPr>
            <w:tcW w:w="1165" w:type="dxa"/>
            <w:vAlign w:val="center"/>
          </w:tcPr>
          <w:p>
            <w:pPr>
              <w:keepLines w:val="0"/>
              <w:pageBreakBefore w:val="0"/>
              <w:kinsoku/>
              <w:wordWrap/>
              <w:overflowPunct/>
              <w:topLinePunct w:val="0"/>
              <w:autoSpaceDE/>
              <w:autoSpaceDN/>
              <w:bidi w:val="0"/>
              <w:adjustRightInd/>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中央空调及</w:t>
            </w:r>
            <w:r>
              <w:rPr>
                <w:rFonts w:hint="eastAsia" w:ascii="Times New Roman" w:hAnsi="Times New Roman" w:cs="Times New Roman" w:eastAsiaTheme="minorEastAsia"/>
                <w:sz w:val="21"/>
                <w:szCs w:val="21"/>
                <w:highlight w:val="none"/>
              </w:rPr>
              <w:t>多联体空调系统</w:t>
            </w:r>
            <w:r>
              <w:rPr>
                <w:rFonts w:hint="eastAsia" w:ascii="Times New Roman" w:hAnsi="Times New Roman" w:cs="Times New Roman" w:eastAsiaTheme="minorEastAsia"/>
                <w:kern w:val="2"/>
                <w:sz w:val="21"/>
                <w:szCs w:val="21"/>
                <w:highlight w:val="none"/>
              </w:rPr>
              <w:t>局部维修改造服务</w:t>
            </w:r>
          </w:p>
        </w:tc>
        <w:tc>
          <w:tcPr>
            <w:tcW w:w="730" w:type="dxa"/>
            <w:vAlign w:val="center"/>
          </w:tcPr>
          <w:p>
            <w:pPr>
              <w:keepLines w:val="0"/>
              <w:pageBreakBefore w:val="0"/>
              <w:kinsoku/>
              <w:wordWrap/>
              <w:overflowPunct/>
              <w:topLinePunct w:val="0"/>
              <w:autoSpaceDE/>
              <w:autoSpaceDN/>
              <w:bidi w:val="0"/>
              <w:adjustRightInd/>
              <w:jc w:val="center"/>
              <w:rPr>
                <w:rFonts w:ascii="Times New Roman" w:hAnsi="Times New Roman" w:cs="Times New Roman" w:eastAsiaTheme="minorEastAsia"/>
                <w:bCs/>
                <w:kern w:val="2"/>
                <w:sz w:val="21"/>
                <w:szCs w:val="21"/>
                <w:highlight w:val="none"/>
              </w:rPr>
            </w:pPr>
            <w:r>
              <w:rPr>
                <w:rFonts w:hint="eastAsia" w:ascii="Times New Roman" w:hAnsi="Times New Roman" w:cs="Times New Roman" w:eastAsiaTheme="minorEastAsia"/>
                <w:bCs/>
                <w:kern w:val="2"/>
                <w:sz w:val="21"/>
                <w:szCs w:val="21"/>
                <w:highlight w:val="none"/>
              </w:rPr>
              <w:t>1项</w:t>
            </w:r>
          </w:p>
        </w:tc>
        <w:tc>
          <w:tcPr>
            <w:tcW w:w="2219" w:type="dxa"/>
            <w:vAlign w:val="center"/>
          </w:tcPr>
          <w:p>
            <w:pPr>
              <w:keepNext/>
              <w:keepLines w:val="0"/>
              <w:pageBreakBefore w:val="0"/>
              <w:kinsoku/>
              <w:wordWrap/>
              <w:overflowPunct/>
              <w:topLinePunct w:val="0"/>
              <w:autoSpaceDE/>
              <w:autoSpaceDN/>
              <w:bidi w:val="0"/>
              <w:jc w:val="center"/>
              <w:textAlignment w:val="center"/>
              <w:rPr>
                <w:rFonts w:ascii="Times New Roman" w:hAnsi="Times New Roman" w:cs="Times New Roman" w:eastAsiaTheme="minorEastAsia"/>
                <w:kern w:val="2"/>
                <w:sz w:val="21"/>
                <w:szCs w:val="21"/>
                <w:highlight w:val="none"/>
              </w:rPr>
            </w:pPr>
            <w:r>
              <w:rPr>
                <w:rFonts w:hint="eastAsia" w:ascii="宋体" w:hAnsi="宋体" w:eastAsia="宋体" w:cs="宋体"/>
                <w:kern w:val="2"/>
                <w:sz w:val="21"/>
                <w:szCs w:val="21"/>
                <w:highlight w:val="none"/>
              </w:rPr>
              <w:t>自合同签订之日起1年，或本子项合同金额用完为止，以先到的为准</w:t>
            </w:r>
          </w:p>
        </w:tc>
        <w:tc>
          <w:tcPr>
            <w:tcW w:w="1251" w:type="dxa"/>
            <w:vAlign w:val="center"/>
          </w:tcPr>
          <w:p>
            <w:pPr>
              <w:keepNext/>
              <w:keepLines w:val="0"/>
              <w:pageBreakBefore w:val="0"/>
              <w:kinsoku/>
              <w:wordWrap/>
              <w:overflowPunct/>
              <w:topLinePunct w:val="0"/>
              <w:autoSpaceDE/>
              <w:autoSpaceDN/>
              <w:bidi w:val="0"/>
              <w:jc w:val="center"/>
              <w:textAlignment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320000</w:t>
            </w:r>
          </w:p>
        </w:tc>
        <w:tc>
          <w:tcPr>
            <w:tcW w:w="3296" w:type="dxa"/>
            <w:vAlign w:val="center"/>
          </w:tcPr>
          <w:p>
            <w:pPr>
              <w:keepNext/>
              <w:keepLines w:val="0"/>
              <w:pageBreakBefore w:val="0"/>
              <w:kinsoku/>
              <w:wordWrap/>
              <w:overflowPunct/>
              <w:topLinePunct w:val="0"/>
              <w:autoSpaceDE/>
              <w:autoSpaceDN/>
              <w:bidi w:val="0"/>
              <w:jc w:val="both"/>
              <w:textAlignment w:val="center"/>
              <w:rPr>
                <w:rFonts w:ascii="Times New Roman" w:hAnsi="Times New Roman" w:cs="Times New Roman" w:eastAsiaTheme="minorEastAsia"/>
                <w:snapToGrid w:val="0"/>
                <w:spacing w:val="20"/>
                <w:sz w:val="21"/>
                <w:szCs w:val="21"/>
                <w:highlight w:val="none"/>
              </w:rPr>
            </w:pPr>
            <w:r>
              <w:rPr>
                <w:rFonts w:hint="eastAsia" w:ascii="Times New Roman" w:hAnsi="Times New Roman" w:cs="Times New Roman" w:eastAsiaTheme="minorEastAsia"/>
                <w:kern w:val="2"/>
                <w:sz w:val="21"/>
                <w:szCs w:val="21"/>
                <w:highlight w:val="none"/>
              </w:rPr>
              <w:t>服务内容：</w:t>
            </w:r>
            <w:r>
              <w:rPr>
                <w:rFonts w:hint="eastAsia" w:ascii="Times New Roman" w:hAnsi="Times New Roman" w:cs="Times New Roman" w:eastAsiaTheme="minorEastAsia"/>
                <w:snapToGrid w:val="0"/>
                <w:spacing w:val="20"/>
                <w:sz w:val="21"/>
                <w:szCs w:val="21"/>
                <w:highlight w:val="none"/>
              </w:rPr>
              <w:t>中央空调及</w:t>
            </w:r>
            <w:r>
              <w:rPr>
                <w:rFonts w:hint="eastAsia" w:ascii="Times New Roman" w:hAnsi="Times New Roman" w:cs="Times New Roman" w:eastAsiaTheme="minorEastAsia"/>
                <w:sz w:val="21"/>
                <w:szCs w:val="21"/>
                <w:highlight w:val="none"/>
              </w:rPr>
              <w:t>多联体空调系统</w:t>
            </w:r>
            <w:r>
              <w:rPr>
                <w:rFonts w:hint="eastAsia" w:ascii="Times New Roman" w:hAnsi="Times New Roman" w:cs="Times New Roman" w:eastAsiaTheme="minorEastAsia"/>
                <w:snapToGrid w:val="0"/>
                <w:spacing w:val="20"/>
                <w:sz w:val="21"/>
                <w:szCs w:val="21"/>
                <w:highlight w:val="none"/>
              </w:rPr>
              <w:t>局部维修改造。</w:t>
            </w:r>
          </w:p>
        </w:tc>
        <w:tc>
          <w:tcPr>
            <w:tcW w:w="1377" w:type="dxa"/>
            <w:vMerge w:val="continue"/>
            <w:vAlign w:val="center"/>
          </w:tcPr>
          <w:p>
            <w:pPr>
              <w:keepNext/>
              <w:keepLines w:val="0"/>
              <w:pageBreakBefore w:val="0"/>
              <w:kinsoku/>
              <w:wordWrap/>
              <w:overflowPunct/>
              <w:topLinePunct w:val="0"/>
              <w:bidi w:val="0"/>
              <w:jc w:val="center"/>
              <w:textAlignment w:val="center"/>
              <w:rPr>
                <w:rFonts w:ascii="Times New Roman" w:hAnsi="Times New Roman" w:cs="Times New Roman" w:eastAsiaTheme="minorEastAsia"/>
                <w:snapToGrid w:val="0"/>
                <w:spacing w:val="20"/>
                <w:sz w:val="21"/>
                <w:szCs w:val="21"/>
                <w:highlight w:val="none"/>
              </w:rPr>
            </w:pPr>
          </w:p>
        </w:tc>
      </w:tr>
    </w:tbl>
    <w:p>
      <w:pPr>
        <w:keepLines w:val="0"/>
        <w:pageBreakBefore w:val="0"/>
        <w:kinsoku/>
        <w:wordWrap/>
        <w:overflowPunct/>
        <w:topLinePunct w:val="0"/>
        <w:autoSpaceDE/>
        <w:autoSpaceDN/>
        <w:bidi w:val="0"/>
        <w:snapToGrid w:val="0"/>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备注：子项1合同金额等于采购预算金额×</w:t>
      </w:r>
      <w:r>
        <w:rPr>
          <w:rFonts w:hint="eastAsia" w:ascii="Times New Roman" w:hAnsi="Times New Roman" w:cs="Times New Roman" w:eastAsiaTheme="minorEastAsia"/>
          <w:kern w:val="2"/>
          <w:sz w:val="21"/>
          <w:szCs w:val="21"/>
          <w:highlight w:val="none"/>
          <w:lang w:val="en-US" w:eastAsia="zh-CN"/>
        </w:rPr>
        <w:t>折扣率</w:t>
      </w:r>
      <w:r>
        <w:rPr>
          <w:rFonts w:hint="eastAsia" w:ascii="Times New Roman" w:hAnsi="Times New Roman" w:cs="Times New Roman" w:eastAsiaTheme="minorEastAsia"/>
          <w:kern w:val="2"/>
          <w:sz w:val="21"/>
          <w:szCs w:val="21"/>
          <w:highlight w:val="none"/>
        </w:rPr>
        <w:t>；子项2、子项3、子项4合同金额等于采购预算金额。</w:t>
      </w:r>
    </w:p>
    <w:p>
      <w:pPr>
        <w:keepLines w:val="0"/>
        <w:pageBreakBefore w:val="0"/>
        <w:widowControl w:val="0"/>
        <w:kinsoku/>
        <w:wordWrap/>
        <w:overflowPunct/>
        <w:topLinePunct w:val="0"/>
        <w:autoSpaceDE w:val="0"/>
        <w:autoSpaceDN w:val="0"/>
        <w:bidi w:val="0"/>
        <w:adjustRightInd w:val="0"/>
        <w:spacing w:before="25" w:after="25"/>
        <w:rPr>
          <w:rFonts w:ascii="Times New Roman" w:hAnsi="Times New Roman" w:eastAsia="宋体" w:cs="Times New Roman"/>
          <w:bCs/>
          <w:spacing w:val="10"/>
          <w:sz w:val="21"/>
          <w:szCs w:val="21"/>
          <w:highlight w:val="none"/>
          <w:lang w:val="en-US" w:eastAsia="zh-CN" w:bidi="ar-SA"/>
        </w:rPr>
      </w:pPr>
    </w:p>
    <w:p>
      <w:pPr>
        <w:keepLines w:val="0"/>
        <w:pageBreakBefore w:val="0"/>
        <w:kinsoku/>
        <w:wordWrap/>
        <w:overflowPunct/>
        <w:topLinePunct w:val="0"/>
        <w:autoSpaceDE/>
        <w:autoSpaceDN/>
        <w:bidi w:val="0"/>
        <w:snapToGrid w:val="0"/>
        <w:ind w:firstLine="420" w:firstLineChars="200"/>
        <w:jc w:val="both"/>
        <w:rPr>
          <w:rFonts w:ascii="Times New Roman" w:hAnsi="Times New Roman" w:cs="Times New Roman" w:eastAsiaTheme="minorEastAsia"/>
          <w:kern w:val="2"/>
          <w:sz w:val="21"/>
          <w:szCs w:val="21"/>
          <w:highlight w:val="none"/>
        </w:rPr>
      </w:pPr>
      <w:r>
        <w:rPr>
          <w:rFonts w:hint="eastAsia" w:ascii="Segoe UI Symbol" w:hAnsi="Segoe UI Symbol" w:cs="Segoe UI Symbol" w:eastAsiaTheme="minorEastAsia"/>
          <w:kern w:val="2"/>
          <w:sz w:val="21"/>
          <w:szCs w:val="21"/>
          <w:highlight w:val="none"/>
        </w:rPr>
        <w:t>★</w:t>
      </w:r>
      <w:r>
        <w:rPr>
          <w:rFonts w:hint="eastAsia" w:ascii="Segoe UI Symbol" w:hAnsi="Segoe UI Symbol" w:cs="Segoe UI Symbol" w:eastAsiaTheme="minorEastAsia"/>
          <w:b/>
          <w:bCs/>
          <w:kern w:val="2"/>
          <w:sz w:val="21"/>
          <w:szCs w:val="21"/>
          <w:highlight w:val="none"/>
        </w:rPr>
        <w:t>二</w:t>
      </w:r>
      <w:r>
        <w:rPr>
          <w:rFonts w:hint="eastAsia" w:ascii="Times New Roman" w:hAnsi="Times New Roman" w:cs="Times New Roman" w:eastAsiaTheme="minorEastAsia"/>
          <w:b/>
          <w:bCs/>
          <w:kern w:val="2"/>
          <w:sz w:val="21"/>
          <w:szCs w:val="21"/>
          <w:highlight w:val="none"/>
        </w:rPr>
        <w:t>、报价要求及价格计算公式</w:t>
      </w:r>
      <w:r>
        <w:rPr>
          <w:rFonts w:hint="eastAsia" w:ascii="Times New Roman" w:hAnsi="Times New Roman" w:cs="Times New Roman" w:eastAsiaTheme="minorEastAsia"/>
          <w:kern w:val="2"/>
          <w:sz w:val="21"/>
          <w:szCs w:val="21"/>
          <w:highlight w:val="none"/>
        </w:rPr>
        <w:t>：</w:t>
      </w:r>
    </w:p>
    <w:p>
      <w:pPr>
        <w:keepLines w:val="0"/>
        <w:pageBreakBefore w:val="0"/>
        <w:kinsoku/>
        <w:wordWrap/>
        <w:overflowPunct/>
        <w:topLinePunct w:val="0"/>
        <w:autoSpaceDE/>
        <w:autoSpaceDN/>
        <w:bidi w:val="0"/>
        <w:snapToGrid w:val="0"/>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一）本需求包括附件1至附件4，其中附件3为分体空调拆装服务项目的单价最高限价，附件4为常用高值零配件的单价最高限价（人民币：元）。除未列明项，中标人完工报价不应高于附件所列单价最高限价，完工报价资料仍需接受第三方造价咨询审核，审核审定后的造价按中标折扣率进行</w:t>
      </w:r>
      <w:r>
        <w:rPr>
          <w:rFonts w:hint="eastAsia" w:ascii="Times New Roman" w:cs="Times New Roman" w:eastAsiaTheme="minorEastAsia"/>
          <w:kern w:val="2"/>
          <w:sz w:val="21"/>
          <w:szCs w:val="21"/>
          <w:highlight w:val="none"/>
          <w:lang w:val="en-US" w:eastAsia="zh-CN"/>
        </w:rPr>
        <w:t>计算</w:t>
      </w:r>
      <w:r>
        <w:rPr>
          <w:rFonts w:hint="eastAsia" w:ascii="Times New Roman" w:hAnsi="Times New Roman" w:cs="Times New Roman" w:eastAsiaTheme="minorEastAsia"/>
          <w:kern w:val="2"/>
          <w:sz w:val="21"/>
          <w:szCs w:val="21"/>
          <w:highlight w:val="none"/>
        </w:rPr>
        <w:t>后则为实际结算金额。</w:t>
      </w:r>
    </w:p>
    <w:p>
      <w:pPr>
        <w:keepLines w:val="0"/>
        <w:pageBreakBefore w:val="0"/>
        <w:kinsoku/>
        <w:wordWrap/>
        <w:overflowPunct/>
        <w:topLinePunct w:val="0"/>
        <w:autoSpaceDE/>
        <w:autoSpaceDN/>
        <w:bidi w:val="0"/>
        <w:snapToGrid w:val="0"/>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（二）投标人根据附件1、附件2，对温度调节设备维保服务进行折扣率报价。例如：子项1温度调节设备维保服务中标折扣率为</w:t>
      </w:r>
      <w:r>
        <w:rPr>
          <w:rFonts w:hint="eastAsia" w:ascii="Times New Roman" w:hAnsi="Times New Roman" w:cs="Times New Roman" w:eastAsiaTheme="minorEastAsia"/>
          <w:kern w:val="2"/>
          <w:sz w:val="21"/>
          <w:szCs w:val="21"/>
          <w:highlight w:val="none"/>
          <w:lang w:val="en-US" w:eastAsia="zh-CN"/>
        </w:rPr>
        <w:t>9</w:t>
      </w:r>
      <w:r>
        <w:rPr>
          <w:rFonts w:hint="eastAsia" w:ascii="Times New Roman" w:hAnsi="Times New Roman" w:cs="Times New Roman" w:eastAsiaTheme="minorEastAsia"/>
          <w:kern w:val="2"/>
          <w:sz w:val="21"/>
          <w:szCs w:val="21"/>
          <w:highlight w:val="none"/>
        </w:rPr>
        <w:t>0%，则该子项中标金额为1230000×</w:t>
      </w:r>
      <w:r>
        <w:rPr>
          <w:rFonts w:hint="eastAsia" w:ascii="Times New Roman" w:hAnsi="Times New Roman" w:cs="Times New Roman" w:eastAsiaTheme="minorEastAsia"/>
          <w:kern w:val="2"/>
          <w:sz w:val="21"/>
          <w:szCs w:val="21"/>
          <w:highlight w:val="none"/>
          <w:lang w:val="en-US" w:eastAsia="zh-CN"/>
        </w:rPr>
        <w:t>90%=1107000元</w:t>
      </w:r>
      <w:r>
        <w:rPr>
          <w:rFonts w:hint="eastAsia" w:ascii="Times New Roman" w:hAnsi="Times New Roman" w:cs="Times New Roman" w:eastAsiaTheme="minorEastAsia"/>
          <w:kern w:val="2"/>
          <w:sz w:val="21"/>
          <w:szCs w:val="21"/>
          <w:highlight w:val="none"/>
        </w:rPr>
        <w:t>。</w:t>
      </w:r>
    </w:p>
    <w:p>
      <w:pPr>
        <w:keepLines w:val="0"/>
        <w:pageBreakBefore w:val="0"/>
        <w:kinsoku/>
        <w:wordWrap/>
        <w:overflowPunct/>
        <w:topLinePunct w:val="0"/>
        <w:autoSpaceDE/>
        <w:autoSpaceDN/>
        <w:bidi w:val="0"/>
        <w:snapToGrid w:val="0"/>
        <w:ind w:firstLine="420" w:firstLineChars="200"/>
        <w:jc w:val="both"/>
        <w:rPr>
          <w:rFonts w:ascii="宋体" w:hAnsi="Times New Roman" w:cs="宋体" w:eastAsiaTheme="minorEastAsia"/>
          <w:sz w:val="21"/>
          <w:szCs w:val="21"/>
          <w:highlight w:val="none"/>
        </w:rPr>
      </w:pPr>
      <w:r>
        <w:rPr>
          <w:rFonts w:hint="eastAsia" w:ascii="Times New Roman" w:hAnsi="Times New Roman" w:cs="Times New Roman" w:eastAsiaTheme="minorEastAsia"/>
          <w:sz w:val="21"/>
          <w:szCs w:val="21"/>
          <w:highlight w:val="none"/>
        </w:rPr>
        <w:t>（三）投标人根据附件3、附件4、《广东省通用安装工程综合定额（2018）》，对温度调节设备维修服务、</w:t>
      </w:r>
      <w:r>
        <w:rPr>
          <w:rFonts w:hint="eastAsia" w:ascii="Times New Roman" w:hAnsi="Times New Roman" w:cs="Times New Roman" w:eastAsiaTheme="minorEastAsia"/>
          <w:kern w:val="2"/>
          <w:sz w:val="21"/>
          <w:szCs w:val="21"/>
          <w:highlight w:val="none"/>
        </w:rPr>
        <w:t>拆装机服务、中央空调及</w:t>
      </w:r>
      <w:r>
        <w:rPr>
          <w:rFonts w:hint="eastAsia" w:ascii="Times New Roman" w:hAnsi="Times New Roman" w:cs="Times New Roman" w:eastAsiaTheme="minorEastAsia"/>
          <w:sz w:val="21"/>
          <w:szCs w:val="21"/>
          <w:highlight w:val="none"/>
        </w:rPr>
        <w:t>多联体空调系统</w:t>
      </w:r>
      <w:r>
        <w:rPr>
          <w:rFonts w:hint="eastAsia" w:ascii="Times New Roman" w:hAnsi="Times New Roman" w:cs="Times New Roman" w:eastAsiaTheme="minorEastAsia"/>
          <w:kern w:val="2"/>
          <w:sz w:val="21"/>
          <w:szCs w:val="21"/>
          <w:highlight w:val="none"/>
        </w:rPr>
        <w:t>局部维修改造服务</w:t>
      </w:r>
      <w:r>
        <w:rPr>
          <w:rFonts w:hint="eastAsia" w:ascii="Times New Roman" w:hAnsi="Times New Roman" w:cs="Times New Roman" w:eastAsiaTheme="minorEastAsia"/>
          <w:sz w:val="21"/>
          <w:szCs w:val="21"/>
          <w:highlight w:val="none"/>
        </w:rPr>
        <w:t>进行折扣率报价。例如：子项2温度调节设备维修服务中标折扣率为</w:t>
      </w:r>
      <w:r>
        <w:rPr>
          <w:rFonts w:hint="eastAsia" w:ascii="Times New Roman" w:hAnsi="Times New Roman" w:cs="Times New Roman" w:eastAsiaTheme="minorEastAsia"/>
          <w:sz w:val="21"/>
          <w:szCs w:val="21"/>
          <w:highlight w:val="none"/>
          <w:lang w:val="en-US" w:eastAsia="zh-CN"/>
        </w:rPr>
        <w:t>8</w:t>
      </w:r>
      <w:r>
        <w:rPr>
          <w:rFonts w:hint="eastAsia" w:ascii="Times New Roman" w:hAnsi="Times New Roman" w:cs="Times New Roman" w:eastAsiaTheme="minorEastAsia"/>
          <w:sz w:val="21"/>
          <w:szCs w:val="21"/>
          <w:highlight w:val="none"/>
        </w:rPr>
        <w:t>0%，同时</w:t>
      </w:r>
      <w:r>
        <w:rPr>
          <w:rFonts w:hint="eastAsia" w:ascii="宋体" w:hAnsi="Times New Roman" w:cs="宋体" w:eastAsiaTheme="minorEastAsia"/>
          <w:sz w:val="21"/>
          <w:szCs w:val="21"/>
          <w:highlight w:val="none"/>
        </w:rPr>
        <w:t>附件3《分体空调拆装服务项目表》中1.5p空调加连接管的单价最高限价为100元，若中标人报价100元，经第三方造价咨询审核审定后为90元，则该项实际结算金额为90×</w:t>
      </w:r>
      <w:r>
        <w:rPr>
          <w:rFonts w:hint="eastAsia" w:ascii="宋体" w:hAnsi="Times New Roman" w:cs="宋体" w:eastAsiaTheme="minorEastAsia"/>
          <w:sz w:val="21"/>
          <w:szCs w:val="21"/>
          <w:highlight w:val="none"/>
          <w:lang w:val="en-US" w:eastAsia="zh-CN"/>
        </w:rPr>
        <w:t>80%</w:t>
      </w:r>
      <w:r>
        <w:rPr>
          <w:rFonts w:hint="eastAsia" w:ascii="宋体" w:hAnsi="Times New Roman" w:cs="宋体" w:eastAsiaTheme="minorEastAsia"/>
          <w:sz w:val="21"/>
          <w:szCs w:val="21"/>
          <w:highlight w:val="none"/>
        </w:rPr>
        <w:t>=72元。</w:t>
      </w:r>
    </w:p>
    <w:p>
      <w:pPr>
        <w:keepLines w:val="0"/>
        <w:pageBreakBefore w:val="0"/>
        <w:widowControl w:val="0"/>
        <w:kinsoku/>
        <w:wordWrap/>
        <w:overflowPunct/>
        <w:topLinePunct w:val="0"/>
        <w:autoSpaceDE w:val="0"/>
        <w:autoSpaceDN w:val="0"/>
        <w:bidi w:val="0"/>
        <w:adjustRightInd w:val="0"/>
        <w:spacing w:before="25" w:after="25"/>
        <w:ind w:firstLine="420" w:firstLineChars="200"/>
        <w:rPr>
          <w:rFonts w:hint="default" w:ascii="Times New Roman" w:hAnsi="Times New Roman" w:cs="Times New Roman" w:eastAsiaTheme="minorEastAsia"/>
          <w:sz w:val="21"/>
          <w:szCs w:val="21"/>
          <w:highlight w:val="none"/>
          <w:lang w:val="en-US" w:eastAsia="zh-CN" w:bidi="ar-SA"/>
        </w:rPr>
      </w:pPr>
      <w:r>
        <w:rPr>
          <w:rFonts w:hint="eastAsia" w:ascii="Times New Roman" w:hAnsi="Times New Roman" w:cs="Times New Roman" w:eastAsiaTheme="minorEastAsia"/>
          <w:sz w:val="21"/>
          <w:szCs w:val="21"/>
          <w:highlight w:val="none"/>
        </w:rPr>
        <w:t>（四）</w:t>
      </w:r>
      <w:r>
        <w:rPr>
          <w:rFonts w:hint="eastAsia" w:ascii="Times New Roman" w:cs="Times New Roman" w:eastAsiaTheme="minorEastAsia"/>
          <w:sz w:val="21"/>
          <w:szCs w:val="21"/>
          <w:highlight w:val="none"/>
          <w:lang w:val="en-US" w:eastAsia="zh-CN"/>
        </w:rPr>
        <w:t>投标人报价折扣率</w:t>
      </w:r>
      <w:r>
        <w:rPr>
          <w:rFonts w:hint="eastAsia" w:eastAsia="宋体"/>
          <w:highlight w:val="none"/>
          <w:lang w:eastAsia="zh-CN"/>
        </w:rPr>
        <w:t>≤</w:t>
      </w:r>
      <w:r>
        <w:rPr>
          <w:rFonts w:hint="eastAsia" w:ascii="Times New Roman" w:cs="Times New Roman" w:eastAsiaTheme="minorEastAsia"/>
          <w:sz w:val="21"/>
          <w:szCs w:val="21"/>
          <w:highlight w:val="none"/>
          <w:lang w:val="en-US" w:eastAsia="zh-CN"/>
        </w:rPr>
        <w:t>98%。</w:t>
      </w:r>
    </w:p>
    <w:p>
      <w:pPr>
        <w:keepLines w:val="0"/>
        <w:pageBreakBefore w:val="0"/>
        <w:widowControl w:val="0"/>
        <w:kinsoku/>
        <w:wordWrap/>
        <w:overflowPunct/>
        <w:topLinePunct w:val="0"/>
        <w:autoSpaceDE w:val="0"/>
        <w:autoSpaceDN w:val="0"/>
        <w:bidi w:val="0"/>
        <w:adjustRightInd w:val="0"/>
        <w:spacing w:before="25" w:after="25"/>
        <w:rPr>
          <w:rFonts w:ascii="宋体" w:hAnsi="Times New Roman" w:eastAsia="宋体" w:cs="宋体"/>
          <w:bCs/>
          <w:spacing w:val="10"/>
          <w:sz w:val="21"/>
          <w:szCs w:val="21"/>
          <w:highlight w:val="none"/>
          <w:lang w:val="en-US" w:eastAsia="zh-CN" w:bidi="ar-SA"/>
        </w:rPr>
      </w:pPr>
    </w:p>
    <w:p>
      <w:pPr>
        <w:keepLines w:val="0"/>
        <w:pageBreakBefore w:val="0"/>
        <w:tabs>
          <w:tab w:val="left" w:pos="0"/>
        </w:tabs>
        <w:kinsoku/>
        <w:wordWrap/>
        <w:overflowPunct/>
        <w:topLinePunct w:val="0"/>
        <w:autoSpaceDE/>
        <w:autoSpaceDN/>
        <w:bidi w:val="0"/>
        <w:snapToGrid w:val="0"/>
        <w:ind w:firstLine="422" w:firstLineChars="200"/>
        <w:jc w:val="both"/>
        <w:outlineLvl w:val="3"/>
        <w:rPr>
          <w:rFonts w:ascii="Times New Roman" w:hAnsi="Times New Roman" w:cs="Times New Roman" w:eastAsiaTheme="minorEastAsia"/>
          <w:b/>
          <w:bCs/>
          <w:sz w:val="21"/>
          <w:szCs w:val="21"/>
          <w:highlight w:val="none"/>
        </w:rPr>
      </w:pPr>
      <w:r>
        <w:rPr>
          <w:rFonts w:hint="eastAsia" w:ascii="Times New Roman" w:hAnsi="Times New Roman" w:cs="Times New Roman" w:eastAsiaTheme="minorEastAsia"/>
          <w:b/>
          <w:bCs/>
          <w:sz w:val="21"/>
          <w:szCs w:val="21"/>
          <w:highlight w:val="none"/>
        </w:rPr>
        <w:t>三、项目概况</w:t>
      </w:r>
    </w:p>
    <w:p>
      <w:pPr>
        <w:keepLines w:val="0"/>
        <w:pageBreakBefore w:val="0"/>
        <w:widowControl w:val="0"/>
        <w:kinsoku/>
        <w:wordWrap/>
        <w:overflowPunct/>
        <w:topLinePunct w:val="0"/>
        <w:autoSpaceDE w:val="0"/>
        <w:autoSpaceDN w:val="0"/>
        <w:bidi w:val="0"/>
        <w:adjustRightInd w:val="0"/>
        <w:spacing w:before="25" w:after="25"/>
        <w:ind w:firstLine="420" w:firstLineChars="200"/>
        <w:rPr>
          <w:rFonts w:hint="eastAsia" w:ascii="Times New Roman" w:hAnsi="Times New Roman" w:cs="Times New Roman" w:eastAsiaTheme="minorEastAsia"/>
          <w:sz w:val="21"/>
          <w:szCs w:val="21"/>
          <w:highlight w:val="none"/>
          <w:lang w:val="en-US" w:eastAsia="zh-CN" w:bidi="ar-SA"/>
        </w:rPr>
      </w:pPr>
      <w:r>
        <w:rPr>
          <w:rFonts w:hint="eastAsia" w:ascii="Times New Roman" w:hAnsi="Times New Roman" w:cs="Times New Roman" w:eastAsiaTheme="minorEastAsia"/>
          <w:sz w:val="21"/>
          <w:szCs w:val="21"/>
          <w:highlight w:val="none"/>
          <w:lang w:val="en-US" w:eastAsia="zh-CN" w:bidi="ar-SA"/>
        </w:rPr>
        <w:t>（一）服务地点</w:t>
      </w:r>
    </w:p>
    <w:p>
      <w:pPr>
        <w:keepLines w:val="0"/>
        <w:pageBreakBefore w:val="0"/>
        <w:widowControl w:val="0"/>
        <w:kinsoku/>
        <w:wordWrap/>
        <w:overflowPunct/>
        <w:topLinePunct w:val="0"/>
        <w:autoSpaceDE w:val="0"/>
        <w:autoSpaceDN w:val="0"/>
        <w:bidi w:val="0"/>
        <w:adjustRightInd w:val="0"/>
        <w:spacing w:before="25" w:after="25"/>
        <w:ind w:firstLine="420" w:firstLineChars="200"/>
        <w:rPr>
          <w:rFonts w:hint="eastAsia" w:ascii="Times New Roman" w:hAnsi="Times New Roman" w:cs="Times New Roman" w:eastAsiaTheme="minorEastAsia"/>
          <w:sz w:val="21"/>
          <w:szCs w:val="21"/>
          <w:highlight w:val="none"/>
          <w:lang w:val="en-US" w:eastAsia="zh-CN" w:bidi="ar-SA"/>
        </w:rPr>
      </w:pPr>
      <w:r>
        <w:rPr>
          <w:rFonts w:hint="eastAsia" w:ascii="Times New Roman" w:hAnsi="Times New Roman" w:cs="Times New Roman" w:eastAsiaTheme="minorEastAsia"/>
          <w:sz w:val="21"/>
          <w:szCs w:val="21"/>
          <w:highlight w:val="none"/>
          <w:lang w:val="en-US" w:eastAsia="zh-CN" w:bidi="ar-SA"/>
        </w:rPr>
        <w:t>1.广州市第一人民医院总院（总院）：广州市越秀区盘福路1号，以及广州市越秀区人民北路604号（原广州市卫职院）；</w:t>
      </w:r>
    </w:p>
    <w:p>
      <w:pPr>
        <w:keepLines w:val="0"/>
        <w:pageBreakBefore w:val="0"/>
        <w:widowControl w:val="0"/>
        <w:kinsoku/>
        <w:wordWrap/>
        <w:overflowPunct/>
        <w:topLinePunct w:val="0"/>
        <w:autoSpaceDE w:val="0"/>
        <w:autoSpaceDN w:val="0"/>
        <w:bidi w:val="0"/>
        <w:adjustRightInd w:val="0"/>
        <w:spacing w:before="25" w:after="25"/>
        <w:ind w:firstLine="420" w:firstLineChars="200"/>
        <w:rPr>
          <w:rFonts w:hint="eastAsia" w:ascii="Times New Roman" w:hAnsi="Times New Roman" w:cs="Times New Roman" w:eastAsiaTheme="minorEastAsia"/>
          <w:sz w:val="21"/>
          <w:szCs w:val="21"/>
          <w:highlight w:val="none"/>
          <w:lang w:val="en-US" w:eastAsia="zh-CN" w:bidi="ar-SA"/>
        </w:rPr>
      </w:pPr>
      <w:r>
        <w:rPr>
          <w:rFonts w:hint="eastAsia" w:ascii="Times New Roman" w:hAnsi="Times New Roman" w:cs="Times New Roman" w:eastAsiaTheme="minorEastAsia"/>
          <w:sz w:val="21"/>
          <w:szCs w:val="21"/>
          <w:highlight w:val="none"/>
          <w:lang w:val="en-US" w:eastAsia="zh-CN" w:bidi="ar-SA"/>
        </w:rPr>
        <w:t>2.广州市第一人民医院鹤洞分院（鹤洞分院）：广州市荔湾区花地大道南30-32号；</w:t>
      </w:r>
    </w:p>
    <w:p>
      <w:pPr>
        <w:keepLines w:val="0"/>
        <w:pageBreakBefore w:val="0"/>
        <w:widowControl w:val="0"/>
        <w:kinsoku/>
        <w:wordWrap/>
        <w:overflowPunct/>
        <w:topLinePunct w:val="0"/>
        <w:autoSpaceDE w:val="0"/>
        <w:autoSpaceDN w:val="0"/>
        <w:bidi w:val="0"/>
        <w:adjustRightInd w:val="0"/>
        <w:spacing w:before="25" w:after="25"/>
        <w:ind w:firstLine="420" w:firstLineChars="200"/>
        <w:rPr>
          <w:rFonts w:hint="eastAsia" w:ascii="Times New Roman" w:hAnsi="Times New Roman" w:cs="Times New Roman" w:eastAsiaTheme="minorEastAsia"/>
          <w:sz w:val="21"/>
          <w:szCs w:val="21"/>
          <w:highlight w:val="none"/>
          <w:lang w:val="en-US" w:eastAsia="zh-CN" w:bidi="ar-SA"/>
        </w:rPr>
      </w:pPr>
      <w:r>
        <w:rPr>
          <w:rFonts w:hint="eastAsia" w:ascii="Times New Roman" w:cs="Times New Roman" w:eastAsiaTheme="minorEastAsia"/>
          <w:sz w:val="21"/>
          <w:szCs w:val="21"/>
          <w:highlight w:val="none"/>
          <w:lang w:val="en-US" w:eastAsia="zh-CN" w:bidi="ar-SA"/>
        </w:rPr>
        <w:t>3</w:t>
      </w:r>
      <w:r>
        <w:rPr>
          <w:rFonts w:hint="eastAsia" w:ascii="Times New Roman" w:hAnsi="Times New Roman" w:cs="Times New Roman" w:eastAsiaTheme="minorEastAsia"/>
          <w:sz w:val="21"/>
          <w:szCs w:val="21"/>
          <w:highlight w:val="none"/>
          <w:lang w:val="en-US" w:eastAsia="zh-CN" w:bidi="ar-SA"/>
        </w:rPr>
        <w:t>.广州市第一人民医院白云透析中心（白云透析中心）：广州市白云区远景路46号，72-78号；</w:t>
      </w:r>
    </w:p>
    <w:p>
      <w:pPr>
        <w:keepLines w:val="0"/>
        <w:pageBreakBefore w:val="0"/>
        <w:widowControl w:val="0"/>
        <w:kinsoku/>
        <w:wordWrap/>
        <w:overflowPunct/>
        <w:topLinePunct w:val="0"/>
        <w:autoSpaceDE w:val="0"/>
        <w:autoSpaceDN w:val="0"/>
        <w:bidi w:val="0"/>
        <w:adjustRightInd w:val="0"/>
        <w:spacing w:before="25" w:after="25"/>
        <w:ind w:firstLine="420" w:firstLineChars="200"/>
        <w:rPr>
          <w:rFonts w:hint="eastAsia" w:ascii="Times New Roman" w:hAnsi="Times New Roman" w:cs="Times New Roman" w:eastAsiaTheme="minorEastAsia"/>
          <w:sz w:val="21"/>
          <w:szCs w:val="21"/>
          <w:highlight w:val="none"/>
          <w:lang w:val="en-US" w:eastAsia="zh-CN" w:bidi="ar-SA"/>
        </w:rPr>
      </w:pPr>
      <w:r>
        <w:rPr>
          <w:rFonts w:hint="eastAsia" w:ascii="Times New Roman" w:cs="Times New Roman" w:eastAsiaTheme="minorEastAsia"/>
          <w:sz w:val="21"/>
          <w:szCs w:val="21"/>
          <w:highlight w:val="none"/>
          <w:lang w:val="en-US" w:eastAsia="zh-CN" w:bidi="ar-SA"/>
        </w:rPr>
        <w:t>4</w:t>
      </w:r>
      <w:r>
        <w:rPr>
          <w:rFonts w:hint="eastAsia" w:ascii="Times New Roman" w:hAnsi="Times New Roman" w:cs="Times New Roman" w:eastAsiaTheme="minorEastAsia"/>
          <w:sz w:val="21"/>
          <w:szCs w:val="21"/>
          <w:highlight w:val="none"/>
          <w:lang w:val="en-US" w:eastAsia="zh-CN" w:bidi="ar-SA"/>
        </w:rPr>
        <w:t>.其他由采购人指定的属于广州市第一人民医院产权范围内位置。</w:t>
      </w:r>
    </w:p>
    <w:p>
      <w:pPr>
        <w:keepLines w:val="0"/>
        <w:pageBreakBefore w:val="0"/>
        <w:widowControl w:val="0"/>
        <w:kinsoku/>
        <w:wordWrap/>
        <w:overflowPunct/>
        <w:topLinePunct w:val="0"/>
        <w:autoSpaceDE w:val="0"/>
        <w:autoSpaceDN w:val="0"/>
        <w:bidi w:val="0"/>
        <w:adjustRightInd w:val="0"/>
        <w:spacing w:before="25" w:after="25"/>
        <w:ind w:firstLine="420" w:firstLineChars="200"/>
        <w:rPr>
          <w:rFonts w:hint="eastAsia" w:ascii="Times New Roman" w:hAnsi="Times New Roman" w:cs="Times New Roman" w:eastAsiaTheme="minorEastAsia"/>
          <w:sz w:val="21"/>
          <w:szCs w:val="21"/>
          <w:highlight w:val="none"/>
          <w:lang w:val="en-US" w:eastAsia="zh-CN" w:bidi="ar-SA"/>
        </w:rPr>
      </w:pPr>
      <w:r>
        <w:rPr>
          <w:rFonts w:hint="eastAsia" w:ascii="Times New Roman" w:hAnsi="Times New Roman" w:cs="Times New Roman" w:eastAsiaTheme="minorEastAsia"/>
          <w:sz w:val="21"/>
          <w:szCs w:val="21"/>
          <w:highlight w:val="none"/>
          <w:lang w:val="en-US" w:eastAsia="zh-CN" w:bidi="ar-SA"/>
        </w:rPr>
        <w:t>（二）服务内容：</w:t>
      </w:r>
    </w:p>
    <w:p>
      <w:pPr>
        <w:keepLines w:val="0"/>
        <w:pageBreakBefore w:val="0"/>
        <w:widowControl w:val="0"/>
        <w:kinsoku/>
        <w:wordWrap/>
        <w:overflowPunct/>
        <w:topLinePunct w:val="0"/>
        <w:autoSpaceDE w:val="0"/>
        <w:autoSpaceDN w:val="0"/>
        <w:bidi w:val="0"/>
        <w:adjustRightInd w:val="0"/>
        <w:spacing w:before="25" w:after="25"/>
        <w:ind w:firstLine="420" w:firstLineChars="200"/>
        <w:rPr>
          <w:rFonts w:hint="eastAsia" w:ascii="Times New Roman" w:hAnsi="Times New Roman" w:cs="Times New Roman" w:eastAsiaTheme="minorEastAsia"/>
          <w:sz w:val="21"/>
          <w:szCs w:val="21"/>
          <w:highlight w:val="none"/>
          <w:lang w:val="en-US" w:eastAsia="zh-CN" w:bidi="ar-SA"/>
        </w:rPr>
      </w:pPr>
      <w:r>
        <w:rPr>
          <w:rFonts w:hint="eastAsia" w:ascii="Times New Roman" w:hAnsi="Times New Roman" w:cs="Times New Roman" w:eastAsiaTheme="minorEastAsia"/>
          <w:sz w:val="21"/>
          <w:szCs w:val="21"/>
          <w:highlight w:val="none"/>
          <w:lang w:val="en-US" w:eastAsia="zh-CN" w:bidi="ar-SA"/>
        </w:rPr>
        <w:t>1.对采购人上述院区的中央空调系统的主机、冷却水塔、冷却冷冻水泵、风机盘管、冷却冷冻管道、机房电柜风柜及相关配套设施以及院内所有多联机空调、分体空调、柜式空调、天花机、抽湿机、冰箱、冷库设备、电梯空调等温度调节设备进行维修保养服务。</w:t>
      </w:r>
    </w:p>
    <w:p>
      <w:pPr>
        <w:keepLines w:val="0"/>
        <w:pageBreakBefore w:val="0"/>
        <w:widowControl w:val="0"/>
        <w:kinsoku/>
        <w:wordWrap/>
        <w:overflowPunct/>
        <w:topLinePunct w:val="0"/>
        <w:autoSpaceDE w:val="0"/>
        <w:autoSpaceDN w:val="0"/>
        <w:bidi w:val="0"/>
        <w:adjustRightInd w:val="0"/>
        <w:spacing w:before="25" w:after="25"/>
        <w:ind w:firstLine="420" w:firstLineChars="200"/>
        <w:rPr>
          <w:rFonts w:hint="eastAsia" w:ascii="Times New Roman" w:hAnsi="Times New Roman" w:cs="Times New Roman" w:eastAsiaTheme="minorEastAsia"/>
          <w:sz w:val="21"/>
          <w:szCs w:val="21"/>
          <w:highlight w:val="none"/>
          <w:lang w:val="en-US" w:eastAsia="zh-CN" w:bidi="ar-SA"/>
        </w:rPr>
      </w:pPr>
      <w:r>
        <w:rPr>
          <w:rFonts w:hint="eastAsia" w:ascii="Times New Roman" w:hAnsi="Times New Roman" w:cs="Times New Roman" w:eastAsiaTheme="minorEastAsia"/>
          <w:sz w:val="21"/>
          <w:szCs w:val="21"/>
          <w:highlight w:val="none"/>
          <w:lang w:val="en-US" w:eastAsia="zh-CN" w:bidi="ar-SA"/>
        </w:rPr>
        <w:t>2.具体维保设备详见本招标公告附件1、附件2设备维保清单，具体如下：</w:t>
      </w:r>
    </w:p>
    <w:p>
      <w:pPr>
        <w:keepLines w:val="0"/>
        <w:pageBreakBefore w:val="0"/>
        <w:widowControl w:val="0"/>
        <w:kinsoku/>
        <w:wordWrap/>
        <w:overflowPunct/>
        <w:topLinePunct w:val="0"/>
        <w:autoSpaceDE w:val="0"/>
        <w:autoSpaceDN w:val="0"/>
        <w:bidi w:val="0"/>
        <w:adjustRightInd w:val="0"/>
        <w:spacing w:before="25" w:after="25"/>
        <w:ind w:firstLine="420" w:firstLineChars="200"/>
        <w:rPr>
          <w:rFonts w:hint="eastAsia" w:ascii="Times New Roman" w:hAnsi="Times New Roman" w:cs="Times New Roman" w:eastAsiaTheme="minorEastAsia"/>
          <w:sz w:val="21"/>
          <w:szCs w:val="21"/>
          <w:highlight w:val="none"/>
          <w:lang w:val="en-US" w:eastAsia="zh-CN" w:bidi="ar-SA"/>
        </w:rPr>
      </w:pPr>
      <w:r>
        <w:rPr>
          <w:rFonts w:hint="eastAsia" w:ascii="Times New Roman" w:hAnsi="Times New Roman" w:cs="Times New Roman" w:eastAsiaTheme="minorEastAsia"/>
          <w:sz w:val="21"/>
          <w:szCs w:val="21"/>
          <w:highlight w:val="none"/>
          <w:lang w:val="en-US" w:eastAsia="zh-CN" w:bidi="ar-SA"/>
        </w:rPr>
        <w:t>附件1：分体空调、柜式空调、天花机、电冰箱、抽湿机清单；</w:t>
      </w:r>
    </w:p>
    <w:p>
      <w:pPr>
        <w:keepLines w:val="0"/>
        <w:pageBreakBefore w:val="0"/>
        <w:widowControl w:val="0"/>
        <w:kinsoku/>
        <w:wordWrap/>
        <w:overflowPunct/>
        <w:topLinePunct w:val="0"/>
        <w:autoSpaceDE w:val="0"/>
        <w:autoSpaceDN w:val="0"/>
        <w:bidi w:val="0"/>
        <w:adjustRightInd w:val="0"/>
        <w:spacing w:before="25" w:after="25"/>
        <w:ind w:firstLine="420" w:firstLineChars="200"/>
        <w:rPr>
          <w:rFonts w:hint="eastAsia" w:ascii="Times New Roman" w:hAnsi="Times New Roman" w:cs="Times New Roman" w:eastAsiaTheme="minorEastAsia"/>
          <w:sz w:val="21"/>
          <w:szCs w:val="21"/>
          <w:highlight w:val="none"/>
          <w:lang w:val="en-US" w:eastAsia="zh-CN" w:bidi="ar-SA"/>
        </w:rPr>
      </w:pPr>
      <w:r>
        <w:rPr>
          <w:rFonts w:hint="eastAsia" w:ascii="Times New Roman" w:hAnsi="Times New Roman" w:cs="Times New Roman" w:eastAsiaTheme="minorEastAsia"/>
          <w:sz w:val="21"/>
          <w:szCs w:val="21"/>
          <w:highlight w:val="none"/>
          <w:lang w:val="en-US" w:eastAsia="zh-CN" w:bidi="ar-SA"/>
        </w:rPr>
        <w:t>附件2：中央空调、多联体空调及冷库设备清单。</w:t>
      </w:r>
    </w:p>
    <w:p>
      <w:pPr>
        <w:keepLines w:val="0"/>
        <w:pageBreakBefore w:val="0"/>
        <w:widowControl w:val="0"/>
        <w:kinsoku/>
        <w:wordWrap/>
        <w:overflowPunct/>
        <w:topLinePunct w:val="0"/>
        <w:autoSpaceDE w:val="0"/>
        <w:autoSpaceDN w:val="0"/>
        <w:bidi w:val="0"/>
        <w:adjustRightInd w:val="0"/>
        <w:spacing w:before="25" w:after="25"/>
        <w:ind w:firstLine="420" w:firstLineChars="200"/>
        <w:rPr>
          <w:rFonts w:hint="eastAsia" w:ascii="Times New Roman" w:hAnsi="Times New Roman" w:cs="Times New Roman" w:eastAsiaTheme="minorEastAsia"/>
          <w:sz w:val="21"/>
          <w:szCs w:val="21"/>
          <w:highlight w:val="none"/>
          <w:lang w:val="en-US" w:eastAsia="zh-CN" w:bidi="ar-SA"/>
        </w:rPr>
      </w:pPr>
      <w:r>
        <w:rPr>
          <w:rFonts w:hint="eastAsia" w:ascii="Times New Roman" w:hAnsi="Times New Roman" w:cs="Times New Roman" w:eastAsiaTheme="minorEastAsia"/>
          <w:sz w:val="21"/>
          <w:szCs w:val="21"/>
          <w:highlight w:val="none"/>
          <w:lang w:val="en-US" w:eastAsia="zh-CN" w:bidi="ar-SA"/>
        </w:rPr>
        <w:t>3.维保内容明细：</w:t>
      </w:r>
    </w:p>
    <w:tbl>
      <w:tblPr>
        <w:tblStyle w:val="24"/>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624"/>
        <w:gridCol w:w="2887"/>
        <w:gridCol w:w="1898"/>
        <w:gridCol w:w="2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72" w:type="dxa"/>
            <w:vAlign w:val="center"/>
          </w:tcPr>
          <w:p>
            <w:pPr>
              <w:keepLines w:val="0"/>
              <w:pageBreakBefore w:val="0"/>
              <w:kinsoku/>
              <w:wordWrap/>
              <w:overflowPunct/>
              <w:topLinePunct w:val="0"/>
              <w:bidi w:val="0"/>
              <w:snapToGrid w:val="0"/>
              <w:ind w:left="-108" w:leftChars="-49" w:right="-101" w:rightChars="-46"/>
              <w:jc w:val="center"/>
              <w:rPr>
                <w:rFonts w:ascii="Times New Roman" w:hAnsi="Times New Roman" w:cs="Times New Roman" w:eastAsiaTheme="minorEastAsia"/>
                <w:b/>
                <w:kern w:val="2"/>
                <w:sz w:val="21"/>
                <w:szCs w:val="21"/>
                <w:highlight w:val="none"/>
              </w:rPr>
            </w:pPr>
            <w:r>
              <w:rPr>
                <w:rFonts w:hint="eastAsia" w:ascii="Times New Roman" w:hAnsi="Times New Roman" w:cs="Times New Roman" w:eastAsiaTheme="minorEastAsia"/>
                <w:b/>
                <w:kern w:val="2"/>
                <w:sz w:val="21"/>
                <w:szCs w:val="21"/>
                <w:highlight w:val="none"/>
              </w:rPr>
              <w:t>序号</w:t>
            </w:r>
          </w:p>
        </w:tc>
        <w:tc>
          <w:tcPr>
            <w:tcW w:w="1624" w:type="dxa"/>
            <w:vAlign w:val="center"/>
          </w:tcPr>
          <w:p>
            <w:pPr>
              <w:keepLines w:val="0"/>
              <w:pageBreakBefore w:val="0"/>
              <w:kinsoku/>
              <w:wordWrap/>
              <w:overflowPunct/>
              <w:topLinePunct w:val="0"/>
              <w:bidi w:val="0"/>
              <w:snapToGrid w:val="0"/>
              <w:ind w:left="-108" w:leftChars="-49" w:right="-101" w:rightChars="-46"/>
              <w:jc w:val="center"/>
              <w:rPr>
                <w:rFonts w:ascii="Times New Roman" w:hAnsi="Times New Roman" w:cs="Times New Roman" w:eastAsiaTheme="minorEastAsia"/>
                <w:b/>
                <w:kern w:val="2"/>
                <w:sz w:val="21"/>
                <w:szCs w:val="21"/>
                <w:highlight w:val="none"/>
              </w:rPr>
            </w:pPr>
            <w:r>
              <w:rPr>
                <w:rFonts w:hint="eastAsia" w:ascii="Times New Roman" w:hAnsi="Times New Roman" w:cs="Times New Roman" w:eastAsiaTheme="minorEastAsia"/>
                <w:b/>
                <w:kern w:val="2"/>
                <w:sz w:val="21"/>
                <w:szCs w:val="21"/>
                <w:highlight w:val="none"/>
              </w:rPr>
              <w:t>设备名称</w:t>
            </w:r>
          </w:p>
        </w:tc>
        <w:tc>
          <w:tcPr>
            <w:tcW w:w="2887" w:type="dxa"/>
            <w:vAlign w:val="center"/>
          </w:tcPr>
          <w:p>
            <w:pPr>
              <w:keepLines w:val="0"/>
              <w:pageBreakBefore w:val="0"/>
              <w:kinsoku/>
              <w:wordWrap/>
              <w:overflowPunct/>
              <w:topLinePunct w:val="0"/>
              <w:bidi w:val="0"/>
              <w:snapToGrid w:val="0"/>
              <w:ind w:left="-108" w:leftChars="-49" w:right="-101" w:rightChars="-46"/>
              <w:jc w:val="center"/>
              <w:rPr>
                <w:rFonts w:ascii="Times New Roman" w:hAnsi="Times New Roman" w:cs="Times New Roman" w:eastAsiaTheme="minorEastAsia"/>
                <w:b/>
                <w:kern w:val="2"/>
                <w:sz w:val="21"/>
                <w:szCs w:val="21"/>
                <w:highlight w:val="none"/>
              </w:rPr>
            </w:pPr>
            <w:r>
              <w:rPr>
                <w:rFonts w:hint="eastAsia" w:ascii="Times New Roman" w:hAnsi="Times New Roman" w:cs="Times New Roman" w:eastAsiaTheme="minorEastAsia"/>
                <w:b/>
                <w:kern w:val="2"/>
                <w:sz w:val="21"/>
                <w:szCs w:val="21"/>
                <w:highlight w:val="none"/>
              </w:rPr>
              <w:t>电器部分</w:t>
            </w:r>
          </w:p>
        </w:tc>
        <w:tc>
          <w:tcPr>
            <w:tcW w:w="1898" w:type="dxa"/>
            <w:vAlign w:val="center"/>
          </w:tcPr>
          <w:p>
            <w:pPr>
              <w:keepLines w:val="0"/>
              <w:pageBreakBefore w:val="0"/>
              <w:kinsoku/>
              <w:wordWrap/>
              <w:overflowPunct/>
              <w:topLinePunct w:val="0"/>
              <w:bidi w:val="0"/>
              <w:snapToGrid w:val="0"/>
              <w:ind w:left="-108" w:leftChars="-49" w:right="-101" w:rightChars="-46"/>
              <w:jc w:val="center"/>
              <w:rPr>
                <w:rFonts w:ascii="Times New Roman" w:hAnsi="Times New Roman" w:cs="Times New Roman" w:eastAsiaTheme="minorEastAsia"/>
                <w:b/>
                <w:kern w:val="2"/>
                <w:sz w:val="21"/>
                <w:szCs w:val="21"/>
                <w:highlight w:val="none"/>
              </w:rPr>
            </w:pPr>
            <w:r>
              <w:rPr>
                <w:rFonts w:hint="eastAsia" w:ascii="Times New Roman" w:hAnsi="Times New Roman" w:cs="Times New Roman" w:eastAsiaTheme="minorEastAsia"/>
                <w:b/>
                <w:kern w:val="2"/>
                <w:sz w:val="21"/>
                <w:szCs w:val="21"/>
                <w:highlight w:val="none"/>
              </w:rPr>
              <w:t>固定架</w:t>
            </w:r>
          </w:p>
        </w:tc>
        <w:tc>
          <w:tcPr>
            <w:tcW w:w="2286" w:type="dxa"/>
            <w:vAlign w:val="center"/>
          </w:tcPr>
          <w:p>
            <w:pPr>
              <w:keepLines w:val="0"/>
              <w:pageBreakBefore w:val="0"/>
              <w:kinsoku/>
              <w:wordWrap/>
              <w:overflowPunct/>
              <w:topLinePunct w:val="0"/>
              <w:bidi w:val="0"/>
              <w:snapToGrid w:val="0"/>
              <w:ind w:left="-108" w:leftChars="-49" w:right="-101" w:rightChars="-46"/>
              <w:jc w:val="center"/>
              <w:rPr>
                <w:rFonts w:ascii="Times New Roman" w:hAnsi="Times New Roman" w:cs="Times New Roman" w:eastAsiaTheme="minorEastAsia"/>
                <w:b/>
                <w:kern w:val="2"/>
                <w:sz w:val="21"/>
                <w:szCs w:val="21"/>
                <w:highlight w:val="none"/>
              </w:rPr>
            </w:pPr>
            <w:r>
              <w:rPr>
                <w:rFonts w:hint="eastAsia" w:ascii="Times New Roman" w:hAnsi="Times New Roman" w:cs="Times New Roman" w:eastAsiaTheme="minorEastAsia"/>
                <w:b/>
                <w:kern w:val="2"/>
                <w:sz w:val="21"/>
                <w:szCs w:val="21"/>
                <w:highlight w:val="none"/>
              </w:rPr>
              <w:t>排水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pPr>
              <w:keepLines w:val="0"/>
              <w:pageBreakBefore w:val="0"/>
              <w:kinsoku/>
              <w:wordWrap/>
              <w:overflowPunct/>
              <w:topLinePunct w:val="0"/>
              <w:bidi w:val="0"/>
              <w:snapToGrid w:val="0"/>
              <w:ind w:left="-79" w:leftChars="-36" w:right="-81" w:rightChars="-37"/>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1</w:t>
            </w:r>
          </w:p>
        </w:tc>
        <w:tc>
          <w:tcPr>
            <w:tcW w:w="1624" w:type="dxa"/>
            <w:vAlign w:val="center"/>
          </w:tcPr>
          <w:p>
            <w:pPr>
              <w:keepLines w:val="0"/>
              <w:pageBreakBefore w:val="0"/>
              <w:kinsoku/>
              <w:wordWrap/>
              <w:overflowPunct/>
              <w:topLinePunct w:val="0"/>
              <w:bidi w:val="0"/>
              <w:snapToGrid w:val="0"/>
              <w:ind w:left="-79" w:leftChars="-36" w:right="-81" w:rightChars="-37"/>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冰箱、抽湿机</w:t>
            </w:r>
          </w:p>
        </w:tc>
        <w:tc>
          <w:tcPr>
            <w:tcW w:w="2887" w:type="dxa"/>
            <w:vAlign w:val="center"/>
          </w:tcPr>
          <w:p>
            <w:pPr>
              <w:keepLines w:val="0"/>
              <w:pageBreakBefore w:val="0"/>
              <w:kinsoku/>
              <w:wordWrap/>
              <w:overflowPunct/>
              <w:topLinePunct w:val="0"/>
              <w:bidi w:val="0"/>
              <w:snapToGrid w:val="0"/>
              <w:ind w:left="-79" w:leftChars="-36" w:right="-81" w:rightChars="-37"/>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由电源插头至整台设备</w:t>
            </w:r>
          </w:p>
        </w:tc>
        <w:tc>
          <w:tcPr>
            <w:tcW w:w="1898" w:type="dxa"/>
            <w:vAlign w:val="center"/>
          </w:tcPr>
          <w:p>
            <w:pPr>
              <w:keepLines w:val="0"/>
              <w:pageBreakBefore w:val="0"/>
              <w:kinsoku/>
              <w:wordWrap/>
              <w:overflowPunct/>
              <w:topLinePunct w:val="0"/>
              <w:bidi w:val="0"/>
              <w:snapToGrid w:val="0"/>
              <w:ind w:left="-79" w:leftChars="-36" w:right="-81" w:rightChars="-37"/>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不包</w:t>
            </w:r>
          </w:p>
        </w:tc>
        <w:tc>
          <w:tcPr>
            <w:tcW w:w="2286" w:type="dxa"/>
            <w:vAlign w:val="center"/>
          </w:tcPr>
          <w:p>
            <w:pPr>
              <w:keepLines w:val="0"/>
              <w:pageBreakBefore w:val="0"/>
              <w:kinsoku/>
              <w:wordWrap/>
              <w:overflowPunct/>
              <w:topLinePunct w:val="0"/>
              <w:bidi w:val="0"/>
              <w:snapToGrid w:val="0"/>
              <w:ind w:left="-79" w:leftChars="-36" w:right="-81" w:rightChars="-37"/>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pPr>
              <w:keepLines w:val="0"/>
              <w:pageBreakBefore w:val="0"/>
              <w:kinsoku/>
              <w:wordWrap/>
              <w:overflowPunct/>
              <w:topLinePunct w:val="0"/>
              <w:bidi w:val="0"/>
              <w:snapToGrid w:val="0"/>
              <w:ind w:left="-79" w:leftChars="-36" w:right="-81" w:rightChars="-37"/>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2</w:t>
            </w:r>
          </w:p>
        </w:tc>
        <w:tc>
          <w:tcPr>
            <w:tcW w:w="1624" w:type="dxa"/>
            <w:vAlign w:val="center"/>
          </w:tcPr>
          <w:p>
            <w:pPr>
              <w:keepLines w:val="0"/>
              <w:pageBreakBefore w:val="0"/>
              <w:kinsoku/>
              <w:wordWrap/>
              <w:overflowPunct/>
              <w:topLinePunct w:val="0"/>
              <w:bidi w:val="0"/>
              <w:snapToGrid w:val="0"/>
              <w:ind w:left="-79" w:leftChars="-36" w:right="-81" w:rightChars="-37"/>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分体空调、天花机、柜机</w:t>
            </w:r>
          </w:p>
        </w:tc>
        <w:tc>
          <w:tcPr>
            <w:tcW w:w="2887" w:type="dxa"/>
            <w:vAlign w:val="center"/>
          </w:tcPr>
          <w:p>
            <w:pPr>
              <w:keepLines w:val="0"/>
              <w:pageBreakBefore w:val="0"/>
              <w:kinsoku/>
              <w:wordWrap/>
              <w:overflowPunct/>
              <w:topLinePunct w:val="0"/>
              <w:bidi w:val="0"/>
              <w:snapToGrid w:val="0"/>
              <w:ind w:left="-79" w:leftChars="-36" w:right="-81" w:rightChars="-37"/>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由电源插头（开关）、内机、连接管线、外机及滤网</w:t>
            </w:r>
          </w:p>
        </w:tc>
        <w:tc>
          <w:tcPr>
            <w:tcW w:w="1898" w:type="dxa"/>
            <w:vAlign w:val="center"/>
          </w:tcPr>
          <w:p>
            <w:pPr>
              <w:keepLines w:val="0"/>
              <w:pageBreakBefore w:val="0"/>
              <w:kinsoku/>
              <w:wordWrap/>
              <w:overflowPunct/>
              <w:topLinePunct w:val="0"/>
              <w:bidi w:val="0"/>
              <w:snapToGrid w:val="0"/>
              <w:ind w:left="-79" w:leftChars="-36" w:right="-81" w:rightChars="-37"/>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固定螺丝、机脚螺丝、支架</w:t>
            </w:r>
          </w:p>
        </w:tc>
        <w:tc>
          <w:tcPr>
            <w:tcW w:w="2286" w:type="dxa"/>
            <w:vAlign w:val="center"/>
          </w:tcPr>
          <w:p>
            <w:pPr>
              <w:keepLines w:val="0"/>
              <w:pageBreakBefore w:val="0"/>
              <w:kinsoku/>
              <w:wordWrap/>
              <w:overflowPunct/>
              <w:topLinePunct w:val="0"/>
              <w:bidi w:val="0"/>
              <w:snapToGrid w:val="0"/>
              <w:ind w:left="-79" w:leftChars="-36" w:right="-81" w:rightChars="-37"/>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排污口以上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pPr>
              <w:keepLines w:val="0"/>
              <w:pageBreakBefore w:val="0"/>
              <w:kinsoku/>
              <w:wordWrap/>
              <w:overflowPunct/>
              <w:topLinePunct w:val="0"/>
              <w:bidi w:val="0"/>
              <w:snapToGrid w:val="0"/>
              <w:ind w:left="-79" w:leftChars="-36" w:right="-81" w:rightChars="-37"/>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w:t>
            </w:r>
          </w:p>
        </w:tc>
        <w:tc>
          <w:tcPr>
            <w:tcW w:w="1624" w:type="dxa"/>
            <w:vAlign w:val="center"/>
          </w:tcPr>
          <w:p>
            <w:pPr>
              <w:keepLines w:val="0"/>
              <w:pageBreakBefore w:val="0"/>
              <w:kinsoku/>
              <w:wordWrap/>
              <w:overflowPunct/>
              <w:topLinePunct w:val="0"/>
              <w:bidi w:val="0"/>
              <w:snapToGrid w:val="0"/>
              <w:ind w:left="-79" w:leftChars="-36" w:right="-81" w:rightChars="-37"/>
              <w:jc w:val="center"/>
              <w:rPr>
                <w:rFonts w:hint="eastAsia" w:ascii="Times New Roman" w:hAnsi="Times New Roman" w:cs="Times New Roman" w:eastAsiaTheme="minorEastAsia"/>
                <w:kern w:val="2"/>
                <w:sz w:val="21"/>
                <w:szCs w:val="21"/>
                <w:highlight w:val="none"/>
                <w:lang w:val="en-US" w:eastAsia="zh-CN"/>
              </w:rPr>
            </w:pPr>
            <w:r>
              <w:rPr>
                <w:rFonts w:hint="eastAsia" w:ascii="Times New Roman" w:hAnsi="Times New Roman" w:cs="Times New Roman" w:eastAsiaTheme="minorEastAsia"/>
                <w:kern w:val="2"/>
                <w:sz w:val="21"/>
                <w:szCs w:val="21"/>
                <w:highlight w:val="none"/>
              </w:rPr>
              <w:t>多联体空调</w:t>
            </w:r>
            <w:r>
              <w:rPr>
                <w:rFonts w:hint="eastAsia" w:ascii="Times New Roman" w:hAnsi="Times New Roman" w:cs="Times New Roman" w:eastAsiaTheme="minorEastAsia"/>
                <w:kern w:val="2"/>
                <w:sz w:val="21"/>
                <w:szCs w:val="21"/>
                <w:highlight w:val="none"/>
                <w:lang w:val="en-US" w:eastAsia="zh-CN"/>
              </w:rPr>
              <w:t>机组</w:t>
            </w:r>
          </w:p>
        </w:tc>
        <w:tc>
          <w:tcPr>
            <w:tcW w:w="2887" w:type="dxa"/>
            <w:vAlign w:val="center"/>
          </w:tcPr>
          <w:p>
            <w:pPr>
              <w:keepLines w:val="0"/>
              <w:pageBreakBefore w:val="0"/>
              <w:kinsoku/>
              <w:wordWrap/>
              <w:overflowPunct/>
              <w:topLinePunct w:val="0"/>
              <w:bidi w:val="0"/>
              <w:snapToGrid w:val="0"/>
              <w:ind w:left="-79" w:leftChars="-36" w:right="-81" w:rightChars="-37"/>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设备控制柜、电源连接线、内机、连接管线、滤网及出风口回风口</w:t>
            </w:r>
          </w:p>
        </w:tc>
        <w:tc>
          <w:tcPr>
            <w:tcW w:w="1898" w:type="dxa"/>
            <w:vAlign w:val="center"/>
          </w:tcPr>
          <w:p>
            <w:pPr>
              <w:keepLines w:val="0"/>
              <w:pageBreakBefore w:val="0"/>
              <w:kinsoku/>
              <w:wordWrap/>
              <w:overflowPunct/>
              <w:topLinePunct w:val="0"/>
              <w:bidi w:val="0"/>
              <w:snapToGrid w:val="0"/>
              <w:ind w:left="-79" w:leftChars="-36" w:right="-81" w:rightChars="-37"/>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固定螺丝、机脚螺丝、支架</w:t>
            </w:r>
          </w:p>
        </w:tc>
        <w:tc>
          <w:tcPr>
            <w:tcW w:w="2286" w:type="dxa"/>
            <w:vAlign w:val="center"/>
          </w:tcPr>
          <w:p>
            <w:pPr>
              <w:keepLines w:val="0"/>
              <w:pageBreakBefore w:val="0"/>
              <w:kinsoku/>
              <w:wordWrap/>
              <w:overflowPunct/>
              <w:topLinePunct w:val="0"/>
              <w:bidi w:val="0"/>
              <w:snapToGrid w:val="0"/>
              <w:ind w:left="-79" w:leftChars="-36" w:right="-81" w:rightChars="-37"/>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排污口以上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pPr>
              <w:keepLines w:val="0"/>
              <w:pageBreakBefore w:val="0"/>
              <w:kinsoku/>
              <w:wordWrap/>
              <w:overflowPunct/>
              <w:topLinePunct w:val="0"/>
              <w:bidi w:val="0"/>
              <w:snapToGrid w:val="0"/>
              <w:ind w:left="-79" w:leftChars="-36" w:right="-81" w:rightChars="-37"/>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4</w:t>
            </w:r>
          </w:p>
        </w:tc>
        <w:tc>
          <w:tcPr>
            <w:tcW w:w="1624" w:type="dxa"/>
            <w:vAlign w:val="center"/>
          </w:tcPr>
          <w:p>
            <w:pPr>
              <w:keepLines w:val="0"/>
              <w:pageBreakBefore w:val="0"/>
              <w:kinsoku/>
              <w:wordWrap/>
              <w:overflowPunct/>
              <w:topLinePunct w:val="0"/>
              <w:bidi w:val="0"/>
              <w:snapToGrid w:val="0"/>
              <w:ind w:left="-79" w:leftChars="-36" w:right="-81" w:rightChars="-37"/>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中央空调机组</w:t>
            </w:r>
          </w:p>
        </w:tc>
        <w:tc>
          <w:tcPr>
            <w:tcW w:w="2887" w:type="dxa"/>
            <w:vAlign w:val="center"/>
          </w:tcPr>
          <w:p>
            <w:pPr>
              <w:keepLines w:val="0"/>
              <w:pageBreakBefore w:val="0"/>
              <w:kinsoku/>
              <w:wordWrap/>
              <w:overflowPunct/>
              <w:topLinePunct w:val="0"/>
              <w:bidi w:val="0"/>
              <w:snapToGrid w:val="0"/>
              <w:ind w:left="-79" w:leftChars="-36" w:right="-81" w:rightChars="-37"/>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电源动力柜、电源连接线、整台机组</w:t>
            </w:r>
          </w:p>
        </w:tc>
        <w:tc>
          <w:tcPr>
            <w:tcW w:w="1898" w:type="dxa"/>
            <w:vAlign w:val="center"/>
          </w:tcPr>
          <w:p>
            <w:pPr>
              <w:keepLines w:val="0"/>
              <w:pageBreakBefore w:val="0"/>
              <w:kinsoku/>
              <w:wordWrap/>
              <w:overflowPunct/>
              <w:topLinePunct w:val="0"/>
              <w:bidi w:val="0"/>
              <w:snapToGrid w:val="0"/>
              <w:ind w:left="-79" w:leftChars="-36" w:right="-81" w:rightChars="-37"/>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固定螺丝、机脚螺丝、支架</w:t>
            </w:r>
          </w:p>
        </w:tc>
        <w:tc>
          <w:tcPr>
            <w:tcW w:w="2286" w:type="dxa"/>
            <w:vAlign w:val="center"/>
          </w:tcPr>
          <w:p>
            <w:pPr>
              <w:keepLines w:val="0"/>
              <w:pageBreakBefore w:val="0"/>
              <w:kinsoku/>
              <w:wordWrap/>
              <w:overflowPunct/>
              <w:topLinePunct w:val="0"/>
              <w:bidi w:val="0"/>
              <w:snapToGrid w:val="0"/>
              <w:ind w:left="-79" w:leftChars="-36" w:right="-81" w:rightChars="-37"/>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pPr>
              <w:keepLines w:val="0"/>
              <w:pageBreakBefore w:val="0"/>
              <w:kinsoku/>
              <w:wordWrap/>
              <w:overflowPunct/>
              <w:topLinePunct w:val="0"/>
              <w:bidi w:val="0"/>
              <w:snapToGrid w:val="0"/>
              <w:ind w:left="-79" w:leftChars="-36" w:right="-81" w:rightChars="-37"/>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5</w:t>
            </w:r>
          </w:p>
        </w:tc>
        <w:tc>
          <w:tcPr>
            <w:tcW w:w="1624" w:type="dxa"/>
            <w:vAlign w:val="center"/>
          </w:tcPr>
          <w:p>
            <w:pPr>
              <w:keepLines w:val="0"/>
              <w:pageBreakBefore w:val="0"/>
              <w:kinsoku/>
              <w:wordWrap/>
              <w:overflowPunct/>
              <w:topLinePunct w:val="0"/>
              <w:bidi w:val="0"/>
              <w:snapToGrid w:val="0"/>
              <w:ind w:left="-79" w:leftChars="-36" w:right="-81" w:rightChars="-37"/>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水泵</w:t>
            </w:r>
          </w:p>
        </w:tc>
        <w:tc>
          <w:tcPr>
            <w:tcW w:w="2887" w:type="dxa"/>
            <w:vAlign w:val="center"/>
          </w:tcPr>
          <w:p>
            <w:pPr>
              <w:keepLines w:val="0"/>
              <w:pageBreakBefore w:val="0"/>
              <w:kinsoku/>
              <w:wordWrap/>
              <w:overflowPunct/>
              <w:topLinePunct w:val="0"/>
              <w:bidi w:val="0"/>
              <w:snapToGrid w:val="0"/>
              <w:ind w:left="-79" w:leftChars="-36" w:right="-81" w:rightChars="-37"/>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电源动力柜、电源连接线、电机、水泵及冷冻管、冷却管、排污管等管道及管道连接的一切阀体</w:t>
            </w:r>
          </w:p>
        </w:tc>
        <w:tc>
          <w:tcPr>
            <w:tcW w:w="1898" w:type="dxa"/>
            <w:vAlign w:val="center"/>
          </w:tcPr>
          <w:p>
            <w:pPr>
              <w:keepLines w:val="0"/>
              <w:pageBreakBefore w:val="0"/>
              <w:kinsoku/>
              <w:wordWrap/>
              <w:overflowPunct/>
              <w:topLinePunct w:val="0"/>
              <w:bidi w:val="0"/>
              <w:snapToGrid w:val="0"/>
              <w:ind w:left="-79" w:leftChars="-36" w:right="-81" w:rightChars="-37"/>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固定螺丝、机脚螺丝、支架</w:t>
            </w:r>
          </w:p>
        </w:tc>
        <w:tc>
          <w:tcPr>
            <w:tcW w:w="2286" w:type="dxa"/>
            <w:vAlign w:val="center"/>
          </w:tcPr>
          <w:p>
            <w:pPr>
              <w:keepLines w:val="0"/>
              <w:pageBreakBefore w:val="0"/>
              <w:kinsoku/>
              <w:wordWrap/>
              <w:overflowPunct/>
              <w:topLinePunct w:val="0"/>
              <w:bidi w:val="0"/>
              <w:snapToGrid w:val="0"/>
              <w:ind w:left="-79" w:leftChars="-36" w:right="-81" w:rightChars="-37"/>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pPr>
              <w:keepLines w:val="0"/>
              <w:pageBreakBefore w:val="0"/>
              <w:kinsoku/>
              <w:wordWrap/>
              <w:overflowPunct/>
              <w:topLinePunct w:val="0"/>
              <w:bidi w:val="0"/>
              <w:snapToGrid w:val="0"/>
              <w:ind w:left="-79" w:leftChars="-36" w:right="-81" w:rightChars="-37"/>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6</w:t>
            </w:r>
          </w:p>
        </w:tc>
        <w:tc>
          <w:tcPr>
            <w:tcW w:w="1624" w:type="dxa"/>
            <w:vAlign w:val="center"/>
          </w:tcPr>
          <w:p>
            <w:pPr>
              <w:keepLines w:val="0"/>
              <w:pageBreakBefore w:val="0"/>
              <w:kinsoku/>
              <w:wordWrap/>
              <w:overflowPunct/>
              <w:topLinePunct w:val="0"/>
              <w:bidi w:val="0"/>
              <w:snapToGrid w:val="0"/>
              <w:ind w:left="-79" w:leftChars="-36" w:right="-81" w:rightChars="-37"/>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中央空调末端设备</w:t>
            </w:r>
          </w:p>
        </w:tc>
        <w:tc>
          <w:tcPr>
            <w:tcW w:w="2887" w:type="dxa"/>
            <w:vAlign w:val="center"/>
          </w:tcPr>
          <w:p>
            <w:pPr>
              <w:keepLines w:val="0"/>
              <w:pageBreakBefore w:val="0"/>
              <w:kinsoku/>
              <w:wordWrap/>
              <w:overflowPunct/>
              <w:topLinePunct w:val="0"/>
              <w:bidi w:val="0"/>
              <w:snapToGrid w:val="0"/>
              <w:ind w:left="-79" w:leftChars="-36" w:right="-81" w:rightChars="-37"/>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配电箱开关、电源连接线、风机盘管、冷冻管、保温、出风口（含风口百叶）、风管、回风箱、回风框、滤网、温控器</w:t>
            </w:r>
          </w:p>
        </w:tc>
        <w:tc>
          <w:tcPr>
            <w:tcW w:w="1898" w:type="dxa"/>
            <w:vAlign w:val="center"/>
          </w:tcPr>
          <w:p>
            <w:pPr>
              <w:keepLines w:val="0"/>
              <w:pageBreakBefore w:val="0"/>
              <w:kinsoku/>
              <w:wordWrap/>
              <w:overflowPunct/>
              <w:topLinePunct w:val="0"/>
              <w:bidi w:val="0"/>
              <w:snapToGrid w:val="0"/>
              <w:ind w:left="-79" w:leftChars="-36" w:right="-81" w:rightChars="-37"/>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固定螺丝、吊架</w:t>
            </w:r>
          </w:p>
        </w:tc>
        <w:tc>
          <w:tcPr>
            <w:tcW w:w="2286" w:type="dxa"/>
            <w:vAlign w:val="center"/>
          </w:tcPr>
          <w:p>
            <w:pPr>
              <w:keepLines w:val="0"/>
              <w:pageBreakBefore w:val="0"/>
              <w:kinsoku/>
              <w:wordWrap/>
              <w:overflowPunct/>
              <w:topLinePunct w:val="0"/>
              <w:bidi w:val="0"/>
              <w:snapToGrid w:val="0"/>
              <w:ind w:left="-79" w:leftChars="-36" w:right="-81" w:rightChars="-37"/>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排污口以上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pPr>
              <w:keepLines w:val="0"/>
              <w:pageBreakBefore w:val="0"/>
              <w:kinsoku/>
              <w:wordWrap/>
              <w:overflowPunct/>
              <w:topLinePunct w:val="0"/>
              <w:bidi w:val="0"/>
              <w:snapToGrid w:val="0"/>
              <w:ind w:left="-79" w:leftChars="-36" w:right="-81" w:rightChars="-37"/>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7</w:t>
            </w:r>
          </w:p>
        </w:tc>
        <w:tc>
          <w:tcPr>
            <w:tcW w:w="1624" w:type="dxa"/>
            <w:vAlign w:val="center"/>
          </w:tcPr>
          <w:p>
            <w:pPr>
              <w:keepLines w:val="0"/>
              <w:pageBreakBefore w:val="0"/>
              <w:kinsoku/>
              <w:wordWrap/>
              <w:overflowPunct/>
              <w:topLinePunct w:val="0"/>
              <w:bidi w:val="0"/>
              <w:snapToGrid w:val="0"/>
              <w:ind w:left="-79" w:leftChars="-36" w:right="-81" w:rightChars="-37"/>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冷却塔</w:t>
            </w:r>
          </w:p>
        </w:tc>
        <w:tc>
          <w:tcPr>
            <w:tcW w:w="2887" w:type="dxa"/>
            <w:vAlign w:val="center"/>
          </w:tcPr>
          <w:p>
            <w:pPr>
              <w:keepLines w:val="0"/>
              <w:pageBreakBefore w:val="0"/>
              <w:kinsoku/>
              <w:wordWrap/>
              <w:overflowPunct/>
              <w:topLinePunct w:val="0"/>
              <w:bidi w:val="0"/>
              <w:snapToGrid w:val="0"/>
              <w:ind w:left="-79" w:leftChars="-36" w:right="-81" w:rightChars="-37"/>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电源动力柜、电源连接线、电机、冷却塔、补水阀、膨胀水箱、补水泵、水管</w:t>
            </w:r>
          </w:p>
        </w:tc>
        <w:tc>
          <w:tcPr>
            <w:tcW w:w="1898" w:type="dxa"/>
            <w:vAlign w:val="center"/>
          </w:tcPr>
          <w:p>
            <w:pPr>
              <w:keepLines w:val="0"/>
              <w:pageBreakBefore w:val="0"/>
              <w:kinsoku/>
              <w:wordWrap/>
              <w:overflowPunct/>
              <w:topLinePunct w:val="0"/>
              <w:bidi w:val="0"/>
              <w:snapToGrid w:val="0"/>
              <w:ind w:left="-79" w:leftChars="-36" w:right="-81" w:rightChars="-37"/>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固定螺丝、机脚螺丝、支架</w:t>
            </w:r>
          </w:p>
        </w:tc>
        <w:tc>
          <w:tcPr>
            <w:tcW w:w="2286" w:type="dxa"/>
            <w:vAlign w:val="center"/>
          </w:tcPr>
          <w:p>
            <w:pPr>
              <w:keepLines w:val="0"/>
              <w:pageBreakBefore w:val="0"/>
              <w:kinsoku/>
              <w:wordWrap/>
              <w:overflowPunct/>
              <w:topLinePunct w:val="0"/>
              <w:bidi w:val="0"/>
              <w:snapToGrid w:val="0"/>
              <w:ind w:left="-79" w:leftChars="-36" w:right="-81" w:rightChars="-37"/>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排污口以上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pPr>
              <w:keepLines w:val="0"/>
              <w:pageBreakBefore w:val="0"/>
              <w:kinsoku/>
              <w:wordWrap/>
              <w:overflowPunct/>
              <w:topLinePunct w:val="0"/>
              <w:bidi w:val="0"/>
              <w:snapToGrid w:val="0"/>
              <w:ind w:left="-79" w:leftChars="-36" w:right="-81" w:rightChars="-37"/>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8</w:t>
            </w:r>
          </w:p>
        </w:tc>
        <w:tc>
          <w:tcPr>
            <w:tcW w:w="1624" w:type="dxa"/>
            <w:vAlign w:val="center"/>
          </w:tcPr>
          <w:p>
            <w:pPr>
              <w:keepLines w:val="0"/>
              <w:pageBreakBefore w:val="0"/>
              <w:kinsoku/>
              <w:wordWrap/>
              <w:overflowPunct/>
              <w:topLinePunct w:val="0"/>
              <w:bidi w:val="0"/>
              <w:snapToGrid w:val="0"/>
              <w:ind w:left="-79" w:leftChars="-36" w:right="-81" w:rightChars="-37"/>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风冷模块机组</w:t>
            </w:r>
          </w:p>
        </w:tc>
        <w:tc>
          <w:tcPr>
            <w:tcW w:w="2887" w:type="dxa"/>
            <w:vAlign w:val="center"/>
          </w:tcPr>
          <w:p>
            <w:pPr>
              <w:keepLines w:val="0"/>
              <w:pageBreakBefore w:val="0"/>
              <w:kinsoku/>
              <w:wordWrap/>
              <w:overflowPunct/>
              <w:topLinePunct w:val="0"/>
              <w:bidi w:val="0"/>
              <w:snapToGrid w:val="0"/>
              <w:ind w:left="-79" w:leftChars="-36" w:right="-81" w:rightChars="-37"/>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设备控制柜、电源连接线、机组、水泵及冷冻管</w:t>
            </w:r>
          </w:p>
        </w:tc>
        <w:tc>
          <w:tcPr>
            <w:tcW w:w="1898" w:type="dxa"/>
            <w:vAlign w:val="center"/>
          </w:tcPr>
          <w:p>
            <w:pPr>
              <w:keepLines w:val="0"/>
              <w:pageBreakBefore w:val="0"/>
              <w:kinsoku/>
              <w:wordWrap/>
              <w:overflowPunct/>
              <w:topLinePunct w:val="0"/>
              <w:bidi w:val="0"/>
              <w:snapToGrid w:val="0"/>
              <w:ind w:left="-79" w:leftChars="-36" w:right="-81" w:rightChars="-37"/>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固定螺丝、机脚螺丝、支架</w:t>
            </w:r>
          </w:p>
        </w:tc>
        <w:tc>
          <w:tcPr>
            <w:tcW w:w="2286" w:type="dxa"/>
            <w:vAlign w:val="center"/>
          </w:tcPr>
          <w:p>
            <w:pPr>
              <w:keepLines w:val="0"/>
              <w:pageBreakBefore w:val="0"/>
              <w:kinsoku/>
              <w:wordWrap/>
              <w:overflowPunct/>
              <w:topLinePunct w:val="0"/>
              <w:bidi w:val="0"/>
              <w:snapToGrid w:val="0"/>
              <w:ind w:left="-79" w:leftChars="-36" w:right="-81" w:rightChars="-37"/>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排污口以上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pPr>
              <w:keepLines w:val="0"/>
              <w:pageBreakBefore w:val="0"/>
              <w:kinsoku/>
              <w:wordWrap/>
              <w:overflowPunct/>
              <w:topLinePunct w:val="0"/>
              <w:bidi w:val="0"/>
              <w:snapToGrid w:val="0"/>
              <w:ind w:left="-79" w:leftChars="-36" w:right="-81" w:rightChars="-37"/>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9</w:t>
            </w:r>
          </w:p>
        </w:tc>
        <w:tc>
          <w:tcPr>
            <w:tcW w:w="1624" w:type="dxa"/>
            <w:vAlign w:val="center"/>
          </w:tcPr>
          <w:p>
            <w:pPr>
              <w:keepLines w:val="0"/>
              <w:pageBreakBefore w:val="0"/>
              <w:kinsoku/>
              <w:wordWrap/>
              <w:overflowPunct/>
              <w:topLinePunct w:val="0"/>
              <w:bidi w:val="0"/>
              <w:snapToGrid w:val="0"/>
              <w:ind w:left="-79" w:leftChars="-36" w:right="-81" w:rightChars="-37"/>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热泵机组</w:t>
            </w:r>
          </w:p>
        </w:tc>
        <w:tc>
          <w:tcPr>
            <w:tcW w:w="2887" w:type="dxa"/>
            <w:vAlign w:val="center"/>
          </w:tcPr>
          <w:p>
            <w:pPr>
              <w:keepLines w:val="0"/>
              <w:pageBreakBefore w:val="0"/>
              <w:kinsoku/>
              <w:wordWrap/>
              <w:overflowPunct/>
              <w:topLinePunct w:val="0"/>
              <w:bidi w:val="0"/>
              <w:snapToGrid w:val="0"/>
              <w:ind w:left="-79" w:leftChars="-36" w:right="-81" w:rightChars="-37"/>
              <w:jc w:val="center"/>
              <w:rPr>
                <w:rFonts w:hint="default" w:ascii="Times New Roman" w:hAnsi="Times New Roman" w:cs="Times New Roman" w:eastAsiaTheme="minorEastAsia"/>
                <w:kern w:val="2"/>
                <w:sz w:val="21"/>
                <w:szCs w:val="21"/>
                <w:highlight w:val="none"/>
                <w:lang w:val="en-US" w:eastAsia="zh-CN"/>
              </w:rPr>
            </w:pPr>
            <w:r>
              <w:rPr>
                <w:rFonts w:hint="eastAsia" w:ascii="Times New Roman" w:hAnsi="Times New Roman" w:cs="Times New Roman" w:eastAsiaTheme="minorEastAsia"/>
                <w:kern w:val="2"/>
                <w:sz w:val="21"/>
                <w:szCs w:val="21"/>
                <w:highlight w:val="none"/>
              </w:rPr>
              <w:t>设备控制柜、电源连接线、机组、循环水泵</w:t>
            </w:r>
            <w:r>
              <w:rPr>
                <w:rFonts w:hint="eastAsia" w:ascii="Times New Roman" w:cs="Times New Roman" w:eastAsiaTheme="minorEastAsia"/>
                <w:kern w:val="2"/>
                <w:sz w:val="21"/>
                <w:szCs w:val="21"/>
                <w:highlight w:val="none"/>
                <w:lang w:eastAsia="zh-CN"/>
              </w:rPr>
              <w:t>、</w:t>
            </w:r>
            <w:r>
              <w:rPr>
                <w:rFonts w:hint="eastAsia" w:ascii="Times New Roman" w:cs="Times New Roman" w:eastAsiaTheme="minorEastAsia"/>
                <w:kern w:val="2"/>
                <w:sz w:val="21"/>
                <w:szCs w:val="21"/>
                <w:highlight w:val="none"/>
                <w:lang w:val="en-US" w:eastAsia="zh-CN"/>
              </w:rPr>
              <w:t>前置过滤设备</w:t>
            </w:r>
          </w:p>
        </w:tc>
        <w:tc>
          <w:tcPr>
            <w:tcW w:w="1898" w:type="dxa"/>
            <w:vAlign w:val="center"/>
          </w:tcPr>
          <w:p>
            <w:pPr>
              <w:keepLines w:val="0"/>
              <w:pageBreakBefore w:val="0"/>
              <w:kinsoku/>
              <w:wordWrap/>
              <w:overflowPunct/>
              <w:topLinePunct w:val="0"/>
              <w:bidi w:val="0"/>
              <w:snapToGrid w:val="0"/>
              <w:ind w:left="-79" w:leftChars="-36" w:right="-81" w:rightChars="-37"/>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固定螺丝、机脚螺丝、支架</w:t>
            </w:r>
          </w:p>
        </w:tc>
        <w:tc>
          <w:tcPr>
            <w:tcW w:w="2286" w:type="dxa"/>
            <w:vAlign w:val="center"/>
          </w:tcPr>
          <w:p>
            <w:pPr>
              <w:keepLines w:val="0"/>
              <w:pageBreakBefore w:val="0"/>
              <w:kinsoku/>
              <w:wordWrap/>
              <w:overflowPunct/>
              <w:topLinePunct w:val="0"/>
              <w:bidi w:val="0"/>
              <w:snapToGrid w:val="0"/>
              <w:ind w:left="-79" w:leftChars="-36" w:right="-81" w:rightChars="-37"/>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pPr>
              <w:keepLines w:val="0"/>
              <w:pageBreakBefore w:val="0"/>
              <w:kinsoku/>
              <w:wordWrap/>
              <w:overflowPunct/>
              <w:topLinePunct w:val="0"/>
              <w:bidi w:val="0"/>
              <w:snapToGrid w:val="0"/>
              <w:ind w:left="-79" w:leftChars="-36" w:right="-81" w:rightChars="-37"/>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10</w:t>
            </w:r>
          </w:p>
        </w:tc>
        <w:tc>
          <w:tcPr>
            <w:tcW w:w="1624" w:type="dxa"/>
            <w:vAlign w:val="center"/>
          </w:tcPr>
          <w:p>
            <w:pPr>
              <w:keepLines w:val="0"/>
              <w:pageBreakBefore w:val="0"/>
              <w:kinsoku/>
              <w:wordWrap/>
              <w:overflowPunct/>
              <w:topLinePunct w:val="0"/>
              <w:bidi w:val="0"/>
              <w:snapToGrid w:val="0"/>
              <w:ind w:left="-79" w:leftChars="-36" w:right="-81" w:rightChars="-37"/>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冷库</w:t>
            </w:r>
          </w:p>
        </w:tc>
        <w:tc>
          <w:tcPr>
            <w:tcW w:w="2887" w:type="dxa"/>
            <w:vAlign w:val="center"/>
          </w:tcPr>
          <w:p>
            <w:pPr>
              <w:keepLines w:val="0"/>
              <w:pageBreakBefore w:val="0"/>
              <w:kinsoku/>
              <w:wordWrap/>
              <w:overflowPunct/>
              <w:topLinePunct w:val="0"/>
              <w:bidi w:val="0"/>
              <w:snapToGrid w:val="0"/>
              <w:ind w:left="-79" w:leftChars="-36" w:right="-81" w:rightChars="-37"/>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电源控制柜、电源连接线、压缩机、冷凝机组、蒸发器、电控系统、化霜控制器、库内照明及安全装置</w:t>
            </w:r>
          </w:p>
        </w:tc>
        <w:tc>
          <w:tcPr>
            <w:tcW w:w="1898" w:type="dxa"/>
            <w:vAlign w:val="center"/>
          </w:tcPr>
          <w:p>
            <w:pPr>
              <w:keepLines w:val="0"/>
              <w:pageBreakBefore w:val="0"/>
              <w:kinsoku/>
              <w:wordWrap/>
              <w:overflowPunct/>
              <w:topLinePunct w:val="0"/>
              <w:bidi w:val="0"/>
              <w:snapToGrid w:val="0"/>
              <w:ind w:left="-79" w:leftChars="-36" w:right="-81" w:rightChars="-37"/>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固定螺丝、机脚螺丝、支架、库体连接紧固件</w:t>
            </w:r>
          </w:p>
        </w:tc>
        <w:tc>
          <w:tcPr>
            <w:tcW w:w="2286" w:type="dxa"/>
            <w:vAlign w:val="center"/>
          </w:tcPr>
          <w:p>
            <w:pPr>
              <w:keepLines w:val="0"/>
              <w:pageBreakBefore w:val="0"/>
              <w:kinsoku/>
              <w:wordWrap/>
              <w:overflowPunct/>
              <w:topLinePunct w:val="0"/>
              <w:bidi w:val="0"/>
              <w:snapToGrid w:val="0"/>
              <w:ind w:left="-79" w:leftChars="-36" w:right="-81" w:rightChars="-37"/>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排水管道、排水口、化霜排水槽及加热装置</w:t>
            </w:r>
          </w:p>
        </w:tc>
      </w:tr>
    </w:tbl>
    <w:p>
      <w:pPr>
        <w:keepLines w:val="0"/>
        <w:pageBreakBefore w:val="0"/>
        <w:tabs>
          <w:tab w:val="left" w:pos="709"/>
          <w:tab w:val="left" w:pos="2340"/>
        </w:tabs>
        <w:kinsoku/>
        <w:wordWrap/>
        <w:overflowPunct/>
        <w:topLinePunct w:val="0"/>
        <w:bidi w:val="0"/>
        <w:snapToGrid w:val="0"/>
        <w:ind w:left="142"/>
        <w:jc w:val="both"/>
        <w:outlineLvl w:val="3"/>
        <w:rPr>
          <w:rFonts w:ascii="Times New Roman" w:hAnsi="Times New Roman" w:cs="Times New Roman" w:eastAsiaTheme="minorEastAsia"/>
          <w:sz w:val="21"/>
          <w:szCs w:val="21"/>
          <w:highlight w:val="none"/>
        </w:rPr>
      </w:pPr>
    </w:p>
    <w:p>
      <w:pPr>
        <w:keepLines w:val="0"/>
        <w:pageBreakBefore w:val="0"/>
        <w:tabs>
          <w:tab w:val="left" w:pos="0"/>
        </w:tabs>
        <w:kinsoku/>
        <w:wordWrap/>
        <w:overflowPunct/>
        <w:topLinePunct w:val="0"/>
        <w:bidi w:val="0"/>
        <w:snapToGrid w:val="0"/>
        <w:ind w:firstLine="422" w:firstLineChars="200"/>
        <w:jc w:val="both"/>
        <w:outlineLvl w:val="3"/>
        <w:rPr>
          <w:rFonts w:ascii="Times New Roman" w:hAnsi="Times New Roman" w:cs="Times New Roman" w:eastAsiaTheme="minorEastAsia"/>
          <w:b/>
          <w:bCs/>
          <w:sz w:val="21"/>
          <w:szCs w:val="21"/>
          <w:highlight w:val="none"/>
        </w:rPr>
      </w:pPr>
      <w:r>
        <w:rPr>
          <w:rFonts w:hint="eastAsia" w:ascii="Times New Roman" w:hAnsi="Times New Roman" w:cs="Times New Roman" w:eastAsiaTheme="minorEastAsia"/>
          <w:b/>
          <w:bCs/>
          <w:sz w:val="21"/>
          <w:szCs w:val="21"/>
          <w:highlight w:val="none"/>
          <w:lang w:eastAsia="zh-CN"/>
        </w:rPr>
        <w:t>四</w:t>
      </w:r>
      <w:r>
        <w:rPr>
          <w:rFonts w:hint="eastAsia" w:ascii="Times New Roman" w:hAnsi="Times New Roman" w:cs="Times New Roman" w:eastAsiaTheme="minorEastAsia"/>
          <w:b/>
          <w:bCs/>
          <w:sz w:val="21"/>
          <w:szCs w:val="21"/>
          <w:highlight w:val="none"/>
        </w:rPr>
        <w:t>、维保服务人员要求</w:t>
      </w:r>
    </w:p>
    <w:p>
      <w:pPr>
        <w:keepLines w:val="0"/>
        <w:pageBreakBefore w:val="0"/>
        <w:tabs>
          <w:tab w:val="left" w:pos="709"/>
          <w:tab w:val="left" w:pos="2340"/>
        </w:tabs>
        <w:kinsoku/>
        <w:wordWrap/>
        <w:overflowPunct/>
        <w:topLinePunct w:val="0"/>
        <w:bidi w:val="0"/>
        <w:ind w:firstLine="420" w:firstLineChars="200"/>
        <w:jc w:val="both"/>
        <w:rPr>
          <w:rFonts w:ascii="Times New Roman" w:hAnsi="Times New Roman" w:cs="Times New Roman" w:eastAsiaTheme="minorEastAsia"/>
          <w:sz w:val="21"/>
          <w:szCs w:val="21"/>
          <w:highlight w:val="none"/>
        </w:rPr>
      </w:pPr>
      <w:r>
        <w:rPr>
          <w:rFonts w:hint="eastAsia" w:ascii="Segoe UI Symbol" w:hAnsi="Segoe UI Symbol" w:cs="Segoe UI Symbol" w:eastAsiaTheme="minorEastAsia"/>
          <w:sz w:val="21"/>
          <w:szCs w:val="21"/>
          <w:highlight w:val="none"/>
        </w:rPr>
        <w:t>★</w:t>
      </w:r>
      <w:r>
        <w:rPr>
          <w:rFonts w:hint="eastAsia" w:ascii="Times New Roman" w:hAnsi="Times New Roman" w:cs="Times New Roman" w:eastAsiaTheme="minorEastAsia"/>
          <w:sz w:val="21"/>
          <w:szCs w:val="21"/>
          <w:highlight w:val="none"/>
        </w:rPr>
        <w:t>1.本项目要求维保服务人员</w:t>
      </w:r>
      <w:r>
        <w:rPr>
          <w:rFonts w:hint="eastAsia" w:ascii="Times New Roman" w:hAnsi="Times New Roman" w:cs="Times New Roman" w:eastAsiaTheme="minorEastAsia"/>
          <w:sz w:val="21"/>
          <w:szCs w:val="21"/>
          <w:highlight w:val="none"/>
          <w:lang w:val="en-US" w:eastAsia="zh-CN"/>
        </w:rPr>
        <w:t>≥13人，安排</w:t>
      </w:r>
      <w:r>
        <w:rPr>
          <w:rFonts w:hint="eastAsia" w:ascii="Times New Roman" w:hAnsi="Times New Roman" w:cs="Times New Roman" w:eastAsiaTheme="minorEastAsia"/>
          <w:sz w:val="21"/>
          <w:szCs w:val="21"/>
          <w:highlight w:val="none"/>
        </w:rPr>
        <w:t>如下：</w:t>
      </w:r>
    </w:p>
    <w:p>
      <w:pPr>
        <w:keepLines w:val="0"/>
        <w:pageBreakBefore w:val="0"/>
        <w:tabs>
          <w:tab w:val="left" w:pos="709"/>
          <w:tab w:val="left" w:pos="2340"/>
        </w:tabs>
        <w:kinsoku/>
        <w:wordWrap/>
        <w:overflowPunct/>
        <w:topLinePunct w:val="0"/>
        <w:bidi w:val="0"/>
        <w:ind w:firstLine="420" w:firstLineChars="200"/>
        <w:jc w:val="both"/>
        <w:rPr>
          <w:rFonts w:hint="eastAsia" w:ascii="宋体" w:hAnsi="宋体" w:eastAsia="宋体" w:cs="宋体"/>
          <w:sz w:val="21"/>
          <w:szCs w:val="21"/>
          <w:highlight w:val="none"/>
        </w:rPr>
      </w:pPr>
      <w:r>
        <w:rPr>
          <w:rFonts w:hint="eastAsia" w:ascii="Times New Roman" w:hAnsi="Times New Roman" w:cs="Times New Roman" w:eastAsiaTheme="minorEastAsia"/>
          <w:sz w:val="21"/>
          <w:szCs w:val="21"/>
          <w:highlight w:val="none"/>
        </w:rPr>
        <w:t>（</w:t>
      </w:r>
      <w:r>
        <w:rPr>
          <w:rFonts w:hint="eastAsia" w:ascii="宋体" w:hAnsi="宋体" w:eastAsia="宋体" w:cs="宋体"/>
          <w:sz w:val="21"/>
          <w:szCs w:val="21"/>
          <w:highlight w:val="none"/>
        </w:rPr>
        <w:t>1）总院：</w:t>
      </w:r>
      <w:bookmarkStart w:id="1" w:name="_Hlk219668703"/>
    </w:p>
    <w:p>
      <w:pPr>
        <w:keepLines w:val="0"/>
        <w:pageBreakBefore w:val="0"/>
        <w:tabs>
          <w:tab w:val="left" w:pos="709"/>
          <w:tab w:val="left" w:pos="2340"/>
        </w:tabs>
        <w:kinsoku/>
        <w:wordWrap/>
        <w:overflowPunct/>
        <w:topLinePunct w:val="0"/>
        <w:bidi w:val="0"/>
        <w:ind w:firstLine="420" w:firstLineChars="200"/>
        <w:jc w:val="both"/>
        <w:rPr>
          <w:rFonts w:hint="eastAsia" w:hAnsi="宋体" w:cs="宋体"/>
          <w:sz w:val="21"/>
          <w:szCs w:val="21"/>
          <w:highlight w:val="none"/>
          <w:lang w:val="en-US" w:eastAsia="zh-CN"/>
        </w:rPr>
      </w:pPr>
      <w:r>
        <w:rPr>
          <w:rFonts w:hint="eastAsia" w:hAnsi="宋体" w:cs="宋体"/>
          <w:sz w:val="21"/>
          <w:szCs w:val="21"/>
          <w:highlight w:val="none"/>
          <w:lang w:val="en-US" w:eastAsia="zh-CN"/>
        </w:rPr>
        <w:t>1.1中标人须派遣驻场维保服务人员</w:t>
      </w:r>
      <w:bookmarkEnd w:id="1"/>
      <w:r>
        <w:rPr>
          <w:rFonts w:hint="eastAsia" w:hAnsi="宋体" w:cs="宋体"/>
          <w:sz w:val="21"/>
          <w:szCs w:val="21"/>
          <w:highlight w:val="none"/>
          <w:lang w:val="en-US" w:eastAsia="zh-CN"/>
        </w:rPr>
        <w:t>≥12人（须含专业技术主管≥2人），其中须持有“制冷与空调设备运行操作作业”特种作业操作证≥3人，持有“制冷与空调设备安装修理作业”特种作业操作证≥5人，持有“低压电工作业”特种作业操作证≥1人，持有“高处安装、维护、拆除作业”特种作业操作证≥2人，持有“熔化焊接与热切割作业”特种作业操作证≥1人（投标时提供持证人员有效的技能等级或国家职业资格证书扫描件、查询网址以http://zscx.osta.org.cn/为准查询结果截图并加盖投标人公章）。</w:t>
      </w:r>
    </w:p>
    <w:p>
      <w:pPr>
        <w:keepLines w:val="0"/>
        <w:pageBreakBefore w:val="0"/>
        <w:tabs>
          <w:tab w:val="left" w:pos="709"/>
          <w:tab w:val="left" w:pos="2340"/>
        </w:tabs>
        <w:kinsoku/>
        <w:wordWrap/>
        <w:overflowPunct/>
        <w:topLinePunct w:val="0"/>
        <w:bidi w:val="0"/>
        <w:ind w:firstLine="420" w:firstLineChars="200"/>
        <w:jc w:val="both"/>
        <w:rPr>
          <w:rFonts w:hint="eastAsia" w:hAnsi="宋体" w:cs="宋体"/>
          <w:sz w:val="21"/>
          <w:szCs w:val="21"/>
          <w:highlight w:val="none"/>
          <w:lang w:val="en-US" w:eastAsia="zh-CN"/>
        </w:rPr>
      </w:pPr>
      <w:r>
        <w:rPr>
          <w:rFonts w:hint="eastAsia" w:hAnsi="宋体" w:cs="宋体"/>
          <w:sz w:val="21"/>
          <w:szCs w:val="21"/>
          <w:highlight w:val="none"/>
          <w:lang w:val="en-US" w:eastAsia="zh-CN"/>
        </w:rPr>
        <w:t>1.2中标人所配备的≥2名专业技术主管，须具有机电或暖通类专业中级或以上职称，持有“制冷与空调设备运行操作作业”或“制冷与空调设备安装修理作业”特种作业操作证（投标时提供有效的证书复印件并加盖投标人公章）。</w:t>
      </w:r>
    </w:p>
    <w:p>
      <w:pPr>
        <w:keepLines w:val="0"/>
        <w:pageBreakBefore w:val="0"/>
        <w:tabs>
          <w:tab w:val="left" w:pos="709"/>
          <w:tab w:val="left" w:pos="2340"/>
        </w:tabs>
        <w:kinsoku/>
        <w:wordWrap/>
        <w:overflowPunct/>
        <w:topLinePunct w:val="0"/>
        <w:bidi w:val="0"/>
        <w:ind w:firstLine="420" w:firstLineChars="200"/>
        <w:jc w:val="both"/>
        <w:rPr>
          <w:rFonts w:hint="eastAsia" w:hAnsi="宋体" w:cs="宋体"/>
          <w:sz w:val="21"/>
          <w:szCs w:val="21"/>
          <w:highlight w:val="none"/>
          <w:lang w:val="en-US" w:eastAsia="zh-CN"/>
        </w:rPr>
      </w:pPr>
      <w:r>
        <w:rPr>
          <w:rFonts w:hint="eastAsia" w:hAnsi="宋体" w:cs="宋体"/>
          <w:sz w:val="21"/>
          <w:szCs w:val="21"/>
          <w:highlight w:val="none"/>
          <w:lang w:val="en-US" w:eastAsia="zh-CN"/>
        </w:rPr>
        <w:t>1.3在岗与响应要求：工作时间段（工作日8:00至17:30）须在岗≥10人；非工作时间段（工作日17:30至次日8:00、非工作日全天）须在岗≥2人。</w:t>
      </w:r>
    </w:p>
    <w:p>
      <w:pPr>
        <w:keepNext w:val="0"/>
        <w:keepLines w:val="0"/>
        <w:pageBreakBefore w:val="0"/>
        <w:widowControl w:val="0"/>
        <w:tabs>
          <w:tab w:val="left" w:pos="851"/>
        </w:tabs>
        <w:kinsoku/>
        <w:wordWrap/>
        <w:overflowPunct/>
        <w:topLinePunct w:val="0"/>
        <w:autoSpaceDE w:val="0"/>
        <w:autoSpaceDN w:val="0"/>
        <w:bidi w:val="0"/>
        <w:adjustRightInd w:val="0"/>
        <w:snapToGrid/>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）鹤洞分院：中标人须派遣驻场人员≥1人于工作时间段到岗，其余时间视维修保养计划由总院人员支持，须至少1人持有“制冷与空调设备运行操作作业”或“制冷与空调设备安装修理作业”特种作业操作证。</w:t>
      </w:r>
    </w:p>
    <w:p>
      <w:pPr>
        <w:keepNext w:val="0"/>
        <w:keepLines w:val="0"/>
        <w:pageBreakBefore w:val="0"/>
        <w:widowControl w:val="0"/>
        <w:tabs>
          <w:tab w:val="left" w:pos="851"/>
        </w:tabs>
        <w:kinsoku/>
        <w:wordWrap/>
        <w:overflowPunct/>
        <w:topLinePunct w:val="0"/>
        <w:autoSpaceDE w:val="0"/>
        <w:autoSpaceDN w:val="0"/>
        <w:bidi w:val="0"/>
        <w:adjustRightInd w:val="0"/>
        <w:snapToGrid/>
        <w:ind w:firstLine="460" w:firstLineChars="200"/>
        <w:jc w:val="both"/>
        <w:textAlignment w:val="auto"/>
        <w:rPr>
          <w:rFonts w:hint="eastAsia" w:ascii="宋体" w:hAnsi="宋体" w:eastAsia="宋体" w:cs="宋体"/>
          <w:bCs/>
          <w:spacing w:val="10"/>
          <w:sz w:val="21"/>
          <w:szCs w:val="21"/>
          <w:highlight w:val="none"/>
          <w:lang w:val="en-US" w:eastAsia="zh-CN" w:bidi="ar-SA"/>
        </w:rPr>
      </w:pPr>
      <w:r>
        <w:rPr>
          <w:rFonts w:hint="eastAsia" w:ascii="宋体" w:hAnsi="宋体" w:eastAsia="宋体" w:cs="宋体"/>
          <w:bCs/>
          <w:spacing w:val="10"/>
          <w:sz w:val="21"/>
          <w:szCs w:val="21"/>
          <w:highlight w:val="none"/>
          <w:lang w:val="en-US" w:eastAsia="zh-CN" w:bidi="ar-SA"/>
        </w:rPr>
        <w:t>（3）白云透析中心：</w:t>
      </w:r>
      <w:r>
        <w:rPr>
          <w:rFonts w:hint="eastAsia" w:hAnsi="宋体"/>
          <w:bCs/>
          <w:spacing w:val="10"/>
          <w:sz w:val="21"/>
          <w:szCs w:val="21"/>
          <w:highlight w:val="none"/>
        </w:rPr>
        <w:t>中标人视维修保养计划安排巡查、维保、维修，由总院人员支持</w:t>
      </w:r>
      <w:r>
        <w:rPr>
          <w:rFonts w:hint="eastAsia" w:ascii="宋体" w:hAnsi="宋体" w:eastAsia="宋体" w:cs="宋体"/>
          <w:bCs/>
          <w:spacing w:val="10"/>
          <w:sz w:val="21"/>
          <w:szCs w:val="21"/>
          <w:highlight w:val="none"/>
          <w:lang w:val="en-US" w:eastAsia="zh-CN" w:bidi="ar-SA"/>
        </w:rPr>
        <w:t>。</w:t>
      </w:r>
    </w:p>
    <w:p>
      <w:pPr>
        <w:keepNext w:val="0"/>
        <w:keepLines w:val="0"/>
        <w:pageBreakBefore w:val="0"/>
        <w:widowControl w:val="0"/>
        <w:kinsoku/>
        <w:wordWrap/>
        <w:overflowPunct/>
        <w:topLinePunct w:val="0"/>
        <w:autoSpaceDE w:val="0"/>
        <w:autoSpaceDN w:val="0"/>
        <w:bidi w:val="0"/>
        <w:adjustRightInd w:val="0"/>
        <w:snapToGrid/>
        <w:ind w:firstLine="420" w:firstLineChars="200"/>
        <w:jc w:val="both"/>
        <w:textAlignment w:val="auto"/>
        <w:rPr>
          <w:rStyle w:val="31"/>
          <w:rFonts w:hint="eastAsia" w:ascii="宋体" w:hAnsi="宋体" w:eastAsia="宋体" w:cs="宋体"/>
          <w:sz w:val="21"/>
          <w:szCs w:val="21"/>
          <w:highlight w:val="none"/>
        </w:rPr>
      </w:pPr>
      <w:r>
        <w:rPr>
          <w:rStyle w:val="31"/>
          <w:rFonts w:hint="eastAsia" w:ascii="宋体" w:hAnsi="宋体" w:eastAsia="宋体" w:cs="宋体"/>
          <w:sz w:val="21"/>
          <w:szCs w:val="21"/>
          <w:highlight w:val="none"/>
          <w:lang w:eastAsia="zh-CN"/>
        </w:rPr>
        <w:t>（</w:t>
      </w:r>
      <w:r>
        <w:rPr>
          <w:rStyle w:val="31"/>
          <w:rFonts w:hint="eastAsia" w:hAnsi="宋体" w:cs="宋体"/>
          <w:sz w:val="21"/>
          <w:szCs w:val="21"/>
          <w:highlight w:val="none"/>
          <w:lang w:val="en-US" w:eastAsia="zh-CN"/>
        </w:rPr>
        <w:t>4</w:t>
      </w:r>
      <w:r>
        <w:rPr>
          <w:rStyle w:val="31"/>
          <w:rFonts w:hint="eastAsia" w:ascii="宋体" w:hAnsi="宋体" w:eastAsia="宋体" w:cs="宋体"/>
          <w:sz w:val="21"/>
          <w:szCs w:val="21"/>
          <w:highlight w:val="none"/>
          <w:lang w:eastAsia="zh-CN"/>
        </w:rPr>
        <w:t>）</w:t>
      </w:r>
      <w:r>
        <w:rPr>
          <w:rStyle w:val="31"/>
          <w:rFonts w:hint="eastAsia" w:ascii="宋体" w:hAnsi="宋体" w:eastAsia="宋体" w:cs="宋体"/>
          <w:sz w:val="21"/>
          <w:szCs w:val="21"/>
          <w:highlight w:val="none"/>
        </w:rPr>
        <w:t>中标人须配备巡检人员</w:t>
      </w:r>
      <w:r>
        <w:rPr>
          <w:rStyle w:val="31"/>
          <w:rFonts w:hint="eastAsia" w:ascii="宋体" w:hAnsi="宋体" w:eastAsia="宋体" w:cs="宋体"/>
          <w:sz w:val="21"/>
          <w:szCs w:val="21"/>
          <w:highlight w:val="none"/>
          <w:lang w:eastAsia="zh-CN"/>
        </w:rPr>
        <w:t>，</w:t>
      </w:r>
      <w:r>
        <w:rPr>
          <w:rStyle w:val="31"/>
          <w:rFonts w:hint="eastAsia" w:ascii="宋体" w:hAnsi="宋体" w:eastAsia="宋体" w:cs="宋体"/>
          <w:sz w:val="21"/>
          <w:szCs w:val="21"/>
          <w:highlight w:val="none"/>
        </w:rPr>
        <w:t>须持有“制冷与空调设备运行操作作业”特种作业操作证。</w:t>
      </w:r>
    </w:p>
    <w:p>
      <w:pPr>
        <w:keepLines w:val="0"/>
        <w:pageBreakBefore w:val="0"/>
        <w:kinsoku/>
        <w:wordWrap/>
        <w:overflowPunct/>
        <w:topLinePunct w:val="0"/>
        <w:autoSpaceDE/>
        <w:autoSpaceDN/>
        <w:bidi w:val="0"/>
        <w:jc w:val="both"/>
        <w:rPr>
          <w:rFonts w:ascii="Times New Roman" w:hAnsi="Times New Roman" w:cs="Times New Roman" w:eastAsiaTheme="minorEastAsia"/>
          <w:kern w:val="2"/>
          <w:sz w:val="21"/>
          <w:szCs w:val="21"/>
          <w:highlight w:val="none"/>
        </w:rPr>
      </w:pPr>
    </w:p>
    <w:p>
      <w:pPr>
        <w:keepLines w:val="0"/>
        <w:pageBreakBefore w:val="0"/>
        <w:tabs>
          <w:tab w:val="left" w:pos="0"/>
        </w:tabs>
        <w:kinsoku/>
        <w:wordWrap/>
        <w:overflowPunct/>
        <w:topLinePunct w:val="0"/>
        <w:autoSpaceDE/>
        <w:autoSpaceDN/>
        <w:bidi w:val="0"/>
        <w:snapToGrid w:val="0"/>
        <w:ind w:firstLine="422" w:firstLineChars="200"/>
        <w:jc w:val="both"/>
        <w:outlineLvl w:val="3"/>
        <w:rPr>
          <w:rFonts w:ascii="Times New Roman" w:hAnsi="Times New Roman" w:cs="Times New Roman" w:eastAsiaTheme="minorEastAsia"/>
          <w:b/>
          <w:bCs/>
          <w:sz w:val="21"/>
          <w:szCs w:val="21"/>
          <w:highlight w:val="none"/>
        </w:rPr>
      </w:pPr>
      <w:r>
        <w:rPr>
          <w:rFonts w:hint="eastAsia" w:ascii="Times New Roman" w:hAnsi="Times New Roman" w:cs="Times New Roman" w:eastAsiaTheme="minorEastAsia"/>
          <w:b/>
          <w:bCs/>
          <w:sz w:val="21"/>
          <w:szCs w:val="21"/>
          <w:highlight w:val="none"/>
          <w:lang w:eastAsia="zh-CN"/>
        </w:rPr>
        <w:t>五</w:t>
      </w:r>
      <w:r>
        <w:rPr>
          <w:rFonts w:hint="eastAsia" w:ascii="Times New Roman" w:hAnsi="Times New Roman" w:cs="Times New Roman" w:eastAsiaTheme="minorEastAsia"/>
          <w:b/>
          <w:bCs/>
          <w:sz w:val="21"/>
          <w:szCs w:val="21"/>
          <w:highlight w:val="none"/>
        </w:rPr>
        <w:t>、维保服务总体要求</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Calibri" w:hAnsi="Calibri" w:cs="Times New Roman"/>
          <w:kern w:val="2"/>
          <w:sz w:val="21"/>
          <w:szCs w:val="21"/>
          <w:highlight w:val="none"/>
        </w:rPr>
      </w:pPr>
      <w:r>
        <w:rPr>
          <w:rFonts w:hint="eastAsia" w:ascii="Calibri" w:hAnsi="Calibri" w:cs="Times New Roman"/>
          <w:kern w:val="2"/>
          <w:sz w:val="21"/>
          <w:szCs w:val="21"/>
          <w:highlight w:val="none"/>
        </w:rPr>
        <w:t>★1.中标人应按照《中华人民共和国劳动法》及相关法律法规的规定，保障服务人员的合法权益。中标人须按时足额向服务人员支付不低于广州市现行企业职工最低工资标准的工资，</w:t>
      </w:r>
      <w:r>
        <w:rPr>
          <w:rFonts w:hint="eastAsia" w:ascii="Calibri" w:hAnsi="Calibri" w:cs="Times New Roman"/>
          <w:kern w:val="2"/>
          <w:sz w:val="21"/>
          <w:szCs w:val="21"/>
          <w:highlight w:val="yellow"/>
        </w:rPr>
        <w:t>并依法为服务人员缴纳社会保险和住房公积金。</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Calibri" w:hAnsi="Calibri" w:cs="Times New Roman"/>
          <w:kern w:val="2"/>
          <w:sz w:val="21"/>
          <w:szCs w:val="21"/>
          <w:highlight w:val="none"/>
        </w:rPr>
      </w:pPr>
      <w:r>
        <w:rPr>
          <w:rFonts w:hint="eastAsia" w:ascii="Calibri" w:hAnsi="Calibri" w:cs="Times New Roman"/>
          <w:kern w:val="2"/>
          <w:sz w:val="21"/>
          <w:szCs w:val="21"/>
          <w:highlight w:val="none"/>
        </w:rPr>
        <w:t>2.在维保期内中央空调系统运行出现故障的，中标人须在接到一般故障通知后30分钟内到现场进行维修处理，发生故障在接报后3小时内修复；中标人须在接到位于总院的急修、大修故障通知起15分钟内到达现场处置；如系统发生重大故障不能正常运行的，中标人应尽快排查故障原因，提出书面维修方案报采购人审批，并在人力物力许可的情况下尽快修复；同时应做好相应的临时补救措施，并有书面记录存查。</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Calibri" w:hAnsi="Calibri" w:cs="Times New Roman"/>
          <w:kern w:val="2"/>
          <w:sz w:val="21"/>
          <w:szCs w:val="21"/>
          <w:highlight w:val="none"/>
        </w:rPr>
      </w:pPr>
      <w:r>
        <w:rPr>
          <w:rFonts w:hint="eastAsia" w:ascii="Calibri" w:hAnsi="Calibri" w:cs="Times New Roman"/>
          <w:kern w:val="2"/>
          <w:sz w:val="21"/>
          <w:szCs w:val="21"/>
          <w:highlight w:val="none"/>
        </w:rPr>
        <w:t>★3.中标人专业技术主管须至少1人于工作时段（工作日8:00至17:30）进驻总院，非工作时段视维保维修计划驻场，并保持每日24小时通讯通畅。中标人专业</w:t>
      </w:r>
      <w:r>
        <w:rPr>
          <w:rFonts w:hint="eastAsia" w:ascii="Calibri" w:hAnsi="Calibri" w:cs="Times New Roman"/>
          <w:kern w:val="2"/>
          <w:sz w:val="21"/>
          <w:szCs w:val="21"/>
          <w:highlight w:val="none"/>
          <w:lang w:val="en-US" w:eastAsia="zh-CN"/>
        </w:rPr>
        <w:t>技术</w:t>
      </w:r>
      <w:r>
        <w:rPr>
          <w:rFonts w:hint="eastAsia" w:ascii="Calibri" w:hAnsi="Calibri" w:cs="Times New Roman"/>
          <w:kern w:val="2"/>
          <w:sz w:val="21"/>
          <w:szCs w:val="21"/>
          <w:highlight w:val="none"/>
        </w:rPr>
        <w:t>主管负责本服务（合同）规定的所有服务内容的全面管理，是中标人在本服务项目中的第一责任人。在日常工作中，采购人管理人员仅直接对接中标人专业技术主管，包括信息的向下传达及向上汇报，非应急情况下，采购人管理人员不对接中标人除专业技术主管外的任何驻场人员。</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Calibri" w:hAnsi="Calibri" w:cs="Times New Roman"/>
          <w:kern w:val="2"/>
          <w:sz w:val="21"/>
          <w:szCs w:val="21"/>
          <w:highlight w:val="none"/>
        </w:rPr>
      </w:pPr>
      <w:r>
        <w:rPr>
          <w:rFonts w:hint="eastAsia" w:ascii="Calibri" w:hAnsi="Calibri" w:cs="Times New Roman"/>
          <w:kern w:val="2"/>
          <w:sz w:val="21"/>
          <w:szCs w:val="21"/>
          <w:highlight w:val="none"/>
        </w:rPr>
        <w:t>4.中标人专业技术主管负责：</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Calibri" w:hAnsi="Calibri" w:cs="Times New Roman"/>
          <w:kern w:val="2"/>
          <w:sz w:val="21"/>
          <w:szCs w:val="21"/>
          <w:highlight w:val="none"/>
        </w:rPr>
      </w:pPr>
      <w:r>
        <w:rPr>
          <w:rFonts w:hint="eastAsia" w:ascii="Calibri" w:hAnsi="Calibri" w:cs="Times New Roman"/>
          <w:kern w:val="2"/>
          <w:sz w:val="21"/>
          <w:szCs w:val="21"/>
          <w:highlight w:val="none"/>
        </w:rPr>
        <w:t>（1）根据本服务的规模和复杂程度，配置足额的常驻维保服务人员，并妥善制定值班、培训、内部考核计划；</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Calibri" w:hAnsi="Calibri" w:cs="Times New Roman"/>
          <w:kern w:val="2"/>
          <w:sz w:val="21"/>
          <w:szCs w:val="21"/>
          <w:highlight w:val="none"/>
        </w:rPr>
      </w:pPr>
      <w:r>
        <w:rPr>
          <w:rFonts w:hint="eastAsia" w:ascii="Calibri" w:hAnsi="Calibri" w:cs="Times New Roman"/>
          <w:kern w:val="2"/>
          <w:sz w:val="21"/>
          <w:szCs w:val="21"/>
          <w:highlight w:val="none"/>
        </w:rPr>
        <w:t>（2）组织对本服务内所有温度调节设备的日常巡检、定期维护保养，每月向采购人提交系统运行报告、保养工作总结及改进建议；</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Calibri" w:hAnsi="Calibri" w:cs="Times New Roman"/>
          <w:kern w:val="2"/>
          <w:sz w:val="21"/>
          <w:szCs w:val="21"/>
          <w:highlight w:val="none"/>
        </w:rPr>
      </w:pPr>
      <w:r>
        <w:rPr>
          <w:rFonts w:hint="eastAsia" w:ascii="Calibri" w:hAnsi="Calibri" w:cs="Times New Roman"/>
          <w:kern w:val="2"/>
          <w:sz w:val="21"/>
          <w:szCs w:val="21"/>
          <w:highlight w:val="none"/>
        </w:rPr>
        <w:t>（3）对接采购人各部门报修人，快速进行故障诊断、调动资源组织维修并及时向采购人管理人员汇报处理进展；</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Calibri" w:hAnsi="Calibri" w:cs="Times New Roman"/>
          <w:kern w:val="2"/>
          <w:sz w:val="21"/>
          <w:szCs w:val="21"/>
          <w:highlight w:val="none"/>
        </w:rPr>
      </w:pPr>
      <w:r>
        <w:rPr>
          <w:rFonts w:hint="eastAsia" w:ascii="Calibri" w:hAnsi="Calibri" w:cs="Times New Roman"/>
          <w:kern w:val="2"/>
          <w:sz w:val="21"/>
          <w:szCs w:val="21"/>
          <w:highlight w:val="none"/>
        </w:rPr>
        <w:t>（4）建立并维护完整的设备档案、维修保养记录、配件更换台账。</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Calibri" w:hAnsi="Calibri" w:cs="Times New Roman"/>
          <w:kern w:val="2"/>
          <w:sz w:val="21"/>
          <w:szCs w:val="21"/>
          <w:highlight w:val="none"/>
        </w:rPr>
      </w:pPr>
      <w:r>
        <w:rPr>
          <w:rFonts w:hint="eastAsia" w:ascii="Calibri" w:hAnsi="Calibri" w:cs="Times New Roman"/>
          <w:kern w:val="2"/>
          <w:sz w:val="21"/>
          <w:szCs w:val="21"/>
          <w:highlight w:val="none"/>
        </w:rPr>
        <w:t>5.中标人接到报修通知并到达现场后发现无法处理的，若专业技术主管不在现场，现场人员应首先报告专业技术主管，由专业技术主管协调处理；若专业技术主管在现场，由专业技术主管报采购人管理人员处理。因客观原因引起的维修推迟，专业技术主管须及时与采购人报修部门做好沟通解释工作。</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Calibri" w:hAnsi="Calibri" w:eastAsia="宋体" w:cs="Times New Roman"/>
          <w:kern w:val="2"/>
          <w:sz w:val="21"/>
          <w:szCs w:val="21"/>
          <w:highlight w:val="none"/>
          <w:lang w:val="en-US" w:eastAsia="zh-CN"/>
        </w:rPr>
      </w:pPr>
      <w:r>
        <w:rPr>
          <w:rFonts w:hint="eastAsia" w:ascii="Calibri" w:hAnsi="Calibri" w:cs="Times New Roman"/>
          <w:kern w:val="2"/>
          <w:sz w:val="21"/>
          <w:szCs w:val="21"/>
          <w:highlight w:val="none"/>
        </w:rPr>
        <w:t>6.中标人须安排巡检人员负责对</w:t>
      </w:r>
      <w:r>
        <w:rPr>
          <w:rFonts w:hint="eastAsia" w:ascii="Calibri" w:hAnsi="Calibri" w:cs="Times New Roman"/>
          <w:kern w:val="2"/>
          <w:sz w:val="21"/>
          <w:szCs w:val="21"/>
          <w:highlight w:val="none"/>
          <w:lang w:val="en-US" w:eastAsia="zh-CN"/>
        </w:rPr>
        <w:t>总院、鹤洞分院</w:t>
      </w:r>
      <w:r>
        <w:rPr>
          <w:rFonts w:hint="eastAsia" w:ascii="Calibri" w:hAnsi="Calibri" w:cs="Times New Roman"/>
          <w:kern w:val="2"/>
          <w:sz w:val="21"/>
          <w:szCs w:val="21"/>
          <w:highlight w:val="none"/>
        </w:rPr>
        <w:t>的温度调节设备进行巡检</w:t>
      </w:r>
      <w:r>
        <w:rPr>
          <w:rFonts w:hint="eastAsia" w:ascii="Calibri" w:hAnsi="Calibri" w:cs="Times New Roman"/>
          <w:kern w:val="2"/>
          <w:sz w:val="21"/>
          <w:szCs w:val="21"/>
          <w:highlight w:val="none"/>
          <w:lang w:eastAsia="zh-CN"/>
        </w:rPr>
        <w:t>，</w:t>
      </w:r>
      <w:r>
        <w:rPr>
          <w:rFonts w:hint="eastAsia" w:ascii="Calibri" w:hAnsi="Calibri" w:cs="Times New Roman"/>
          <w:kern w:val="2"/>
          <w:sz w:val="21"/>
          <w:szCs w:val="21"/>
          <w:highlight w:val="none"/>
          <w:lang w:val="en-US" w:eastAsia="zh-CN"/>
        </w:rPr>
        <w:t>上下午各1次</w:t>
      </w:r>
      <w:r>
        <w:rPr>
          <w:rFonts w:hint="eastAsia" w:ascii="Calibri" w:hAnsi="Calibri" w:cs="Times New Roman"/>
          <w:kern w:val="2"/>
          <w:sz w:val="21"/>
          <w:szCs w:val="21"/>
          <w:highlight w:val="none"/>
        </w:rPr>
        <w:t>，巡检须覆盖包括但不限于中央空调机组整体、多联体机组整体、冷库整体、各大楼室外机等。如因巡查不到位造成空调故障或损坏的，由中标人负全部责任。</w:t>
      </w:r>
      <w:r>
        <w:rPr>
          <w:rFonts w:hint="eastAsia" w:ascii="Calibri" w:hAnsi="Calibri" w:cs="Times New Roman"/>
          <w:kern w:val="2"/>
          <w:sz w:val="21"/>
          <w:szCs w:val="21"/>
          <w:highlight w:val="none"/>
          <w:lang w:val="en-US" w:eastAsia="zh-CN"/>
        </w:rPr>
        <w:t>中标人需每月撰写月度服务报告，报告应反映当月巡检、维修（应与结算项目对应）、保养、团队管理等情况。</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Calibri" w:hAnsi="Calibri" w:cs="Times New Roman"/>
          <w:kern w:val="2"/>
          <w:sz w:val="21"/>
          <w:szCs w:val="21"/>
          <w:highlight w:val="none"/>
        </w:rPr>
      </w:pPr>
      <w:r>
        <w:rPr>
          <w:rFonts w:hint="eastAsia" w:ascii="Calibri" w:hAnsi="Calibri" w:cs="Times New Roman"/>
          <w:kern w:val="2"/>
          <w:sz w:val="21"/>
          <w:szCs w:val="21"/>
          <w:highlight w:val="none"/>
        </w:rPr>
        <w:t>7.中标人须在合同生效后2周内根据实地考察情况完善投标时的巡检计划并提交采购人，巡检计划须由持有“制冷与空调设备运行操作作业”特种作业操作证的人员进行编制及签字，落款须有日期。</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Calibri" w:hAnsi="Calibri" w:eastAsia="宋体" w:cs="Times New Roman"/>
          <w:kern w:val="2"/>
          <w:sz w:val="21"/>
          <w:szCs w:val="21"/>
          <w:highlight w:val="none"/>
          <w:lang w:val="en-US" w:eastAsia="zh-CN"/>
        </w:rPr>
      </w:pPr>
      <w:r>
        <w:rPr>
          <w:rFonts w:hint="eastAsia" w:ascii="Calibri" w:hAnsi="Calibri" w:cs="Times New Roman"/>
          <w:kern w:val="2"/>
          <w:sz w:val="21"/>
          <w:szCs w:val="21"/>
          <w:highlight w:val="none"/>
        </w:rPr>
        <w:t>★8.中标人进场后，在执行电焊、气焊、气割作业及使用喷灯、打磨、砂轮、电钻等可能产生火焰、火花和炽热表面的临时性施工作业前，须按采购人要求及时办理动火证。中标人接到报修后首次到达现场时，须判断是否需要动火，若需动火，应立即主动告知采购人管理部门。</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Calibri" w:hAnsi="Calibri" w:cs="Times New Roman"/>
          <w:kern w:val="2"/>
          <w:sz w:val="21"/>
          <w:szCs w:val="21"/>
          <w:highlight w:val="none"/>
        </w:rPr>
      </w:pPr>
      <w:r>
        <w:rPr>
          <w:rFonts w:hint="eastAsia" w:ascii="Calibri" w:hAnsi="Calibri" w:cs="Times New Roman"/>
          <w:kern w:val="2"/>
          <w:sz w:val="21"/>
          <w:szCs w:val="21"/>
          <w:highlight w:val="none"/>
        </w:rPr>
        <w:t>9.采购人提供给中标人的各种资料，中标人应妥善保管，未经采购人同意不得复印和转借，合同期满后完好交回。中标人必须在每次维修或保养后，由中标人出具书面验收报告，交由采购人确认，并记录在案备查和双方存档。中标人应向采购人按日、月、季、年提交详细的维修保养报告、维修保养日、月、季、年报表，检测、试验记录和统计资料等。要求中标人的接单员将电话等工单录入智慧后勤电子系统。严格按照空调系统维护保养手册，进行空调维护保养。</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Calibri" w:hAnsi="Calibri" w:cs="Times New Roman"/>
          <w:kern w:val="2"/>
          <w:sz w:val="21"/>
          <w:szCs w:val="21"/>
          <w:highlight w:val="none"/>
        </w:rPr>
      </w:pPr>
      <w:r>
        <w:rPr>
          <w:rFonts w:hint="eastAsia" w:ascii="Calibri" w:hAnsi="Calibri" w:cs="Times New Roman"/>
          <w:kern w:val="2"/>
          <w:sz w:val="21"/>
          <w:szCs w:val="21"/>
          <w:highlight w:val="none"/>
        </w:rPr>
        <w:t>10.中标人在维保期内应保证其维保的空调设施符合国家建设部等相关部门有关法律、法规，安全、可靠、高效、无故障运行，并能通过相关政府部门的各项检查。</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Calibri" w:hAnsi="Calibri" w:cs="Times New Roman"/>
          <w:kern w:val="2"/>
          <w:sz w:val="21"/>
          <w:szCs w:val="21"/>
          <w:highlight w:val="none"/>
        </w:rPr>
      </w:pPr>
      <w:r>
        <w:rPr>
          <w:rFonts w:hint="eastAsia" w:ascii="Calibri" w:hAnsi="Calibri" w:cs="Times New Roman"/>
          <w:kern w:val="2"/>
          <w:sz w:val="21"/>
          <w:szCs w:val="21"/>
          <w:highlight w:val="none"/>
        </w:rPr>
        <w:t>★11.投标人承诺：保证维修保养所需更换的材料、配件、零件等均为与空调系统设备相匹配的原厂合格产品，如因维修失误、更换的材料不合格导致空调设备出现故障或损坏，由中标人无条件负全部责任（提供承诺函，格式自拟）。</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Calibri" w:hAnsi="Calibri" w:cs="Times New Roman"/>
          <w:kern w:val="2"/>
          <w:sz w:val="21"/>
          <w:szCs w:val="21"/>
          <w:highlight w:val="none"/>
        </w:rPr>
      </w:pPr>
      <w:r>
        <w:rPr>
          <w:rFonts w:hint="eastAsia" w:ascii="Calibri" w:hAnsi="Calibri" w:cs="Times New Roman"/>
          <w:kern w:val="2"/>
          <w:sz w:val="21"/>
          <w:szCs w:val="21"/>
          <w:highlight w:val="none"/>
        </w:rPr>
        <w:t>12.更换高值零配件时，拆下的旧零配件应按采购人要求进行退仓处理。</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Calibri" w:hAnsi="Calibri" w:cs="Times New Roman"/>
          <w:kern w:val="2"/>
          <w:sz w:val="21"/>
          <w:szCs w:val="21"/>
          <w:highlight w:val="none"/>
        </w:rPr>
      </w:pPr>
      <w:r>
        <w:rPr>
          <w:rFonts w:hint="eastAsia" w:ascii="Calibri" w:hAnsi="Calibri" w:cs="Times New Roman"/>
          <w:kern w:val="2"/>
          <w:sz w:val="21"/>
          <w:szCs w:val="21"/>
          <w:highlight w:val="none"/>
        </w:rPr>
        <w:t>★13.投标人承诺：投标人的维修人员到现场应遵守应采购人有关管理制度，如损坏采购人其它设施及财产，中标人无条件负责恢复原状，并承担相关费用（提供承诺函，格式自拟）。</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Calibri" w:hAnsi="Calibri" w:eastAsia="宋体" w:cs="Times New Roman"/>
          <w:kern w:val="2"/>
          <w:sz w:val="21"/>
          <w:szCs w:val="21"/>
          <w:highlight w:val="none"/>
          <w:lang w:val="en-US" w:eastAsia="zh-CN"/>
        </w:rPr>
      </w:pPr>
      <w:r>
        <w:rPr>
          <w:rFonts w:hint="eastAsia" w:ascii="Calibri" w:hAnsi="Calibri" w:cs="Times New Roman"/>
          <w:kern w:val="2"/>
          <w:sz w:val="21"/>
          <w:szCs w:val="21"/>
          <w:highlight w:val="none"/>
        </w:rPr>
        <w:t>14.采购人对中标人每月做一次满意度调查，按维护保养标准考核</w:t>
      </w:r>
      <w:r>
        <w:rPr>
          <w:rFonts w:hint="eastAsia" w:ascii="Calibri" w:hAnsi="Calibri" w:cs="Times New Roman"/>
          <w:kern w:val="2"/>
          <w:sz w:val="21"/>
          <w:szCs w:val="21"/>
          <w:highlight w:val="none"/>
          <w:lang w:eastAsia="zh-CN"/>
        </w:rPr>
        <w:t>，</w:t>
      </w:r>
      <w:r>
        <w:rPr>
          <w:rFonts w:hint="eastAsia" w:ascii="Calibri" w:hAnsi="Calibri" w:cs="Times New Roman"/>
          <w:kern w:val="2"/>
          <w:sz w:val="21"/>
          <w:szCs w:val="21"/>
          <w:highlight w:val="none"/>
          <w:lang w:val="en-US" w:eastAsia="zh-CN"/>
        </w:rPr>
        <w:t>详见“七、服务考核要求”的第5点</w:t>
      </w:r>
      <w:r>
        <w:rPr>
          <w:rFonts w:hint="eastAsia" w:ascii="Calibri" w:hAnsi="Calibri" w:cs="Times New Roman"/>
          <w:kern w:val="2"/>
          <w:sz w:val="21"/>
          <w:szCs w:val="21"/>
          <w:highlight w:val="none"/>
        </w:rPr>
        <w:t>。三个院区分别根据维保考核标准扣分，总院汇总所得分数后按下述标准扣罚。维修保养质量考核及扣罚要求如下：满分100分，表示服务质量达标，全额支付当月服务费用；90≤分值＜100分，每分按250元扣减费用，例如当月得分95分，扣罚1250元；80≤分值＜90分，每分扣罚300元，例如当月得分85分，扣罚4500元；75≤分值＜80分，每分扣罚400元，例如当月得分75分，扣罚10000元；分值＜75分，扣罚当月维保服务费金额的10%。一年内累计2次出现75分以下（不含75分）的，采购人有权终止合同且无需承担责任（详见空调维保考核标准）。</w:t>
      </w:r>
      <w:r>
        <w:rPr>
          <w:rFonts w:hint="eastAsia" w:ascii="Calibri" w:hAnsi="Calibri" w:cs="Times New Roman"/>
          <w:kern w:val="2"/>
          <w:sz w:val="21"/>
          <w:szCs w:val="21"/>
          <w:highlight w:val="none"/>
          <w:lang w:val="en-US" w:eastAsia="zh-CN"/>
        </w:rPr>
        <w:t>中标人不得将扣罚金额转嫁至维保服务人员，因维保服务人员的个人服务质量原因导致的考核扣罚除外。因维保服务人员的个人服务质量原因导致的考核扣罚，应扣罚至相关责任人身上，不得由其他维保服务人员承担。</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Calibri" w:hAnsi="Calibri" w:cs="Times New Roman"/>
          <w:kern w:val="2"/>
          <w:sz w:val="21"/>
          <w:szCs w:val="21"/>
          <w:highlight w:val="none"/>
        </w:rPr>
      </w:pPr>
      <w:r>
        <w:rPr>
          <w:rFonts w:hint="eastAsia" w:ascii="Calibri" w:hAnsi="Calibri" w:cs="Times New Roman"/>
          <w:kern w:val="2"/>
          <w:sz w:val="21"/>
          <w:szCs w:val="21"/>
          <w:highlight w:val="none"/>
        </w:rPr>
        <w:t>15.采购人在项目改（扩）建和设备维修过程中影响原有的中央空调设施使用的，将通知中标人，双方根据实际情况做好确保中央空调系统正常运行的措施，由此产生的费用由采购人另行支付。</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Calibri" w:hAnsi="Calibri" w:cs="Times New Roman"/>
          <w:kern w:val="2"/>
          <w:sz w:val="21"/>
          <w:szCs w:val="21"/>
          <w:highlight w:val="none"/>
        </w:rPr>
      </w:pPr>
      <w:r>
        <w:rPr>
          <w:rFonts w:hint="eastAsia" w:ascii="Calibri" w:hAnsi="Calibri" w:cs="Times New Roman"/>
          <w:kern w:val="2"/>
          <w:sz w:val="21"/>
          <w:szCs w:val="21"/>
          <w:highlight w:val="none"/>
        </w:rPr>
        <w:t>16.在中标人委派维修人员工作期间，采购人提供临时用水、用电、值班场地等方便。</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Calibri" w:hAnsi="Calibri" w:cs="Times New Roman"/>
          <w:kern w:val="2"/>
          <w:sz w:val="21"/>
          <w:szCs w:val="21"/>
          <w:highlight w:val="none"/>
        </w:rPr>
      </w:pPr>
      <w:r>
        <w:rPr>
          <w:rFonts w:hint="eastAsia" w:ascii="Calibri" w:hAnsi="Calibri" w:cs="Times New Roman"/>
          <w:kern w:val="2"/>
          <w:sz w:val="21"/>
          <w:szCs w:val="21"/>
          <w:highlight w:val="none"/>
        </w:rPr>
        <w:t>★</w:t>
      </w:r>
      <w:r>
        <w:rPr>
          <w:rFonts w:hint="eastAsia" w:ascii="Calibri" w:hAnsi="Calibri" w:cs="Times New Roman"/>
          <w:kern w:val="2"/>
          <w:sz w:val="21"/>
          <w:szCs w:val="21"/>
          <w:highlight w:val="none"/>
          <w:lang w:val="en-US" w:eastAsia="zh-CN"/>
        </w:rPr>
        <w:t>17</w:t>
      </w:r>
      <w:r>
        <w:rPr>
          <w:rFonts w:hint="eastAsia" w:ascii="Calibri" w:hAnsi="Calibri" w:cs="Times New Roman"/>
          <w:kern w:val="2"/>
          <w:sz w:val="21"/>
          <w:szCs w:val="21"/>
          <w:highlight w:val="none"/>
        </w:rPr>
        <w:t>.合同期内，中标人不得另外委托其他单位或个人进行本合同范围内工作。若维修不及时，采购人可另请公司维修，费用由中标人支付。</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420" w:firstLineChars="200"/>
        <w:jc w:val="both"/>
        <w:textAlignment w:val="auto"/>
        <w:rPr>
          <w:rFonts w:hint="eastAsia" w:ascii="Calibri" w:hAnsi="Calibri" w:cs="Times New Roman"/>
          <w:kern w:val="2"/>
          <w:sz w:val="21"/>
          <w:szCs w:val="21"/>
          <w:highlight w:val="none"/>
        </w:rPr>
      </w:pPr>
      <w:r>
        <w:rPr>
          <w:rFonts w:hint="eastAsia" w:ascii="Calibri" w:hAnsi="Calibri" w:cs="Times New Roman"/>
          <w:kern w:val="2"/>
          <w:sz w:val="21"/>
          <w:szCs w:val="21"/>
          <w:highlight w:val="none"/>
        </w:rPr>
        <w:t>采购人新增相关</w:t>
      </w:r>
      <w:r>
        <w:rPr>
          <w:rFonts w:hint="eastAsia" w:ascii="Calibri" w:hAnsi="Calibri" w:cs="Times New Roman"/>
          <w:kern w:val="2"/>
          <w:sz w:val="21"/>
          <w:szCs w:val="21"/>
          <w:highlight w:val="none"/>
          <w:lang w:val="en-US" w:eastAsia="zh-CN"/>
        </w:rPr>
        <w:t>温度调节</w:t>
      </w:r>
      <w:r>
        <w:rPr>
          <w:rFonts w:hint="eastAsia" w:ascii="Calibri" w:hAnsi="Calibri" w:cs="Times New Roman"/>
          <w:kern w:val="2"/>
          <w:sz w:val="21"/>
          <w:szCs w:val="21"/>
          <w:highlight w:val="none"/>
        </w:rPr>
        <w:t>设备按新增数量一并纳入维修保养范围，并按本项目采购需求执行。</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420" w:firstLineChars="200"/>
        <w:jc w:val="both"/>
        <w:textAlignment w:val="auto"/>
        <w:rPr>
          <w:rFonts w:hint="eastAsia" w:ascii="Calibri" w:hAnsi="Calibri" w:cs="Times New Roman"/>
          <w:kern w:val="2"/>
          <w:sz w:val="21"/>
          <w:szCs w:val="21"/>
          <w:highlight w:val="none"/>
        </w:rPr>
      </w:pPr>
      <w:r>
        <w:rPr>
          <w:rFonts w:hint="eastAsia" w:ascii="Calibri" w:hAnsi="Calibri" w:cs="Times New Roman"/>
          <w:kern w:val="2"/>
          <w:sz w:val="21"/>
          <w:szCs w:val="21"/>
          <w:highlight w:val="none"/>
        </w:rPr>
        <w:t>维修所需的配件、耗材应该更换的，中标人必须更换。采购人有权要求中标人更换反复修理三次或以上的配件和不合格或翻修的旧配件（更换的配件一定是合格的新产品），如达不到要求，采购人相应扣除中标人服务考核分2分。</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420" w:firstLineChars="200"/>
        <w:jc w:val="both"/>
        <w:textAlignment w:val="auto"/>
        <w:rPr>
          <w:rFonts w:hint="eastAsia" w:ascii="Calibri" w:hAnsi="Calibri" w:cs="Times New Roman"/>
          <w:kern w:val="2"/>
          <w:sz w:val="21"/>
          <w:szCs w:val="21"/>
          <w:highlight w:val="none"/>
        </w:rPr>
      </w:pPr>
      <w:r>
        <w:rPr>
          <w:rFonts w:hint="eastAsia" w:ascii="Calibri" w:hAnsi="Calibri" w:cs="Times New Roman"/>
          <w:kern w:val="2"/>
          <w:sz w:val="21"/>
          <w:szCs w:val="21"/>
          <w:highlight w:val="none"/>
        </w:rPr>
        <w:t>本招标文件及本招标公告其它附件提供的零配件参数为现用品牌型号，投标人须提供全新的、未使用过的配件，配件质量、规格及技术特征须符合使用要求，配件须提供出厂合格证。</w:t>
      </w:r>
    </w:p>
    <w:p>
      <w:pPr>
        <w:numPr>
          <w:ilvl w:val="0"/>
          <w:numId w:val="1"/>
        </w:numPr>
        <w:autoSpaceDE/>
        <w:autoSpaceDN/>
        <w:adjustRightInd/>
        <w:ind w:left="0" w:firstLine="420" w:firstLineChars="200"/>
        <w:jc w:val="both"/>
        <w:rPr>
          <w:highlight w:val="none"/>
        </w:rPr>
      </w:pPr>
      <w:r>
        <w:rPr>
          <w:rFonts w:hint="eastAsia" w:ascii="Calibri" w:hAnsi="Calibri" w:cs="Times New Roman"/>
          <w:kern w:val="2"/>
          <w:sz w:val="21"/>
          <w:szCs w:val="21"/>
          <w:highlight w:val="none"/>
        </w:rPr>
        <w:t>投标人应根据本项目采购需求，配备维保相关作业工具（如中央空调检测仪、真空泵、清洗泵、蒸汽机、制冷剂检漏仪、噪音仪、风速仪等）及项目所需备件耗材等。</w:t>
      </w:r>
    </w:p>
    <w:p>
      <w:pPr>
        <w:numPr>
          <w:ilvl w:val="0"/>
          <w:numId w:val="1"/>
        </w:numPr>
        <w:autoSpaceDE/>
        <w:autoSpaceDN/>
        <w:adjustRightInd/>
        <w:ind w:left="0" w:firstLine="440" w:firstLineChars="200"/>
        <w:jc w:val="both"/>
        <w:rPr>
          <w:highlight w:val="none"/>
        </w:rPr>
      </w:pPr>
      <w:r>
        <w:rPr>
          <w:rFonts w:hint="eastAsia"/>
          <w:highlight w:val="none"/>
        </w:rPr>
        <w:t>若在国家、省、市、区级重要检查或重大突击性任务中，经核实存在因中标人质量责任引发的问题，且中标人存在不及时整改、拒不配合整改情形，导致采购人受到上级部门批评或处罚的，采购人有权单方解除合同并没收中标人已缴纳的履约保证金。因前述情形给采购人造成经济损失的，中标人应承担全部经济损失赔偿责任及相应的法律责任。</w:t>
      </w:r>
    </w:p>
    <w:p>
      <w:pPr>
        <w:keepLines w:val="0"/>
        <w:pageBreakBefore w:val="0"/>
        <w:kinsoku/>
        <w:wordWrap/>
        <w:overflowPunct/>
        <w:topLinePunct w:val="0"/>
        <w:autoSpaceDE/>
        <w:autoSpaceDN/>
        <w:bidi w:val="0"/>
        <w:adjustRightInd/>
        <w:jc w:val="both"/>
        <w:rPr>
          <w:rFonts w:ascii="Times New Roman" w:hAnsi="Times New Roman" w:cs="Times New Roman" w:eastAsiaTheme="minorEastAsia"/>
          <w:b/>
          <w:bCs/>
          <w:kern w:val="2"/>
          <w:sz w:val="21"/>
          <w:szCs w:val="21"/>
          <w:highlight w:val="none"/>
        </w:rPr>
      </w:pPr>
    </w:p>
    <w:p>
      <w:pPr>
        <w:keepLines w:val="0"/>
        <w:pageBreakBefore w:val="0"/>
        <w:kinsoku/>
        <w:wordWrap/>
        <w:overflowPunct/>
        <w:topLinePunct w:val="0"/>
        <w:autoSpaceDE/>
        <w:autoSpaceDN/>
        <w:bidi w:val="0"/>
        <w:adjustRightInd/>
        <w:ind w:firstLine="422"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b/>
          <w:bCs/>
          <w:kern w:val="2"/>
          <w:sz w:val="21"/>
          <w:szCs w:val="21"/>
          <w:highlight w:val="none"/>
          <w:lang w:eastAsia="zh-CN"/>
        </w:rPr>
        <w:t>六</w:t>
      </w:r>
      <w:r>
        <w:rPr>
          <w:rFonts w:hint="eastAsia" w:ascii="Times New Roman" w:hAnsi="Times New Roman" w:cs="Times New Roman" w:eastAsiaTheme="minorEastAsia"/>
          <w:b/>
          <w:bCs/>
          <w:kern w:val="2"/>
          <w:sz w:val="21"/>
          <w:szCs w:val="21"/>
          <w:highlight w:val="none"/>
        </w:rPr>
        <w:t>、维保服务具体要求</w:t>
      </w:r>
      <w:r>
        <w:rPr>
          <w:rFonts w:hint="eastAsia" w:ascii="Times New Roman" w:hAnsi="Times New Roman" w:cs="Times New Roman" w:eastAsiaTheme="minorEastAsia"/>
          <w:kern w:val="2"/>
          <w:sz w:val="21"/>
          <w:szCs w:val="21"/>
          <w:highlight w:val="none"/>
        </w:rPr>
        <w:t>（按中华人民共和国卫生行业标准WS488-2016《医院中央空调系统运行管理》及空调系统维护保养手册进行空调维护保养）</w:t>
      </w:r>
    </w:p>
    <w:p>
      <w:pPr>
        <w:keepLines w:val="0"/>
        <w:pageBreakBefore w:val="0"/>
        <w:kinsoku/>
        <w:wordWrap/>
        <w:overflowPunct/>
        <w:topLinePunct w:val="0"/>
        <w:autoSpaceDE/>
        <w:autoSpaceDN/>
        <w:bidi w:val="0"/>
        <w:adjustRightInd/>
        <w:ind w:firstLine="422" w:firstLineChars="200"/>
        <w:jc w:val="both"/>
        <w:rPr>
          <w:rFonts w:ascii="Times New Roman" w:hAnsi="Times New Roman" w:cs="Times New Roman" w:eastAsiaTheme="minorEastAsia"/>
          <w:b/>
          <w:bCs/>
          <w:kern w:val="2"/>
          <w:sz w:val="21"/>
          <w:szCs w:val="21"/>
          <w:highlight w:val="none"/>
        </w:rPr>
      </w:pPr>
      <w:r>
        <w:rPr>
          <w:rFonts w:hint="eastAsia" w:ascii="Times New Roman" w:hAnsi="Times New Roman" w:cs="Times New Roman" w:eastAsiaTheme="minorEastAsia"/>
          <w:b/>
          <w:bCs/>
          <w:kern w:val="2"/>
          <w:sz w:val="21"/>
          <w:szCs w:val="21"/>
          <w:highlight w:val="none"/>
        </w:rPr>
        <w:t>（一）末端设备定期检查保养工序</w:t>
      </w:r>
    </w:p>
    <w:p>
      <w:pPr>
        <w:keepLines w:val="0"/>
        <w:pageBreakBefore w:val="0"/>
        <w:kinsoku/>
        <w:wordWrap/>
        <w:overflowPunct/>
        <w:topLinePunct w:val="0"/>
        <w:autoSpaceDE/>
        <w:autoSpaceDN/>
        <w:bidi w:val="0"/>
        <w:adjustRightInd/>
        <w:ind w:firstLine="422" w:firstLineChars="200"/>
        <w:jc w:val="both"/>
        <w:rPr>
          <w:rFonts w:ascii="Times New Roman" w:hAnsi="Times New Roman" w:cs="Times New Roman" w:eastAsiaTheme="minorEastAsia"/>
          <w:b/>
          <w:bCs/>
          <w:kern w:val="2"/>
          <w:sz w:val="21"/>
          <w:szCs w:val="21"/>
          <w:highlight w:val="none"/>
        </w:rPr>
      </w:pPr>
      <w:r>
        <w:rPr>
          <w:rFonts w:hint="eastAsia" w:ascii="Times New Roman" w:hAnsi="Times New Roman" w:cs="Times New Roman" w:eastAsiaTheme="minorEastAsia"/>
          <w:b/>
          <w:bCs/>
          <w:kern w:val="2"/>
          <w:sz w:val="21"/>
          <w:szCs w:val="21"/>
          <w:highlight w:val="none"/>
        </w:rPr>
        <w:t>第一部分：</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1.空调末端系统：每年夏冬之初进行一次杀菌、消毒、净化处理，去除微生物滋生，消灭细菌根源，使风机/风管所送调节风符合中华人民共和国卫生行业标准WS488-2016《医院中央空调系统运行管理》中所列《医院消毒卫生标准》GB15982-2012、《空调通风系统运行管理标准GB50365-2019》、《公共场所集中空调通风系统卫生规范》</w:t>
      </w:r>
      <w:r>
        <w:rPr>
          <w:rFonts w:hint="eastAsia" w:ascii="Times New Roman" w:cs="Times New Roman" w:eastAsiaTheme="minorEastAsia"/>
          <w:kern w:val="2"/>
          <w:sz w:val="21"/>
          <w:szCs w:val="21"/>
          <w:highlight w:val="none"/>
        </w:rPr>
        <w:t>WS10013-2023</w:t>
      </w:r>
      <w:r>
        <w:rPr>
          <w:rFonts w:hint="eastAsia" w:ascii="Times New Roman" w:hAnsi="Times New Roman" w:cs="Times New Roman" w:eastAsiaTheme="minorEastAsia"/>
          <w:kern w:val="2"/>
          <w:sz w:val="21"/>
          <w:szCs w:val="21"/>
          <w:highlight w:val="none"/>
        </w:rPr>
        <w:t>等标准；</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2.风机电动机保养：3个月一次；</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3.控制电源检查：3个月一次；</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4.正常使用检查开关阀门及温控开关：3个月一次；</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5.水流开关：3个月一次；</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6.排气阀、补水阀检查：1个月一次；</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7.室内风道检查修补：每年一次；</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8.大型风柜梳整肋片：每年一次（换季时）；</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9.清洗翅片：每年一次；</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10.清洗过滤网：每月一次；</w:t>
      </w:r>
    </w:p>
    <w:p>
      <w:pPr>
        <w:keepLines w:val="0"/>
        <w:pageBreakBefore w:val="0"/>
        <w:kinsoku/>
        <w:wordWrap/>
        <w:overflowPunct/>
        <w:topLinePunct w:val="0"/>
        <w:autoSpaceDE/>
        <w:autoSpaceDN/>
        <w:bidi w:val="0"/>
        <w:adjustRightInd/>
        <w:ind w:firstLine="422" w:firstLineChars="200"/>
        <w:jc w:val="both"/>
        <w:rPr>
          <w:rFonts w:ascii="Times New Roman" w:hAnsi="Times New Roman" w:cs="Times New Roman" w:eastAsiaTheme="minorEastAsia"/>
          <w:b/>
          <w:bCs/>
          <w:kern w:val="2"/>
          <w:sz w:val="21"/>
          <w:szCs w:val="21"/>
          <w:highlight w:val="none"/>
        </w:rPr>
      </w:pPr>
      <w:r>
        <w:rPr>
          <w:rFonts w:hint="eastAsia" w:ascii="Times New Roman" w:hAnsi="Times New Roman" w:cs="Times New Roman" w:eastAsiaTheme="minorEastAsia"/>
          <w:b/>
          <w:bCs/>
          <w:kern w:val="2"/>
          <w:sz w:val="21"/>
          <w:szCs w:val="21"/>
          <w:highlight w:val="none"/>
        </w:rPr>
        <w:t>第二部分：末端风柜、新风机/新风柜、风机盘管、空调机柜、排风机维修、保养、清洗等</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1.末端风柜、新风机/新风柜、空调机柜、排风机</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1.1每月清洗尘网，以确保表冷器的换热效率，过滤网如堵塞或损坏负责更换，洁净空调系统初效清洗和中效、高效滤网配合更换。</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1.2新风机、空调机柜每年清洗翅片一次，尘网、出风口、回风口每月清洗一次、外墙进风口百叶每年清洗一次。急诊及重点科室每周清洗一次尘网、出风口、回风口。</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1.3处理上述设备运行过程中出现的各项故障问题和维修，同时做好保养工作，保证医院的正常供冷、供热。</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2.风机盘管</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2.1每月清洗一次出风口、回风口，如有堵塞或损坏进行更换。</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2.2每年对翅片进行清洗一次。</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2.3每年对电机、风机、皮带进行保养，如有损坏进行更换。</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2.4检查风机是否转动灵活，如有阻滞现象，则应加注润滑油；如有异常磨擦响声，则应更换风机轴承。</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2.5用500V表检测风机电机线圈绝缘电阻应不低于0.5MΩ，否则应整修处理。检查电容有无变形、鼓胀或开裂，如有则应有更换同规格电容；检查各接线头是否牢固，是否有过热迹象，如有则做相应整修。</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2.6清洁风机风叶、盘管、积水盘上的污物。</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2.7用盐酸溶液（内加缓蚀剂）清除盘管内壁的水垢。</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2.8拧紧所有紧固件。</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2.9清洁风机盘管外壳。</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2.10处理设备运行过程中出现的各项故障问题和维修，同时做好保养工作，保证医院的正常供冷、供热。</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3.空调末端设备维护保养工作内容</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3.1每月清洁风机盘管及风柜水盘；疏通排水管。</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3.2每月检查风机盘管温控电磁阀开关及比例积分控制阀的动作情况，不正常或控制失灵要及时修理或更换。</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3.3每月检查送风机工作状况，及时调整风柜皮带松紧度或更换皮带，如有出现轴承损坏的更换轴承。</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3.4每季对送风机轴承进行添加润滑油。</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3.5定期更换洁净空调的中高效过滤器，以及检查各空气处理器回风滤网是否存在破损，如有破损需及时更换。</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3.6定期检查空气处理器、送风机、排风机控制箱，紧固各接线端子，检查其工作状况是否处于正常。</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3.7每月提交检查报告。</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3.8末端设备保养工作标准：</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3.8.1检查电机的绝缘电阻及检查主回路的接线端子是否松动。</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3.8.2调整皮带松紧度，紧固电机地脚螺钉。</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3.8.3清洗电机风轮，并检查风轮的灵活性。</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3.8.4检查风柜冷冻水进出口水管上的阀门，转动是否灵活（必要时加少许黄油润滑）。</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3.8.5开机测定电机的三相电流值及电压值，并听取风柜或风机盘管各部件运转声音有无异常。</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3.8.6连续运转一小时以上，验证检修后的质量。</w:t>
      </w:r>
    </w:p>
    <w:p>
      <w:pPr>
        <w:keepLines w:val="0"/>
        <w:pageBreakBefore w:val="0"/>
        <w:kinsoku/>
        <w:wordWrap/>
        <w:overflowPunct/>
        <w:topLinePunct w:val="0"/>
        <w:autoSpaceDE/>
        <w:autoSpaceDN/>
        <w:bidi w:val="0"/>
        <w:adjustRightInd/>
        <w:ind w:firstLine="422" w:firstLineChars="200"/>
        <w:jc w:val="both"/>
        <w:rPr>
          <w:rFonts w:ascii="Times New Roman" w:hAnsi="Times New Roman" w:cs="Times New Roman" w:eastAsiaTheme="minorEastAsia"/>
          <w:b/>
          <w:bCs/>
          <w:kern w:val="2"/>
          <w:sz w:val="21"/>
          <w:szCs w:val="21"/>
          <w:highlight w:val="none"/>
        </w:rPr>
      </w:pPr>
      <w:r>
        <w:rPr>
          <w:rFonts w:hint="eastAsia" w:ascii="Times New Roman" w:hAnsi="Times New Roman" w:cs="Times New Roman" w:eastAsiaTheme="minorEastAsia"/>
          <w:b/>
          <w:bCs/>
          <w:kern w:val="2"/>
          <w:sz w:val="21"/>
          <w:szCs w:val="21"/>
          <w:highlight w:val="none"/>
        </w:rPr>
        <w:t>（二）冷水和制热机组及附属冷冻水、冷却水系统；冷冻泵、冷却泵、冷却塔定期检查工序和维修保养工作内容</w:t>
      </w:r>
    </w:p>
    <w:p>
      <w:pPr>
        <w:keepLines w:val="0"/>
        <w:pageBreakBefore w:val="0"/>
        <w:kinsoku/>
        <w:wordWrap/>
        <w:overflowPunct/>
        <w:topLinePunct w:val="0"/>
        <w:autoSpaceDE/>
        <w:autoSpaceDN/>
        <w:bidi w:val="0"/>
        <w:adjustRightInd/>
        <w:ind w:firstLine="422" w:firstLineChars="200"/>
        <w:jc w:val="both"/>
        <w:rPr>
          <w:rFonts w:ascii="Times New Roman" w:hAnsi="Times New Roman" w:cs="Times New Roman" w:eastAsiaTheme="minorEastAsia"/>
          <w:b/>
          <w:bCs/>
          <w:kern w:val="2"/>
          <w:sz w:val="21"/>
          <w:szCs w:val="21"/>
          <w:highlight w:val="none"/>
        </w:rPr>
      </w:pPr>
      <w:r>
        <w:rPr>
          <w:rFonts w:hint="eastAsia" w:ascii="Times New Roman" w:hAnsi="Times New Roman" w:cs="Times New Roman" w:eastAsiaTheme="minorEastAsia"/>
          <w:b/>
          <w:bCs/>
          <w:kern w:val="2"/>
          <w:sz w:val="21"/>
          <w:szCs w:val="21"/>
          <w:highlight w:val="none"/>
        </w:rPr>
        <w:t>第一部分：制冷、制热机组维护保养工作内容</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1.运行期间启动前的准备和检查</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供冷季节运行前须进行下列各项检查和准备，以确保机组可靠、安全和高效运行：</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1.1检查制冷剂液位和油位；</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1.2检查油槽、油加热器和油温；</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1.3检查和测试所有运行控制和安全控制功能；</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1.4与操作人员一起温习操作步骤，查看机组历史记录；</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1.5检查启动器的运行；</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1.6配合检查水系统的运行情况（包括冷冻水泵、水流开关、冷却水泵、冷却塔阀门等）；</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1.7检查调整微电脑控制中心的设定值；</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1.8启动冷水机组，检查整个系统的运行情况，记录机组运行参数；</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1.9根据运行记录，分析处理机组问题；</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1.10提供检修保养报告。</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2.运行期间检查</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2.1机组运行期间，定期（每月）进行下列各项检查，确保机组在整个供冷季节都运行高效、可靠；</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2.2检查冷水机组，调整安全控制装置；</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2.3检查控制装置的运行；</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2.4检查油位和制冷剂液位；</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2.5检查润滑系统；</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2.6检查回油系统；</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2.7检查电机和启动器的运行；</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2.8记录运行状态参数，分析确认机组运行正常，必要时进行机组检修；</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2.9记录与报告要求的备件。</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3.一年一次的设备停机检查和预防性保养</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3.1停机期间，每年一次进行下列各项检查，以便能正确评价设备的状态，为下一个供冷季节的运行做好准备：</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3.2检查压缩机—电机组件的下列各项，完成预防性保养的各项任务：</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3.2.1记录电压；</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3.2.2用兆欧表测量和记录电机阻的绝缘电阻；</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3.2.3检查确认开放式电机驱动装置的定位；</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3.2.4检查密封情况；</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3.2.5检查滑阀的运动情况，进行必要的调整。</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3.3检查压缩机润滑油系统的下列各项：</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3.3.1根据需要更换润滑油、油过滤器和干燥过滤器；</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3.3.2检查加热器、恒温器；</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3.3.3检查所有其他的润滑油系统部件，包括油冷却器、油过滤器和电磁阀等；</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3.4执行下列各项操作，检查电机启动器：</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3.4.1执行诊断检查程序；</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3.4.2清洁接触器或建议更换；</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3.4.3检查连接机构；</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3.4.4检查所有接线端，并拧紧；</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3.4.5检查过负荷装置，并取油样检查标定；</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3.4.6清洁油过滤器（或在启运前）；检查状态指示灯。</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3.5检查控制面板，确定下列各项：</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3.5.1执行诊断检查程序；</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3.5.2检查安全停机运行状态；</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3.5.3检查所有接线端，并拧紧；</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3.5.4检查显示数据的精度和设定值。</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3.6检查冷凝器、蒸发器下列各项：</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3.6.1检查水流量；</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3.6.2检查水流开关的控制情况；</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3.6.3根据运行记录参数分析热交换效果，建议水质处理；</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3.6.4必要时拆卸端盖，更换密封垫。</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3.7检查系统的下列各项：</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3.7.1进行泄漏检查，找出渠漏处并进行修理；</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3.7.2按要求补充制冷剂；</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3.7.3记录视液镜的状态；</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3.7.4检查制冷循环，确认处于正常更换状态；</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3.8其它：</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3.8.1检查机组运行情况，记录分析运行工况。</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3.8.2检查机组的各设定点是否准确。</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3.8.3检查压缩机润滑油的油位及颜色。</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3.8.4检查供油油压，油压差，油温及膨胀阀工作情况，如有必要补充润滑油（如中标人提供所需的材料，须向采购人报价并征得同意后方可购买安装，或由采购人自行购买，中标人免费安装）。</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3.8.5检查机组是否有异常噪音及震动。</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3.8.6检查冷却水、冷冻水温度显示与实际进出水温度是否符合。</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3.8.7检查蒸发温度、冷凝温度与对应的冷冻水和冷却水进出水温差情况。</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3.8.8检查机组的密闭性。</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3.8.9检查压缩机电机实际电流并与机组电力需求进行比较，是否正常。</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3.8.10检查冷冻水流量开关工作情况。</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3.8.11检查机组启动柜工作情况。</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3.8.12检查机组供电电压。</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3.8.13检查机组参数设定。</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3.8.14每年视主机运行状况对主机冷凝器、蒸发器进行通炮一次。</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3.8.15提供机组定期检查报告。</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3.8.16遵循检查和维护步骤，修理脱落的保温层。</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3.8.17完成上述维护工作后，清洁设备。</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3.8.18与操作人员沟通。</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3.8.19报告检查发现的故障，按要求修理。</w:t>
      </w:r>
    </w:p>
    <w:p>
      <w:pPr>
        <w:keepLines w:val="0"/>
        <w:pageBreakBefore w:val="0"/>
        <w:kinsoku/>
        <w:wordWrap/>
        <w:overflowPunct/>
        <w:topLinePunct w:val="0"/>
        <w:autoSpaceDE/>
        <w:autoSpaceDN/>
        <w:bidi w:val="0"/>
        <w:adjustRightInd/>
        <w:ind w:firstLine="422" w:firstLineChars="200"/>
        <w:jc w:val="both"/>
        <w:rPr>
          <w:rFonts w:ascii="Times New Roman" w:hAnsi="Times New Roman" w:cs="Times New Roman" w:eastAsiaTheme="minorEastAsia"/>
          <w:b/>
          <w:bCs/>
          <w:kern w:val="2"/>
          <w:sz w:val="21"/>
          <w:szCs w:val="21"/>
          <w:highlight w:val="none"/>
        </w:rPr>
      </w:pPr>
      <w:r>
        <w:rPr>
          <w:rFonts w:hint="eastAsia" w:ascii="Times New Roman" w:hAnsi="Times New Roman" w:cs="Times New Roman" w:eastAsiaTheme="minorEastAsia"/>
          <w:b/>
          <w:bCs/>
          <w:kern w:val="2"/>
          <w:sz w:val="21"/>
          <w:szCs w:val="21"/>
          <w:highlight w:val="none"/>
        </w:rPr>
        <w:t>第二部分：冷冻水泵、冷却水泵、热水泵维修保养工作内容</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1.运行季节启动前准备和检查</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1.1检查和清洗水泵管路的过滤器，清洁设备。</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1.2检查水泵的密封性，有必要时更换。</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1.3根据压力表指示调节适当的压力差以满足系统需要。</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1.4检查马达—水泵的连轴装置及同心度。</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1.5检查确认控制电气装置性能及状况良好。</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1.6根据需要更换或维修有关损坏部件。</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2.运行季节检查（每月一次）</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2.1测量水泵运行温度、振动异响，发现问题及时处理。</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2.2检查调节水泵的压力差及阀门的开启度，有必要时清洗过滤器。</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2.3校核水泵同马达连轴的同心度。</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2.4检查水泵的密封件，有必要时更换密封填料或轴封。</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2.5检查记录水泵的电压、运行电流。</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3.每季度的设备停机检查和预防性工作</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3.1清洗水泵路的过滤网。</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3.2马达绝缘测试并记录，马达按设备要求加润滑油。</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3.3检查叶轮及密封的磨损情况，有必要时加润滑油脂。</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3.4校正压力表、温度计的准确性能，必要时更换。</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3.5检查调校连轴器的连接状态及同心度，紧固地脚螺丝。</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3.6控制电气装置检测及维护。</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3.7清洁设备，做好设备的防腐、防尘处理工作。</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4.其它：</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4.1检查冷冻、冷却水泵进出口压力情况。</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4.2检查冷冻、冷却水泵运行电流。</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4.3清洗冷冻、冷却水泵及冷冻水、冷却水系统中的Y形过滤器。</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4.4检查冷冻、冷却水泵轴封泄露情况并作出调整或修复。</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4.5检查冷冻、冷却水泵轴封、联轴器的润滑油量并适当补充。</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4.6提供冷冻、冷却水泵定期检查报告。</w:t>
      </w:r>
    </w:p>
    <w:p>
      <w:pPr>
        <w:keepLines w:val="0"/>
        <w:pageBreakBefore w:val="0"/>
        <w:kinsoku/>
        <w:wordWrap/>
        <w:overflowPunct/>
        <w:topLinePunct w:val="0"/>
        <w:autoSpaceDE/>
        <w:autoSpaceDN/>
        <w:bidi w:val="0"/>
        <w:adjustRightInd/>
        <w:ind w:firstLine="420" w:firstLineChars="200"/>
        <w:jc w:val="both"/>
        <w:rPr>
          <w:rFonts w:hint="eastAsia"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4.7露天冷冻、冷却管线每年进行一次防腐处理。</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cs="Times New Roman" w:eastAsiaTheme="minorEastAsia"/>
          <w:kern w:val="2"/>
          <w:sz w:val="21"/>
          <w:szCs w:val="21"/>
          <w:highlight w:val="none"/>
          <w:lang w:val="en-US" w:eastAsia="zh-CN"/>
        </w:rPr>
        <w:t>4.8前置过滤设备的保养、维修、更换等。</w:t>
      </w:r>
    </w:p>
    <w:p>
      <w:pPr>
        <w:keepLines w:val="0"/>
        <w:pageBreakBefore w:val="0"/>
        <w:kinsoku/>
        <w:wordWrap/>
        <w:overflowPunct/>
        <w:topLinePunct w:val="0"/>
        <w:autoSpaceDE/>
        <w:autoSpaceDN/>
        <w:bidi w:val="0"/>
        <w:adjustRightInd/>
        <w:ind w:firstLine="422"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b/>
          <w:bCs/>
          <w:kern w:val="2"/>
          <w:sz w:val="21"/>
          <w:szCs w:val="21"/>
          <w:highlight w:val="none"/>
        </w:rPr>
        <w:t>第三部分：冷却塔维护保养工作内容</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1.运行季节启动前准备和检查：</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1.1清洗水塔过滤层及水箱；</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1.2检查调节水箱水位；</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1.3检查喷嘴和布水盘，必要时更换或维修；</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1.4检查调节皮带的松紧度、同心度，紧固所有固定螺丝；</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1.5检查运行噪音和振动情况；</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1.6检查马达运行电流和电压确认在许可范围内；</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1.7润滑轴承；</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1.8检查确认电气控制装置性能良好。</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2.运行季节检查（每月一次）</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2.1检查确认电气控制部分性能正常良好；</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2.2检查马达电压及运行电流；</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2.3根据需要检查皮带和皮带轮，必要时更换；</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2.4检查和调节水箱水位；</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2.5检查喷嘴和布水盘情况；</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2.6检查运行噪音和振动情况；</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2.7根据主机运行条件，检查高速散热情况。</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3.每季度的设备停机检查和预防性工作</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3.1清洗水塔过滤层及水箱，排放水塔内的水；</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3.2检查润滑轴承、调节螺拴等；</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3.3检查马达绝缘并记录；</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3.4电气控制装置检测及维护保养工作；</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3.5停运期间，做好必要的防腐，防尘工作。</w:t>
      </w:r>
    </w:p>
    <w:p>
      <w:pPr>
        <w:keepLines w:val="0"/>
        <w:pageBreakBefore w:val="0"/>
        <w:kinsoku/>
        <w:wordWrap/>
        <w:overflowPunct/>
        <w:topLinePunct w:val="0"/>
        <w:autoSpaceDE/>
        <w:autoSpaceDN/>
        <w:bidi w:val="0"/>
        <w:adjustRightInd/>
        <w:ind w:firstLine="422"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b/>
          <w:bCs/>
          <w:kern w:val="2"/>
          <w:sz w:val="21"/>
          <w:szCs w:val="21"/>
          <w:highlight w:val="none"/>
        </w:rPr>
        <w:t>第四部分：管道系统维护保养工作内容</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1.每个月检查一次管道系统中的自动排气阀的工作情况，对动作不良的要修理或更换。</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2.每月清洗水泵Y型过滤器。</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3.每季检查保养一次电子水处理仪及电子式Y型过滤器控制部件、润滑传动机构。</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4.每半年检查一次水管保温或保护层，破损部份进修复处理。</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5.每半年对阀门加注一次润滑油，同时对不经常使用的阀门要手动几个来回。</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6.每年检查一次电磁阀和电动压差调节阀。</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7.每年清洁一次膨胀水箱，并对箱体及钢架结构基座进行一次除锈刷漆。</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8.每年检查一次水管系统的支承构件，损坏的要修复，松动的要紧固，锈蚀的要除锈刷漆。</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9.每月提供以上工作内容的书面记录。</w:t>
      </w:r>
    </w:p>
    <w:p>
      <w:pPr>
        <w:keepLines w:val="0"/>
        <w:pageBreakBefore w:val="0"/>
        <w:kinsoku/>
        <w:wordWrap/>
        <w:overflowPunct/>
        <w:topLinePunct w:val="0"/>
        <w:autoSpaceDE/>
        <w:autoSpaceDN/>
        <w:bidi w:val="0"/>
        <w:adjustRightInd/>
        <w:ind w:firstLine="422" w:firstLineChars="200"/>
        <w:jc w:val="both"/>
        <w:rPr>
          <w:rFonts w:ascii="Times New Roman" w:hAnsi="Times New Roman" w:cs="Times New Roman" w:eastAsiaTheme="minorEastAsia"/>
          <w:b/>
          <w:bCs/>
          <w:kern w:val="2"/>
          <w:sz w:val="21"/>
          <w:szCs w:val="21"/>
          <w:highlight w:val="none"/>
        </w:rPr>
      </w:pPr>
      <w:r>
        <w:rPr>
          <w:rFonts w:hint="eastAsia" w:ascii="Times New Roman" w:hAnsi="Times New Roman" w:cs="Times New Roman" w:eastAsiaTheme="minorEastAsia"/>
          <w:b/>
          <w:bCs/>
          <w:kern w:val="2"/>
          <w:sz w:val="21"/>
          <w:szCs w:val="21"/>
          <w:highlight w:val="none"/>
        </w:rPr>
        <w:t>（三）循环水全年水质处理维修保养</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1.冷却水部分年度全系统化学清洗项目。（在可安排停机和全系统排污期间实施）</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1.1在冷却水系统的冷却塔中投加清洗剂，全系统进行杀菌灭藻处理，杀灭系统内的菌藻类和对钢材有腐蚀作用的铁细菌，并剥离管道中的粘泥污垢。</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1.2在冷却水系统的冷却塔中投加清洗药剂，乳化溶解系统管壁的油性物质，避免油性物质形成细菌营养源，同时影响以后化学清洗的效果。同时投入清洗药剂于冷却水系统后，开启冷却水泵运行24小时后，安排全系统放水排污，清洗冷却塔。</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1.3在冷却水系统的冷却塔中投加清洗药剂，将已形成的锈垢和硬垢溶解清除。</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1.4在冷却水系统的冷却塔中投加预膜剂，补充管道金属基体表面的膜层，起防腐作用。投入药剂于冷却水系统后，开启冷却水泵运行24小时后，安排全系统放水排污。</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1.5日常保养项目及效果：</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全年进行加药保护，包括水质稳定剂及杀菌剂(起杀菌防锈阻垢作用)。每周根据水质情况中标人按采购人要求以一定的比例加入药剂,使水质达到稳定,以确保处理效果。其效果主要包括：使金属表面钝化，生成保护层与水相分离，大大降低循环水的腐蚀趋向；络合分散水中污垢，使之不易沉积或吸附于金属表面。抑制系统中细菌、藻类的滋长。该药剂每周冲击性投加。</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1.6中标人每月取水样进行完整化学分析，以确保处理效果，并送交分析报告。</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1.7中标人定期进行冷却水稀释排污，降低浓缩倍数，减少结垢及腐蚀趋向；中标人根据水质情况，每月定期清洗冷却水塔。</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1.8若冬天停机，由中标人进行“湿保”处理，以免静态浸管而出现锈蚀。待主机重新转入正常运行前，再将该系统的水排清，加入水质稳定剂进入正常保养。</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2.冷冻水部分（该系统因密封循环而只需考虑杀菌缓蚀处理）年度全系统化学清洗项目（在采购人可安排停机和全系统排污期间实施）：</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2.1在冷冻水系统的补水箱中投加清洗剂，全系统进行杀菌处理，杀灭系统内的菌类和对钢材有腐蚀作用的铁细菌，并剥离管道中的粘泥污垢，随系统水排污排走。</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2.2在冷冻水系统的补水箱中投加清洗药剂，乳化溶解系统管壁的油性物质，避免油性物质形成细菌营养源，同时影响以后化学清洗的效果。同时投入清洗药剂于冷冻水系统后，开启冷冻水泵运行24小时后，安排全系统放水排污。</w:t>
      </w:r>
    </w:p>
    <w:p>
      <w:pPr>
        <w:keepLines w:val="0"/>
        <w:pageBreakBefore w:val="0"/>
        <w:kinsoku/>
        <w:wordWrap/>
        <w:overflowPunct/>
        <w:topLinePunct w:val="0"/>
        <w:autoSpaceDE/>
        <w:autoSpaceDN/>
        <w:bidi w:val="0"/>
        <w:adjustRightInd/>
        <w:ind w:firstLine="420" w:firstLineChars="200"/>
        <w:jc w:val="both"/>
        <w:rPr>
          <w:rFonts w:hint="eastAsia" w:ascii="Times New Roman" w:hAnsi="Times New Roman" w:cs="Times New Roman" w:eastAsiaTheme="minorEastAsia"/>
          <w:kern w:val="2"/>
          <w:sz w:val="21"/>
          <w:szCs w:val="21"/>
          <w:highlight w:val="none"/>
          <w:lang w:eastAsia="zh-CN"/>
        </w:rPr>
      </w:pPr>
      <w:r>
        <w:rPr>
          <w:rFonts w:hint="eastAsia" w:ascii="Times New Roman" w:hAnsi="Times New Roman" w:cs="Times New Roman" w:eastAsiaTheme="minorEastAsia"/>
          <w:kern w:val="2"/>
          <w:sz w:val="21"/>
          <w:szCs w:val="21"/>
          <w:highlight w:val="none"/>
        </w:rPr>
        <w:t>2.3在冷冻水系统的补水箱中投加清洗药剂，将已形成的锈垢和硬垢溶解清除。</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2.4在冷冻水系统的补水箱中投加预膜剂，补充管道金属基体表面的膜层，起防腐作用。投入药剂于冷冻水系统后，开启冷冻水泵运行超过24小时后，安排全系统放水排污。</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2.5日常保养项目：</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中标人每月根据实际情况，在冷冻水补水箱中加入冷冻水水稳剂，在水泵无严重泄漏或人为放水的情况下，可保证达标。中标人每月派员取样分析，如药剂浓度不够，即补加。由于冷冻水是密闭循环系统，药剂浓度足够的情况下，可确保其阻垢、防锈、杀菌的功效。</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kern w:val="2"/>
          <w:sz w:val="21"/>
          <w:szCs w:val="21"/>
          <w:highlight w:val="none"/>
        </w:rPr>
        <w:t>2.6中标人处理后的水质执行《DB44T115-2016中央空调循环水及循环冷却水水质标准》标准验收：</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1"/>
        <w:gridCol w:w="1903"/>
        <w:gridCol w:w="1903"/>
        <w:gridCol w:w="1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blHeader/>
          <w:jc w:val="center"/>
        </w:trPr>
        <w:tc>
          <w:tcPr>
            <w:tcW w:w="0" w:type="auto"/>
            <w:shd w:val="clear" w:color="auto" w:fill="CCCCCC"/>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imes New Roman" w:hAnsi="Times New Roman" w:cs="Times New Roman" w:eastAsiaTheme="minorEastAsia"/>
                <w:b/>
                <w:kern w:val="2"/>
                <w:sz w:val="21"/>
                <w:szCs w:val="21"/>
                <w:highlight w:val="none"/>
              </w:rPr>
            </w:pPr>
            <w:r>
              <w:rPr>
                <w:rFonts w:hint="eastAsia" w:ascii="Times New Roman" w:hAnsi="Times New Roman" w:cs="Times New Roman" w:eastAsiaTheme="minorEastAsia"/>
                <w:b/>
                <w:kern w:val="2"/>
                <w:sz w:val="21"/>
                <w:szCs w:val="21"/>
                <w:highlight w:val="none"/>
              </w:rPr>
              <w:t>水质指标</w:t>
            </w:r>
          </w:p>
        </w:tc>
        <w:tc>
          <w:tcPr>
            <w:tcW w:w="0" w:type="auto"/>
            <w:shd w:val="clear" w:color="auto" w:fill="CCCCCC"/>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imes New Roman" w:hAnsi="Times New Roman" w:cs="Times New Roman" w:eastAsiaTheme="minorEastAsia"/>
                <w:b/>
                <w:kern w:val="2"/>
                <w:sz w:val="21"/>
                <w:szCs w:val="21"/>
                <w:highlight w:val="none"/>
              </w:rPr>
            </w:pPr>
            <w:r>
              <w:rPr>
                <w:rFonts w:hint="eastAsia" w:ascii="Times New Roman" w:hAnsi="Times New Roman" w:cs="Times New Roman" w:eastAsiaTheme="minorEastAsia"/>
                <w:b/>
                <w:kern w:val="2"/>
                <w:sz w:val="21"/>
                <w:szCs w:val="21"/>
                <w:highlight w:val="none"/>
              </w:rPr>
              <w:t>冷却水（敞开水）</w:t>
            </w:r>
          </w:p>
        </w:tc>
        <w:tc>
          <w:tcPr>
            <w:tcW w:w="0" w:type="auto"/>
            <w:shd w:val="clear" w:color="auto" w:fill="CCCCCC"/>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imes New Roman" w:hAnsi="Times New Roman" w:cs="Times New Roman" w:eastAsiaTheme="minorEastAsia"/>
                <w:b/>
                <w:kern w:val="2"/>
                <w:sz w:val="21"/>
                <w:szCs w:val="21"/>
                <w:highlight w:val="none"/>
              </w:rPr>
            </w:pPr>
            <w:r>
              <w:rPr>
                <w:rFonts w:hint="eastAsia" w:ascii="Times New Roman" w:hAnsi="Times New Roman" w:cs="Times New Roman" w:eastAsiaTheme="minorEastAsia"/>
                <w:b/>
                <w:kern w:val="2"/>
                <w:sz w:val="21"/>
                <w:szCs w:val="21"/>
                <w:highlight w:val="none"/>
              </w:rPr>
              <w:t>冷冻水（密闭水）</w:t>
            </w:r>
          </w:p>
        </w:tc>
        <w:tc>
          <w:tcPr>
            <w:tcW w:w="0" w:type="auto"/>
            <w:shd w:val="clear" w:color="auto" w:fill="CCCCCC"/>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imes New Roman" w:hAnsi="Times New Roman" w:cs="Times New Roman" w:eastAsiaTheme="minorEastAsia"/>
                <w:b/>
                <w:kern w:val="2"/>
                <w:sz w:val="21"/>
                <w:szCs w:val="21"/>
                <w:highlight w:val="none"/>
              </w:rPr>
            </w:pPr>
            <w:r>
              <w:rPr>
                <w:rFonts w:hint="eastAsia" w:ascii="Times New Roman" w:hAnsi="Times New Roman" w:cs="Times New Roman" w:eastAsiaTheme="minorEastAsia"/>
                <w:b/>
                <w:kern w:val="2"/>
                <w:sz w:val="21"/>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0" w:type="auto"/>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PH</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6.5~8.5</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7.5~10.0</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0" w:type="auto"/>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电导率</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＜2500</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＜3000</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μs/cm（25℃）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0" w:type="auto"/>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总硬度（以CaCO3计）</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＜600</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＜600</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0" w:type="auto"/>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总碱度（以CaCO3计）</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＜600</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＜600</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0" w:type="auto"/>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氯离子</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＜350</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＜200</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0" w:type="auto"/>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铁离子</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＜1.0</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＜1.0</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铜离子</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＜0.1</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＜0.1</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浊度</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＜50</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＜20</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细菌总数</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＜105</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个／mL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铜腐蚀率</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＜0.3</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mg/cm²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钢腐蚀率</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＜0.6</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mg/cm²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浸片实验</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不锈蚀</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不锈蚀</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w:t>
            </w:r>
          </w:p>
        </w:tc>
      </w:tr>
    </w:tbl>
    <w:p>
      <w:pPr>
        <w:keepLines w:val="0"/>
        <w:pageBreakBefore w:val="0"/>
        <w:tabs>
          <w:tab w:val="left" w:pos="426"/>
        </w:tabs>
        <w:kinsoku/>
        <w:wordWrap/>
        <w:overflowPunct/>
        <w:topLinePunct w:val="0"/>
        <w:autoSpaceDE/>
        <w:autoSpaceDN/>
        <w:bidi w:val="0"/>
        <w:snapToGrid w:val="0"/>
        <w:ind w:firstLine="420" w:firstLineChars="200"/>
        <w:jc w:val="both"/>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3.冷却塔和膨胀水箱的维护项目：</w:t>
      </w:r>
    </w:p>
    <w:p>
      <w:pPr>
        <w:keepLines w:val="0"/>
        <w:pageBreakBefore w:val="0"/>
        <w:tabs>
          <w:tab w:val="left" w:pos="426"/>
        </w:tabs>
        <w:kinsoku/>
        <w:wordWrap/>
        <w:overflowPunct/>
        <w:topLinePunct w:val="0"/>
        <w:autoSpaceDE/>
        <w:autoSpaceDN/>
        <w:bidi w:val="0"/>
        <w:snapToGrid w:val="0"/>
        <w:ind w:left="2" w:firstLine="420" w:firstLineChars="200"/>
        <w:jc w:val="both"/>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3.1检查冷却塔传动皮带运转情况并作调整。</w:t>
      </w:r>
    </w:p>
    <w:p>
      <w:pPr>
        <w:keepLines w:val="0"/>
        <w:pageBreakBefore w:val="0"/>
        <w:tabs>
          <w:tab w:val="left" w:pos="426"/>
        </w:tabs>
        <w:kinsoku/>
        <w:wordWrap/>
        <w:overflowPunct/>
        <w:topLinePunct w:val="0"/>
        <w:autoSpaceDE/>
        <w:autoSpaceDN/>
        <w:bidi w:val="0"/>
        <w:snapToGrid w:val="0"/>
        <w:ind w:left="2" w:firstLine="420" w:firstLineChars="200"/>
        <w:jc w:val="both"/>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3.2检查冷却塔风扇旋转情况并作调整。</w:t>
      </w:r>
    </w:p>
    <w:p>
      <w:pPr>
        <w:keepLines w:val="0"/>
        <w:pageBreakBefore w:val="0"/>
        <w:tabs>
          <w:tab w:val="left" w:pos="426"/>
        </w:tabs>
        <w:kinsoku/>
        <w:wordWrap/>
        <w:overflowPunct/>
        <w:topLinePunct w:val="0"/>
        <w:autoSpaceDE/>
        <w:autoSpaceDN/>
        <w:bidi w:val="0"/>
        <w:snapToGrid w:val="0"/>
        <w:ind w:left="2" w:firstLine="420" w:firstLineChars="200"/>
        <w:jc w:val="both"/>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3.3检查冷却塔皮带、风扇电动机的润滑油量并适当补充。</w:t>
      </w:r>
    </w:p>
    <w:p>
      <w:pPr>
        <w:keepLines w:val="0"/>
        <w:pageBreakBefore w:val="0"/>
        <w:tabs>
          <w:tab w:val="left" w:pos="426"/>
        </w:tabs>
        <w:kinsoku/>
        <w:wordWrap/>
        <w:overflowPunct/>
        <w:topLinePunct w:val="0"/>
        <w:autoSpaceDE/>
        <w:autoSpaceDN/>
        <w:bidi w:val="0"/>
        <w:snapToGrid w:val="0"/>
        <w:ind w:left="2" w:firstLine="420" w:firstLineChars="200"/>
        <w:jc w:val="both"/>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3.4检查冷却塔喷水情况并作调整。</w:t>
      </w:r>
    </w:p>
    <w:p>
      <w:pPr>
        <w:keepLines w:val="0"/>
        <w:pageBreakBefore w:val="0"/>
        <w:tabs>
          <w:tab w:val="left" w:pos="426"/>
        </w:tabs>
        <w:kinsoku/>
        <w:wordWrap/>
        <w:overflowPunct/>
        <w:topLinePunct w:val="0"/>
        <w:autoSpaceDE/>
        <w:autoSpaceDN/>
        <w:bidi w:val="0"/>
        <w:snapToGrid w:val="0"/>
        <w:ind w:left="2" w:firstLine="420" w:firstLineChars="200"/>
        <w:jc w:val="both"/>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3.5清洗冷却水塔、清理水塔底盘的污垢及膨胀水箱的人工清洁。</w:t>
      </w:r>
    </w:p>
    <w:p>
      <w:pPr>
        <w:keepLines w:val="0"/>
        <w:pageBreakBefore w:val="0"/>
        <w:tabs>
          <w:tab w:val="left" w:pos="426"/>
        </w:tabs>
        <w:kinsoku/>
        <w:wordWrap/>
        <w:overflowPunct/>
        <w:topLinePunct w:val="0"/>
        <w:autoSpaceDE/>
        <w:autoSpaceDN/>
        <w:bidi w:val="0"/>
        <w:snapToGrid w:val="0"/>
        <w:ind w:left="2" w:firstLine="420" w:firstLineChars="200"/>
        <w:jc w:val="both"/>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3.6提供冷却塔定期检查报告。</w:t>
      </w:r>
    </w:p>
    <w:p>
      <w:pPr>
        <w:keepLines w:val="0"/>
        <w:pageBreakBefore w:val="0"/>
        <w:tabs>
          <w:tab w:val="left" w:pos="426"/>
        </w:tabs>
        <w:kinsoku/>
        <w:wordWrap/>
        <w:overflowPunct/>
        <w:topLinePunct w:val="0"/>
        <w:autoSpaceDE/>
        <w:autoSpaceDN/>
        <w:bidi w:val="0"/>
        <w:snapToGrid w:val="0"/>
        <w:ind w:firstLine="420" w:firstLineChars="200"/>
        <w:jc w:val="both"/>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4.全年技术服务内容</w:t>
      </w:r>
    </w:p>
    <w:p>
      <w:pPr>
        <w:keepLines w:val="0"/>
        <w:pageBreakBefore w:val="0"/>
        <w:tabs>
          <w:tab w:val="left" w:pos="2340"/>
        </w:tabs>
        <w:kinsoku/>
        <w:wordWrap/>
        <w:overflowPunct/>
        <w:topLinePunct w:val="0"/>
        <w:autoSpaceDE/>
        <w:autoSpaceDN/>
        <w:bidi w:val="0"/>
        <w:snapToGrid w:val="0"/>
        <w:ind w:firstLine="420" w:firstLineChars="200"/>
        <w:jc w:val="both"/>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4.1每周：</w:t>
      </w:r>
    </w:p>
    <w:p>
      <w:pPr>
        <w:keepLines w:val="0"/>
        <w:pageBreakBefore w:val="0"/>
        <w:tabs>
          <w:tab w:val="left" w:pos="2340"/>
        </w:tabs>
        <w:kinsoku/>
        <w:wordWrap/>
        <w:overflowPunct/>
        <w:topLinePunct w:val="0"/>
        <w:autoSpaceDE/>
        <w:autoSpaceDN/>
        <w:bidi w:val="0"/>
        <w:snapToGrid w:val="0"/>
        <w:ind w:firstLine="420" w:firstLineChars="200"/>
        <w:jc w:val="both"/>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4.1.1检查冷却塔运行情况及水质情况。</w:t>
      </w:r>
    </w:p>
    <w:p>
      <w:pPr>
        <w:keepLines w:val="0"/>
        <w:pageBreakBefore w:val="0"/>
        <w:tabs>
          <w:tab w:val="left" w:pos="2340"/>
        </w:tabs>
        <w:kinsoku/>
        <w:wordWrap/>
        <w:overflowPunct/>
        <w:topLinePunct w:val="0"/>
        <w:autoSpaceDE/>
        <w:autoSpaceDN/>
        <w:bidi w:val="0"/>
        <w:snapToGrid w:val="0"/>
        <w:ind w:firstLine="420" w:firstLineChars="200"/>
        <w:jc w:val="both"/>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4.1.2根据水质情况对管道内循环水系统投加保养药剂。</w:t>
      </w:r>
    </w:p>
    <w:p>
      <w:pPr>
        <w:keepLines w:val="0"/>
        <w:pageBreakBefore w:val="0"/>
        <w:tabs>
          <w:tab w:val="left" w:pos="2340"/>
        </w:tabs>
        <w:kinsoku/>
        <w:wordWrap/>
        <w:overflowPunct/>
        <w:topLinePunct w:val="0"/>
        <w:autoSpaceDE/>
        <w:autoSpaceDN/>
        <w:bidi w:val="0"/>
        <w:snapToGrid w:val="0"/>
        <w:ind w:firstLine="420" w:firstLineChars="200"/>
        <w:jc w:val="both"/>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4.2每月：</w:t>
      </w:r>
    </w:p>
    <w:p>
      <w:pPr>
        <w:keepLines w:val="0"/>
        <w:pageBreakBefore w:val="0"/>
        <w:tabs>
          <w:tab w:val="left" w:pos="284"/>
        </w:tabs>
        <w:kinsoku/>
        <w:wordWrap/>
        <w:overflowPunct/>
        <w:topLinePunct w:val="0"/>
        <w:autoSpaceDE/>
        <w:autoSpaceDN/>
        <w:bidi w:val="0"/>
        <w:snapToGrid w:val="0"/>
        <w:ind w:left="2" w:firstLine="420" w:firstLineChars="200"/>
        <w:jc w:val="both"/>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4.2.1检查冷冻水管、冷凝给水管是否有大量凝结水。</w:t>
      </w:r>
    </w:p>
    <w:p>
      <w:pPr>
        <w:keepLines w:val="0"/>
        <w:pageBreakBefore w:val="0"/>
        <w:tabs>
          <w:tab w:val="left" w:pos="284"/>
        </w:tabs>
        <w:kinsoku/>
        <w:wordWrap/>
        <w:overflowPunct/>
        <w:topLinePunct w:val="0"/>
        <w:autoSpaceDE/>
        <w:autoSpaceDN/>
        <w:bidi w:val="0"/>
        <w:snapToGrid w:val="0"/>
        <w:ind w:left="2" w:firstLine="420" w:firstLineChars="200"/>
        <w:jc w:val="both"/>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4.2.2检查保温层是否有破坏，根据具体情况重新包扎或修补。</w:t>
      </w:r>
    </w:p>
    <w:p>
      <w:pPr>
        <w:keepLines w:val="0"/>
        <w:pageBreakBefore w:val="0"/>
        <w:tabs>
          <w:tab w:val="left" w:pos="284"/>
        </w:tabs>
        <w:kinsoku/>
        <w:wordWrap/>
        <w:overflowPunct/>
        <w:topLinePunct w:val="0"/>
        <w:autoSpaceDE/>
        <w:autoSpaceDN/>
        <w:bidi w:val="0"/>
        <w:snapToGrid w:val="0"/>
        <w:ind w:left="2" w:firstLine="420" w:firstLineChars="200"/>
        <w:jc w:val="both"/>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4.2.3检查管道阀门是否泄漏，开闭是否灵活，并加注润滑油。</w:t>
      </w:r>
    </w:p>
    <w:p>
      <w:pPr>
        <w:keepLines w:val="0"/>
        <w:pageBreakBefore w:val="0"/>
        <w:tabs>
          <w:tab w:val="left" w:pos="284"/>
        </w:tabs>
        <w:kinsoku/>
        <w:wordWrap/>
        <w:overflowPunct/>
        <w:topLinePunct w:val="0"/>
        <w:autoSpaceDE/>
        <w:autoSpaceDN/>
        <w:bidi w:val="0"/>
        <w:snapToGrid w:val="0"/>
        <w:ind w:left="2" w:firstLine="420" w:firstLineChars="200"/>
        <w:jc w:val="both"/>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4.2.4检查法兰阀连接处是否有泄漏，并根据具体情况更换密封胶垫。</w:t>
      </w:r>
    </w:p>
    <w:p>
      <w:pPr>
        <w:keepLines w:val="0"/>
        <w:pageBreakBefore w:val="0"/>
        <w:tabs>
          <w:tab w:val="left" w:pos="284"/>
        </w:tabs>
        <w:kinsoku/>
        <w:wordWrap/>
        <w:overflowPunct/>
        <w:topLinePunct w:val="0"/>
        <w:autoSpaceDE/>
        <w:autoSpaceDN/>
        <w:bidi w:val="0"/>
        <w:snapToGrid w:val="0"/>
        <w:ind w:left="2" w:firstLine="420" w:firstLineChars="200"/>
        <w:jc w:val="both"/>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4.2.5清洗冷却塔，并进行适当的排污。</w:t>
      </w:r>
    </w:p>
    <w:p>
      <w:pPr>
        <w:keepLines w:val="0"/>
        <w:pageBreakBefore w:val="0"/>
        <w:tabs>
          <w:tab w:val="left" w:pos="284"/>
        </w:tabs>
        <w:kinsoku/>
        <w:wordWrap/>
        <w:overflowPunct/>
        <w:topLinePunct w:val="0"/>
        <w:autoSpaceDE/>
        <w:autoSpaceDN/>
        <w:bidi w:val="0"/>
        <w:snapToGrid w:val="0"/>
        <w:ind w:left="2" w:firstLine="420" w:firstLineChars="200"/>
        <w:jc w:val="both"/>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4.2.6抽取冷却、冷冻水样化验，并提交水质分析报告。</w:t>
      </w:r>
    </w:p>
    <w:p>
      <w:pPr>
        <w:keepLines w:val="0"/>
        <w:pageBreakBefore w:val="0"/>
        <w:tabs>
          <w:tab w:val="left" w:pos="2340"/>
        </w:tabs>
        <w:kinsoku/>
        <w:wordWrap/>
        <w:overflowPunct/>
        <w:topLinePunct w:val="0"/>
        <w:autoSpaceDE/>
        <w:autoSpaceDN/>
        <w:bidi w:val="0"/>
        <w:snapToGrid w:val="0"/>
        <w:ind w:firstLine="420" w:firstLineChars="200"/>
        <w:jc w:val="both"/>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4.3每年：</w:t>
      </w:r>
    </w:p>
    <w:p>
      <w:pPr>
        <w:keepLines w:val="0"/>
        <w:pageBreakBefore w:val="0"/>
        <w:tabs>
          <w:tab w:val="left" w:pos="2340"/>
        </w:tabs>
        <w:kinsoku/>
        <w:wordWrap/>
        <w:overflowPunct/>
        <w:topLinePunct w:val="0"/>
        <w:autoSpaceDE/>
        <w:autoSpaceDN/>
        <w:bidi w:val="0"/>
        <w:snapToGrid w:val="0"/>
        <w:ind w:firstLine="420" w:firstLineChars="200"/>
        <w:jc w:val="both"/>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4.3.1年度大系统全面的杀菌、清洗、冲洗、钝化、预膜处理。</w:t>
      </w:r>
    </w:p>
    <w:p>
      <w:pPr>
        <w:keepLines w:val="0"/>
        <w:pageBreakBefore w:val="0"/>
        <w:tabs>
          <w:tab w:val="left" w:pos="2340"/>
        </w:tabs>
        <w:kinsoku/>
        <w:wordWrap/>
        <w:overflowPunct/>
        <w:topLinePunct w:val="0"/>
        <w:autoSpaceDE/>
        <w:autoSpaceDN/>
        <w:bidi w:val="0"/>
        <w:snapToGrid w:val="0"/>
        <w:ind w:firstLine="420" w:firstLineChars="200"/>
        <w:jc w:val="both"/>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4.3.2冷却、冷冻系统“Y”型过滤器清洗处理。</w:t>
      </w:r>
    </w:p>
    <w:p>
      <w:pPr>
        <w:keepLines w:val="0"/>
        <w:pageBreakBefore w:val="0"/>
        <w:tabs>
          <w:tab w:val="left" w:pos="2340"/>
        </w:tabs>
        <w:kinsoku/>
        <w:wordWrap/>
        <w:overflowPunct/>
        <w:topLinePunct w:val="0"/>
        <w:autoSpaceDE/>
        <w:autoSpaceDN/>
        <w:bidi w:val="0"/>
        <w:snapToGrid w:val="0"/>
        <w:ind w:firstLine="420" w:firstLineChars="200"/>
        <w:jc w:val="both"/>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4.3.3膨胀水箱（补水箱）清洗处理（每季度）。</w:t>
      </w:r>
    </w:p>
    <w:p>
      <w:pPr>
        <w:keepLines w:val="0"/>
        <w:pageBreakBefore w:val="0"/>
        <w:tabs>
          <w:tab w:val="left" w:pos="2340"/>
        </w:tabs>
        <w:kinsoku/>
        <w:wordWrap/>
        <w:overflowPunct/>
        <w:topLinePunct w:val="0"/>
        <w:autoSpaceDE/>
        <w:autoSpaceDN/>
        <w:bidi w:val="0"/>
        <w:snapToGrid w:val="0"/>
        <w:ind w:firstLine="420" w:firstLineChars="200"/>
        <w:jc w:val="both"/>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4.3.4停机期间投加系统湿保养药剂。</w:t>
      </w:r>
    </w:p>
    <w:p>
      <w:pPr>
        <w:keepLines w:val="0"/>
        <w:pageBreakBefore w:val="0"/>
        <w:tabs>
          <w:tab w:val="left" w:pos="2340"/>
        </w:tabs>
        <w:kinsoku/>
        <w:wordWrap/>
        <w:overflowPunct/>
        <w:topLinePunct w:val="0"/>
        <w:autoSpaceDE/>
        <w:autoSpaceDN/>
        <w:bidi w:val="0"/>
        <w:snapToGrid w:val="0"/>
        <w:ind w:firstLine="422" w:firstLineChars="200"/>
        <w:jc w:val="both"/>
        <w:rPr>
          <w:rFonts w:ascii="Times New Roman" w:hAnsi="Times New Roman" w:cs="Times New Roman" w:eastAsiaTheme="minorEastAsia"/>
          <w:b/>
          <w:bCs/>
          <w:sz w:val="21"/>
          <w:szCs w:val="21"/>
          <w:highlight w:val="none"/>
        </w:rPr>
      </w:pPr>
      <w:r>
        <w:rPr>
          <w:rFonts w:hint="eastAsia" w:ascii="Times New Roman" w:hAnsi="Times New Roman" w:cs="Times New Roman" w:eastAsiaTheme="minorEastAsia"/>
          <w:b/>
          <w:bCs/>
          <w:sz w:val="21"/>
          <w:szCs w:val="21"/>
          <w:highlight w:val="none"/>
        </w:rPr>
        <w:t>（四）分体空调、天花机、柜机、抽湿机、冰箱</w:t>
      </w:r>
      <w:r>
        <w:rPr>
          <w:rFonts w:hint="eastAsia" w:ascii="Times New Roman" w:hAnsi="Times New Roman" w:cs="Times New Roman" w:eastAsiaTheme="minorEastAsia"/>
          <w:b/>
          <w:bCs/>
          <w:sz w:val="21"/>
          <w:szCs w:val="21"/>
          <w:highlight w:val="none"/>
          <w:lang w:eastAsia="zh-CN"/>
        </w:rPr>
        <w:t>、</w:t>
      </w:r>
      <w:r>
        <w:rPr>
          <w:rFonts w:hint="eastAsia" w:ascii="Times New Roman" w:hAnsi="Times New Roman" w:cs="Times New Roman" w:eastAsiaTheme="minorEastAsia"/>
          <w:b/>
          <w:bCs/>
          <w:sz w:val="21"/>
          <w:szCs w:val="21"/>
          <w:highlight w:val="none"/>
          <w:lang w:val="en-US" w:eastAsia="zh-CN"/>
        </w:rPr>
        <w:t>电梯空调</w:t>
      </w:r>
      <w:r>
        <w:rPr>
          <w:rFonts w:hint="eastAsia" w:ascii="Times New Roman" w:hAnsi="Times New Roman" w:cs="Times New Roman" w:eastAsiaTheme="minorEastAsia"/>
          <w:b/>
          <w:bCs/>
          <w:sz w:val="21"/>
          <w:szCs w:val="21"/>
          <w:highlight w:val="none"/>
        </w:rPr>
        <w:t>维保要求</w:t>
      </w:r>
    </w:p>
    <w:p>
      <w:pPr>
        <w:keepLines w:val="0"/>
        <w:pageBreakBefore w:val="0"/>
        <w:tabs>
          <w:tab w:val="left" w:pos="2340"/>
        </w:tabs>
        <w:kinsoku/>
        <w:wordWrap/>
        <w:overflowPunct/>
        <w:topLinePunct w:val="0"/>
        <w:autoSpaceDE/>
        <w:autoSpaceDN/>
        <w:bidi w:val="0"/>
        <w:snapToGrid w:val="0"/>
        <w:ind w:firstLine="420" w:firstLineChars="200"/>
        <w:jc w:val="both"/>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除日常维修外，每年3-4月份、10-11月份对维保的分体空调、天花机、柜机、抽湿机设备</w:t>
      </w:r>
      <w:r>
        <w:rPr>
          <w:rFonts w:hint="eastAsia" w:ascii="Times New Roman" w:hAnsi="Times New Roman" w:cs="Times New Roman" w:eastAsiaTheme="minorEastAsia"/>
          <w:sz w:val="21"/>
          <w:szCs w:val="21"/>
          <w:highlight w:val="none"/>
          <w:lang w:val="en-US" w:eastAsia="zh-CN"/>
        </w:rPr>
        <w:t>的</w:t>
      </w:r>
      <w:r>
        <w:rPr>
          <w:rFonts w:hint="eastAsia" w:ascii="Times New Roman" w:hAnsi="Times New Roman" w:cs="Times New Roman" w:eastAsiaTheme="minorEastAsia"/>
          <w:sz w:val="21"/>
          <w:szCs w:val="21"/>
          <w:highlight w:val="none"/>
        </w:rPr>
        <w:t>室内外机</w:t>
      </w:r>
      <w:r>
        <w:rPr>
          <w:rFonts w:hint="eastAsia" w:ascii="Times New Roman" w:hAnsi="Times New Roman" w:cs="Times New Roman" w:eastAsiaTheme="minorEastAsia"/>
          <w:sz w:val="21"/>
          <w:szCs w:val="21"/>
          <w:highlight w:val="none"/>
          <w:lang w:val="en-US" w:eastAsia="zh-CN"/>
        </w:rPr>
        <w:t>以及电梯空调进行</w:t>
      </w:r>
      <w:r>
        <w:rPr>
          <w:rFonts w:hint="eastAsia" w:ascii="Times New Roman" w:hAnsi="Times New Roman" w:cs="Times New Roman" w:eastAsiaTheme="minorEastAsia"/>
          <w:sz w:val="21"/>
          <w:szCs w:val="21"/>
          <w:highlight w:val="none"/>
        </w:rPr>
        <w:t>清洗保养一次，全年共2次；每半年一次对冰箱进行检测、除尘处理；清洗保养具体操作如下：</w:t>
      </w:r>
    </w:p>
    <w:p>
      <w:pPr>
        <w:keepLines w:val="0"/>
        <w:pageBreakBefore w:val="0"/>
        <w:tabs>
          <w:tab w:val="left" w:pos="2340"/>
        </w:tabs>
        <w:kinsoku/>
        <w:wordWrap/>
        <w:overflowPunct/>
        <w:topLinePunct w:val="0"/>
        <w:autoSpaceDE/>
        <w:autoSpaceDN/>
        <w:bidi w:val="0"/>
        <w:snapToGrid w:val="0"/>
        <w:ind w:firstLine="420" w:firstLineChars="200"/>
        <w:jc w:val="both"/>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1.清洗回风口和送风口并消毒。</w:t>
      </w:r>
    </w:p>
    <w:p>
      <w:pPr>
        <w:keepLines w:val="0"/>
        <w:pageBreakBefore w:val="0"/>
        <w:tabs>
          <w:tab w:val="left" w:pos="2340"/>
        </w:tabs>
        <w:kinsoku/>
        <w:wordWrap/>
        <w:overflowPunct/>
        <w:topLinePunct w:val="0"/>
        <w:autoSpaceDE/>
        <w:autoSpaceDN/>
        <w:bidi w:val="0"/>
        <w:snapToGrid w:val="0"/>
        <w:ind w:firstLine="420" w:firstLineChars="200"/>
        <w:jc w:val="both"/>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2.清洗室内机回风口尘网。</w:t>
      </w:r>
    </w:p>
    <w:p>
      <w:pPr>
        <w:keepLines w:val="0"/>
        <w:pageBreakBefore w:val="0"/>
        <w:tabs>
          <w:tab w:val="left" w:pos="2340"/>
        </w:tabs>
        <w:kinsoku/>
        <w:wordWrap/>
        <w:overflowPunct/>
        <w:topLinePunct w:val="0"/>
        <w:autoSpaceDE/>
        <w:autoSpaceDN/>
        <w:bidi w:val="0"/>
        <w:snapToGrid w:val="0"/>
        <w:ind w:firstLine="420" w:firstLineChars="200"/>
        <w:jc w:val="both"/>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3.检测电机线圈，用万用表测量其线圈阻值是否正常。</w:t>
      </w:r>
    </w:p>
    <w:p>
      <w:pPr>
        <w:keepLines w:val="0"/>
        <w:pageBreakBefore w:val="0"/>
        <w:tabs>
          <w:tab w:val="left" w:pos="2340"/>
        </w:tabs>
        <w:kinsoku/>
        <w:wordWrap/>
        <w:overflowPunct/>
        <w:topLinePunct w:val="0"/>
        <w:autoSpaceDE/>
        <w:autoSpaceDN/>
        <w:bidi w:val="0"/>
        <w:snapToGrid w:val="0"/>
        <w:ind w:firstLine="420" w:firstLineChars="200"/>
        <w:jc w:val="both"/>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4.清除电路板上的灰尘、杂质、检查各接线插头是否插好。</w:t>
      </w:r>
    </w:p>
    <w:p>
      <w:pPr>
        <w:keepLines w:val="0"/>
        <w:pageBreakBefore w:val="0"/>
        <w:tabs>
          <w:tab w:val="left" w:pos="2340"/>
        </w:tabs>
        <w:kinsoku/>
        <w:wordWrap/>
        <w:overflowPunct/>
        <w:topLinePunct w:val="0"/>
        <w:autoSpaceDE/>
        <w:autoSpaceDN/>
        <w:bidi w:val="0"/>
        <w:snapToGrid w:val="0"/>
        <w:ind w:firstLine="420" w:firstLineChars="200"/>
        <w:jc w:val="both"/>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5.检查冷凝水抽水泵工作情况是否正常，用万用表检测水泵线圈阻值是否正常水泵浮球开关是否卡塞。</w:t>
      </w:r>
    </w:p>
    <w:p>
      <w:pPr>
        <w:keepLines w:val="0"/>
        <w:pageBreakBefore w:val="0"/>
        <w:tabs>
          <w:tab w:val="left" w:pos="2340"/>
        </w:tabs>
        <w:kinsoku/>
        <w:wordWrap/>
        <w:overflowPunct/>
        <w:topLinePunct w:val="0"/>
        <w:autoSpaceDE/>
        <w:autoSpaceDN/>
        <w:bidi w:val="0"/>
        <w:snapToGrid w:val="0"/>
        <w:ind w:firstLine="420" w:firstLineChars="200"/>
        <w:jc w:val="both"/>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6.清洗冷凝器，用高压清洗机进行清洗，保证冷凝器散热情况良好（可根据冷凝器积尘情况决定是否需要用化学清洗剂）。</w:t>
      </w:r>
    </w:p>
    <w:p>
      <w:pPr>
        <w:keepLines w:val="0"/>
        <w:pageBreakBefore w:val="0"/>
        <w:tabs>
          <w:tab w:val="left" w:pos="2340"/>
        </w:tabs>
        <w:kinsoku/>
        <w:wordWrap/>
        <w:overflowPunct/>
        <w:topLinePunct w:val="0"/>
        <w:autoSpaceDE/>
        <w:autoSpaceDN/>
        <w:bidi w:val="0"/>
        <w:snapToGrid w:val="0"/>
        <w:ind w:firstLine="420" w:firstLineChars="200"/>
        <w:jc w:val="both"/>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7.清洗室外机外观，用清洁剂对室外机外观进行清洗，保持室外机清洁干净。</w:t>
      </w:r>
    </w:p>
    <w:p>
      <w:pPr>
        <w:keepLines w:val="0"/>
        <w:pageBreakBefore w:val="0"/>
        <w:tabs>
          <w:tab w:val="left" w:pos="2340"/>
        </w:tabs>
        <w:kinsoku/>
        <w:wordWrap/>
        <w:overflowPunct/>
        <w:topLinePunct w:val="0"/>
        <w:autoSpaceDE/>
        <w:autoSpaceDN/>
        <w:bidi w:val="0"/>
        <w:snapToGrid w:val="0"/>
        <w:ind w:firstLine="420" w:firstLineChars="200"/>
        <w:jc w:val="both"/>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8.检测交流接触器触点是否良好，各电源接线安装是否牢固。</w:t>
      </w:r>
    </w:p>
    <w:p>
      <w:pPr>
        <w:keepLines w:val="0"/>
        <w:pageBreakBefore w:val="0"/>
        <w:tabs>
          <w:tab w:val="left" w:pos="2340"/>
        </w:tabs>
        <w:kinsoku/>
        <w:wordWrap/>
        <w:overflowPunct/>
        <w:topLinePunct w:val="0"/>
        <w:autoSpaceDE/>
        <w:autoSpaceDN/>
        <w:bidi w:val="0"/>
        <w:snapToGrid w:val="0"/>
        <w:ind w:firstLine="420" w:firstLineChars="200"/>
        <w:jc w:val="both"/>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9.检查电路板与机组接线端的接线是否牢固，电路板安装是否牢固。</w:t>
      </w:r>
    </w:p>
    <w:p>
      <w:pPr>
        <w:keepLines w:val="0"/>
        <w:pageBreakBefore w:val="0"/>
        <w:tabs>
          <w:tab w:val="left" w:pos="2340"/>
        </w:tabs>
        <w:kinsoku/>
        <w:wordWrap/>
        <w:overflowPunct/>
        <w:topLinePunct w:val="0"/>
        <w:autoSpaceDE/>
        <w:autoSpaceDN/>
        <w:bidi w:val="0"/>
        <w:snapToGrid w:val="0"/>
        <w:ind w:firstLine="420" w:firstLineChars="200"/>
        <w:jc w:val="both"/>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10.用万用表检测温度和压力传感器的阻值是否正常，发现故障传感器要及时报告采购人并更换。</w:t>
      </w:r>
    </w:p>
    <w:p>
      <w:pPr>
        <w:keepLines w:val="0"/>
        <w:pageBreakBefore w:val="0"/>
        <w:tabs>
          <w:tab w:val="left" w:pos="2340"/>
        </w:tabs>
        <w:kinsoku/>
        <w:wordWrap/>
        <w:overflowPunct/>
        <w:topLinePunct w:val="0"/>
        <w:autoSpaceDE/>
        <w:autoSpaceDN/>
        <w:bidi w:val="0"/>
        <w:snapToGrid w:val="0"/>
        <w:ind w:firstLine="420" w:firstLineChars="200"/>
        <w:jc w:val="both"/>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11.用万用表检测压缩机的线圈阻值是否正常，用兆欧表测量其对地绝缘值是否正常。</w:t>
      </w:r>
    </w:p>
    <w:p>
      <w:pPr>
        <w:keepLines w:val="0"/>
        <w:pageBreakBefore w:val="0"/>
        <w:tabs>
          <w:tab w:val="left" w:pos="2340"/>
        </w:tabs>
        <w:kinsoku/>
        <w:wordWrap/>
        <w:overflowPunct/>
        <w:topLinePunct w:val="0"/>
        <w:autoSpaceDE/>
        <w:autoSpaceDN/>
        <w:bidi w:val="0"/>
        <w:snapToGrid w:val="0"/>
        <w:ind w:firstLine="420" w:firstLineChars="200"/>
        <w:jc w:val="both"/>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12.检查电缆管是否良好，如有烧焦破损情况需要及时更换。</w:t>
      </w:r>
    </w:p>
    <w:p>
      <w:pPr>
        <w:keepLines w:val="0"/>
        <w:pageBreakBefore w:val="0"/>
        <w:tabs>
          <w:tab w:val="left" w:pos="2340"/>
        </w:tabs>
        <w:kinsoku/>
        <w:wordWrap/>
        <w:overflowPunct/>
        <w:topLinePunct w:val="0"/>
        <w:autoSpaceDE/>
        <w:autoSpaceDN/>
        <w:bidi w:val="0"/>
        <w:snapToGrid w:val="0"/>
        <w:ind w:firstLine="420" w:firstLineChars="200"/>
        <w:jc w:val="both"/>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13.用压力表检测各机组内制冷剂的运行压力值，若发现制冷剂缺少，则找到原因并及时补充。</w:t>
      </w:r>
    </w:p>
    <w:p>
      <w:pPr>
        <w:keepLines w:val="0"/>
        <w:pageBreakBefore w:val="0"/>
        <w:kinsoku/>
        <w:wordWrap/>
        <w:overflowPunct/>
        <w:topLinePunct w:val="0"/>
        <w:bidi w:val="0"/>
        <w:ind w:firstLine="420" w:firstLineChars="200"/>
        <w:rPr>
          <w:rFonts w:ascii="Times New Roman" w:hAnsi="Times New Roman" w:cs="Times New Roman" w:eastAsiaTheme="minorEastAsia"/>
          <w:sz w:val="21"/>
          <w:szCs w:val="21"/>
          <w:highlight w:val="none"/>
        </w:rPr>
      </w:pPr>
    </w:p>
    <w:p>
      <w:pPr>
        <w:keepLines w:val="0"/>
        <w:pageBreakBefore w:val="0"/>
        <w:tabs>
          <w:tab w:val="left" w:pos="0"/>
        </w:tabs>
        <w:kinsoku/>
        <w:wordWrap/>
        <w:overflowPunct/>
        <w:topLinePunct w:val="0"/>
        <w:autoSpaceDE/>
        <w:autoSpaceDN/>
        <w:bidi w:val="0"/>
        <w:snapToGrid w:val="0"/>
        <w:ind w:firstLine="422" w:firstLineChars="200"/>
        <w:jc w:val="both"/>
        <w:outlineLvl w:val="3"/>
        <w:rPr>
          <w:rFonts w:ascii="Times New Roman" w:hAnsi="Times New Roman" w:cs="Times New Roman" w:eastAsiaTheme="minorEastAsia"/>
          <w:b/>
          <w:bCs/>
          <w:sz w:val="21"/>
          <w:szCs w:val="21"/>
          <w:highlight w:val="none"/>
        </w:rPr>
      </w:pPr>
      <w:r>
        <w:rPr>
          <w:rFonts w:hint="eastAsia" w:ascii="Times New Roman" w:hAnsi="Times New Roman" w:cs="Times New Roman" w:eastAsiaTheme="minorEastAsia"/>
          <w:b/>
          <w:bCs/>
          <w:sz w:val="21"/>
          <w:szCs w:val="21"/>
          <w:highlight w:val="none"/>
          <w:lang w:eastAsia="zh-CN"/>
        </w:rPr>
        <w:t>七</w:t>
      </w:r>
      <w:r>
        <w:rPr>
          <w:rFonts w:hint="eastAsia" w:ascii="Times New Roman" w:hAnsi="Times New Roman" w:cs="Times New Roman" w:eastAsiaTheme="minorEastAsia"/>
          <w:b/>
          <w:bCs/>
          <w:sz w:val="21"/>
          <w:szCs w:val="21"/>
          <w:highlight w:val="none"/>
        </w:rPr>
        <w:t>、服务考核要求</w:t>
      </w:r>
    </w:p>
    <w:p>
      <w:pPr>
        <w:keepLines w:val="0"/>
        <w:pageBreakBefore w:val="0"/>
        <w:kinsoku/>
        <w:wordWrap/>
        <w:overflowPunct/>
        <w:topLinePunct w:val="0"/>
        <w:autoSpaceDE/>
        <w:autoSpaceDN/>
        <w:bidi w:val="0"/>
        <w:snapToGrid w:val="0"/>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1.为更好地提高医院空调维修保养工作的服务质量，完善医院维修保养服务规范，提高医院空调维修保养服务满意度，特制定本考核标准。</w:t>
      </w:r>
    </w:p>
    <w:p>
      <w:pPr>
        <w:keepLines w:val="0"/>
        <w:pageBreakBefore w:val="0"/>
        <w:kinsoku/>
        <w:wordWrap/>
        <w:overflowPunct/>
        <w:topLinePunct w:val="0"/>
        <w:autoSpaceDE/>
        <w:autoSpaceDN/>
        <w:bidi w:val="0"/>
        <w:snapToGrid w:val="0"/>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2.每月考核一次，由医院组织相关科室人员进行考核。三个院区分别根据维保考核标准扣分，总院汇总所得分数后按下述标准扣罚：</w:t>
      </w:r>
    </w:p>
    <w:p>
      <w:pPr>
        <w:keepLines w:val="0"/>
        <w:pageBreakBefore w:val="0"/>
        <w:kinsoku/>
        <w:wordWrap/>
        <w:overflowPunct/>
        <w:topLinePunct w:val="0"/>
        <w:autoSpaceDE/>
        <w:autoSpaceDN/>
        <w:bidi w:val="0"/>
        <w:snapToGrid w:val="0"/>
        <w:ind w:firstLine="420" w:firstLineChars="200"/>
        <w:jc w:val="both"/>
        <w:rPr>
          <w:rFonts w:hint="eastAsia" w:ascii="Times New Roman" w:hAnsi="Times New Roman" w:cs="Times New Roman" w:eastAsiaTheme="minorEastAsia"/>
          <w:kern w:val="2"/>
          <w:sz w:val="21"/>
          <w:szCs w:val="21"/>
          <w:highlight w:val="none"/>
          <w:lang w:eastAsia="zh-CN"/>
        </w:rPr>
      </w:pPr>
      <w:r>
        <w:rPr>
          <w:rFonts w:hint="eastAsia" w:ascii="Times New Roman" w:hAnsi="Times New Roman" w:cs="Times New Roman" w:eastAsiaTheme="minorEastAsia"/>
          <w:kern w:val="2"/>
          <w:sz w:val="21"/>
          <w:szCs w:val="21"/>
          <w:highlight w:val="none"/>
        </w:rPr>
        <w:t>1)满分100分，表示服务质量达标，全额支付当月维保服务费用；</w:t>
      </w:r>
    </w:p>
    <w:p>
      <w:pPr>
        <w:keepLines w:val="0"/>
        <w:pageBreakBefore w:val="0"/>
        <w:kinsoku/>
        <w:wordWrap/>
        <w:overflowPunct/>
        <w:topLinePunct w:val="0"/>
        <w:autoSpaceDE/>
        <w:autoSpaceDN/>
        <w:bidi w:val="0"/>
        <w:snapToGrid w:val="0"/>
        <w:ind w:firstLine="420" w:firstLineChars="200"/>
        <w:jc w:val="both"/>
        <w:rPr>
          <w:rFonts w:hint="eastAsia" w:ascii="Times New Roman" w:hAnsi="Times New Roman" w:cs="Times New Roman" w:eastAsiaTheme="minorEastAsia"/>
          <w:kern w:val="2"/>
          <w:sz w:val="21"/>
          <w:szCs w:val="21"/>
          <w:highlight w:val="none"/>
          <w:lang w:eastAsia="zh-CN"/>
        </w:rPr>
      </w:pPr>
      <w:r>
        <w:rPr>
          <w:rFonts w:hint="eastAsia" w:ascii="Times New Roman" w:hAnsi="Times New Roman" w:cs="Times New Roman" w:eastAsiaTheme="minorEastAsia"/>
          <w:kern w:val="2"/>
          <w:sz w:val="21"/>
          <w:szCs w:val="21"/>
          <w:highlight w:val="none"/>
        </w:rPr>
        <w:t>2)90≤分值＜100分，每分按250元扣减费用，例如当月得分95分，扣罚1250元；</w:t>
      </w:r>
    </w:p>
    <w:p>
      <w:pPr>
        <w:keepLines w:val="0"/>
        <w:pageBreakBefore w:val="0"/>
        <w:kinsoku/>
        <w:wordWrap/>
        <w:overflowPunct/>
        <w:topLinePunct w:val="0"/>
        <w:autoSpaceDE/>
        <w:autoSpaceDN/>
        <w:bidi w:val="0"/>
        <w:snapToGrid w:val="0"/>
        <w:ind w:firstLine="420" w:firstLineChars="200"/>
        <w:jc w:val="both"/>
        <w:rPr>
          <w:rFonts w:hint="eastAsia" w:ascii="Times New Roman" w:hAnsi="Times New Roman" w:cs="Times New Roman" w:eastAsiaTheme="minorEastAsia"/>
          <w:kern w:val="2"/>
          <w:sz w:val="21"/>
          <w:szCs w:val="21"/>
          <w:highlight w:val="none"/>
          <w:lang w:eastAsia="zh-CN"/>
        </w:rPr>
      </w:pPr>
      <w:r>
        <w:rPr>
          <w:rFonts w:hint="eastAsia" w:ascii="Times New Roman" w:hAnsi="Times New Roman" w:cs="Times New Roman" w:eastAsiaTheme="minorEastAsia"/>
          <w:kern w:val="2"/>
          <w:sz w:val="21"/>
          <w:szCs w:val="21"/>
          <w:highlight w:val="none"/>
        </w:rPr>
        <w:t>3)80≤分值＜90分，每分扣罚300元，例如当月得分85分，扣罚4500元；</w:t>
      </w:r>
    </w:p>
    <w:p>
      <w:pPr>
        <w:keepLines w:val="0"/>
        <w:pageBreakBefore w:val="0"/>
        <w:kinsoku/>
        <w:wordWrap/>
        <w:overflowPunct/>
        <w:topLinePunct w:val="0"/>
        <w:autoSpaceDE/>
        <w:autoSpaceDN/>
        <w:bidi w:val="0"/>
        <w:snapToGrid w:val="0"/>
        <w:ind w:firstLine="420" w:firstLineChars="200"/>
        <w:jc w:val="both"/>
        <w:rPr>
          <w:rFonts w:hint="eastAsia" w:ascii="Times New Roman" w:hAnsi="Times New Roman" w:cs="Times New Roman" w:eastAsiaTheme="minorEastAsia"/>
          <w:kern w:val="2"/>
          <w:sz w:val="21"/>
          <w:szCs w:val="21"/>
          <w:highlight w:val="none"/>
          <w:lang w:eastAsia="zh-CN"/>
        </w:rPr>
      </w:pPr>
      <w:r>
        <w:rPr>
          <w:rFonts w:hint="eastAsia" w:ascii="Times New Roman" w:hAnsi="Times New Roman" w:cs="Times New Roman" w:eastAsiaTheme="minorEastAsia"/>
          <w:kern w:val="2"/>
          <w:sz w:val="21"/>
          <w:szCs w:val="21"/>
          <w:highlight w:val="none"/>
        </w:rPr>
        <w:t>4)75≤分值＜80分，每分扣罚400元，例如当月得分75分，扣罚10000元；</w:t>
      </w:r>
    </w:p>
    <w:p>
      <w:pPr>
        <w:keepLines w:val="0"/>
        <w:pageBreakBefore w:val="0"/>
        <w:kinsoku/>
        <w:wordWrap/>
        <w:overflowPunct/>
        <w:topLinePunct w:val="0"/>
        <w:autoSpaceDE/>
        <w:autoSpaceDN/>
        <w:bidi w:val="0"/>
        <w:snapToGrid w:val="0"/>
        <w:ind w:firstLine="420" w:firstLineChars="200"/>
        <w:jc w:val="both"/>
        <w:rPr>
          <w:rFonts w:hint="eastAsia" w:ascii="Times New Roman" w:hAnsi="Times New Roman" w:cs="Times New Roman" w:eastAsiaTheme="minorEastAsia"/>
          <w:kern w:val="2"/>
          <w:sz w:val="21"/>
          <w:szCs w:val="21"/>
          <w:highlight w:val="none"/>
          <w:lang w:eastAsia="zh-CN"/>
        </w:rPr>
      </w:pPr>
      <w:r>
        <w:rPr>
          <w:rFonts w:hint="eastAsia" w:ascii="Times New Roman" w:hAnsi="Times New Roman" w:cs="Times New Roman" w:eastAsiaTheme="minorEastAsia"/>
          <w:kern w:val="2"/>
          <w:sz w:val="21"/>
          <w:szCs w:val="21"/>
          <w:highlight w:val="none"/>
        </w:rPr>
        <w:t>5)分值＜75分，扣罚当月维保服务费金额的10%；</w:t>
      </w:r>
    </w:p>
    <w:p>
      <w:pPr>
        <w:keepLines w:val="0"/>
        <w:pageBreakBefore w:val="0"/>
        <w:kinsoku/>
        <w:wordWrap/>
        <w:overflowPunct/>
        <w:topLinePunct w:val="0"/>
        <w:autoSpaceDE/>
        <w:autoSpaceDN/>
        <w:bidi w:val="0"/>
        <w:snapToGrid w:val="0"/>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6)一年内累计2次出现75分以下（不含75分）的，采购人有权终止合同且无需承担责任。</w:t>
      </w:r>
    </w:p>
    <w:p>
      <w:pPr>
        <w:keepLines w:val="0"/>
        <w:pageBreakBefore w:val="0"/>
        <w:kinsoku/>
        <w:wordWrap/>
        <w:overflowPunct/>
        <w:topLinePunct w:val="0"/>
        <w:autoSpaceDE/>
        <w:autoSpaceDN/>
        <w:bidi w:val="0"/>
        <w:snapToGrid w:val="0"/>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3.考核以满意度为标准，采取打分制，满分为100分。</w:t>
      </w:r>
    </w:p>
    <w:p>
      <w:pPr>
        <w:keepLines w:val="0"/>
        <w:pageBreakBefore w:val="0"/>
        <w:kinsoku/>
        <w:wordWrap/>
        <w:overflowPunct/>
        <w:topLinePunct w:val="0"/>
        <w:autoSpaceDE/>
        <w:autoSpaceDN/>
        <w:bidi w:val="0"/>
        <w:snapToGrid w:val="0"/>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4.如中标人未在合同履约期的前三个月内提交全院范围内的分体空调和机房的管理制度、设备和维修台帐，每延迟1个月扣罚当月维保分数20分，延迟6个月后解除维保合同。</w:t>
      </w:r>
    </w:p>
    <w:p>
      <w:pPr>
        <w:keepLines w:val="0"/>
        <w:pageBreakBefore w:val="0"/>
        <w:kinsoku/>
        <w:wordWrap/>
        <w:overflowPunct/>
        <w:topLinePunct w:val="0"/>
        <w:autoSpaceDE/>
        <w:autoSpaceDN/>
        <w:bidi w:val="0"/>
        <w:snapToGrid w:val="0"/>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5.考核细化准则如下：</w:t>
      </w:r>
    </w:p>
    <w:tbl>
      <w:tblPr>
        <w:tblStyle w:val="24"/>
        <w:tblW w:w="8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637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687" w:type="dxa"/>
            <w:vAlign w:val="center"/>
          </w:tcPr>
          <w:p>
            <w:pPr>
              <w:keepLines w:val="0"/>
              <w:pageBreakBefore w:val="0"/>
              <w:kinsoku/>
              <w:wordWrap/>
              <w:overflowPunct/>
              <w:topLinePunct w:val="0"/>
              <w:bidi w:val="0"/>
              <w:snapToGrid w:val="0"/>
              <w:ind w:left="-95" w:leftChars="-43" w:right="-70" w:rightChars="-32"/>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序号</w:t>
            </w:r>
          </w:p>
        </w:tc>
        <w:tc>
          <w:tcPr>
            <w:tcW w:w="6379" w:type="dxa"/>
            <w:vAlign w:val="center"/>
          </w:tcPr>
          <w:p>
            <w:pPr>
              <w:keepLines w:val="0"/>
              <w:pageBreakBefore w:val="0"/>
              <w:kinsoku/>
              <w:wordWrap/>
              <w:overflowPunct/>
              <w:topLinePunct w:val="0"/>
              <w:bidi w:val="0"/>
              <w:snapToGrid w:val="0"/>
              <w:ind w:firstLine="1955" w:firstLineChars="931"/>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考核内容</w:t>
            </w:r>
          </w:p>
        </w:tc>
        <w:tc>
          <w:tcPr>
            <w:tcW w:w="1559"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扣罚分值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687"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1</w:t>
            </w:r>
          </w:p>
        </w:tc>
        <w:tc>
          <w:tcPr>
            <w:tcW w:w="6379" w:type="dxa"/>
            <w:vAlign w:val="center"/>
          </w:tcPr>
          <w:p>
            <w:pPr>
              <w:keepLines w:val="0"/>
              <w:pageBreakBefore w:val="0"/>
              <w:kinsoku/>
              <w:wordWrap/>
              <w:overflowPunct/>
              <w:topLinePunct w:val="0"/>
              <w:bidi w:val="0"/>
              <w:snapToGrid w:val="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未按时及时做好空调保养工作</w:t>
            </w:r>
          </w:p>
        </w:tc>
        <w:tc>
          <w:tcPr>
            <w:tcW w:w="1559"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每次扣2分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87"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2</w:t>
            </w:r>
          </w:p>
        </w:tc>
        <w:tc>
          <w:tcPr>
            <w:tcW w:w="6379" w:type="dxa"/>
            <w:vAlign w:val="center"/>
          </w:tcPr>
          <w:p>
            <w:pPr>
              <w:keepLines w:val="0"/>
              <w:pageBreakBefore w:val="0"/>
              <w:kinsoku/>
              <w:wordWrap/>
              <w:overflowPunct/>
              <w:topLinePunct w:val="0"/>
              <w:bidi w:val="0"/>
              <w:snapToGrid w:val="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未按</w:t>
            </w:r>
            <w:r>
              <w:rPr>
                <w:rFonts w:hint="eastAsia" w:ascii="Times New Roman" w:hAnsi="Times New Roman" w:cs="Times New Roman" w:eastAsiaTheme="minorEastAsia"/>
                <w:kern w:val="2"/>
                <w:sz w:val="21"/>
                <w:szCs w:val="21"/>
                <w:highlight w:val="none"/>
                <w:lang w:val="en-US" w:eastAsia="zh-CN"/>
              </w:rPr>
              <w:t>巡检计划执行巡检的</w:t>
            </w:r>
          </w:p>
        </w:tc>
        <w:tc>
          <w:tcPr>
            <w:tcW w:w="1559"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每次扣2分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87"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w:t>
            </w:r>
          </w:p>
        </w:tc>
        <w:tc>
          <w:tcPr>
            <w:tcW w:w="6379" w:type="dxa"/>
            <w:vAlign w:val="center"/>
          </w:tcPr>
          <w:p>
            <w:pPr>
              <w:keepLines w:val="0"/>
              <w:pageBreakBefore w:val="0"/>
              <w:kinsoku/>
              <w:wordWrap/>
              <w:overflowPunct/>
              <w:topLinePunct w:val="0"/>
              <w:bidi w:val="0"/>
              <w:snapToGrid w:val="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每次维修工作完毕后，空调设备未恢复正常运行</w:t>
            </w:r>
          </w:p>
        </w:tc>
        <w:tc>
          <w:tcPr>
            <w:tcW w:w="1559"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每次扣2分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87"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4</w:t>
            </w:r>
          </w:p>
        </w:tc>
        <w:tc>
          <w:tcPr>
            <w:tcW w:w="6379" w:type="dxa"/>
            <w:vAlign w:val="center"/>
          </w:tcPr>
          <w:p>
            <w:pPr>
              <w:keepLines w:val="0"/>
              <w:pageBreakBefore w:val="0"/>
              <w:kinsoku/>
              <w:wordWrap/>
              <w:overflowPunct/>
              <w:topLinePunct w:val="0"/>
              <w:bidi w:val="0"/>
              <w:snapToGrid w:val="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维修保养工作后未及时清理打扫维保现场</w:t>
            </w:r>
          </w:p>
        </w:tc>
        <w:tc>
          <w:tcPr>
            <w:tcW w:w="1559"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每次扣1分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687"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5</w:t>
            </w:r>
          </w:p>
        </w:tc>
        <w:tc>
          <w:tcPr>
            <w:tcW w:w="6379" w:type="dxa"/>
            <w:vAlign w:val="center"/>
          </w:tcPr>
          <w:p>
            <w:pPr>
              <w:keepLines w:val="0"/>
              <w:pageBreakBefore w:val="0"/>
              <w:kinsoku/>
              <w:wordWrap/>
              <w:overflowPunct/>
              <w:topLinePunct w:val="0"/>
              <w:bidi w:val="0"/>
              <w:snapToGrid w:val="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接获急修、大修故障通知后，未能15分钟内到达现场处理</w:t>
            </w:r>
          </w:p>
        </w:tc>
        <w:tc>
          <w:tcPr>
            <w:tcW w:w="1559"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每次扣2分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87"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6</w:t>
            </w:r>
          </w:p>
        </w:tc>
        <w:tc>
          <w:tcPr>
            <w:tcW w:w="6379" w:type="dxa"/>
            <w:vAlign w:val="center"/>
          </w:tcPr>
          <w:p>
            <w:pPr>
              <w:keepLines w:val="0"/>
              <w:pageBreakBefore w:val="0"/>
              <w:kinsoku/>
              <w:wordWrap/>
              <w:overflowPunct/>
              <w:topLinePunct w:val="0"/>
              <w:bidi w:val="0"/>
              <w:snapToGrid w:val="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接获一般故障通知后，未能于30分钟内到达现场处理</w:t>
            </w:r>
          </w:p>
        </w:tc>
        <w:tc>
          <w:tcPr>
            <w:tcW w:w="1559"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每次扣1分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687"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7</w:t>
            </w:r>
          </w:p>
        </w:tc>
        <w:tc>
          <w:tcPr>
            <w:tcW w:w="6379" w:type="dxa"/>
            <w:vAlign w:val="center"/>
          </w:tcPr>
          <w:p>
            <w:pPr>
              <w:keepLines w:val="0"/>
              <w:pageBreakBefore w:val="0"/>
              <w:kinsoku/>
              <w:wordWrap/>
              <w:overflowPunct/>
              <w:topLinePunct w:val="0"/>
              <w:bidi w:val="0"/>
              <w:snapToGrid w:val="0"/>
              <w:jc w:val="both"/>
              <w:rPr>
                <w:rFonts w:hint="default" w:ascii="Times New Roman" w:hAnsi="Times New Roman" w:cs="Times New Roman" w:eastAsiaTheme="minorEastAsia"/>
                <w:kern w:val="2"/>
                <w:sz w:val="21"/>
                <w:szCs w:val="21"/>
                <w:highlight w:val="none"/>
                <w:lang w:val="en-US" w:eastAsia="zh-CN"/>
              </w:rPr>
            </w:pPr>
            <w:r>
              <w:rPr>
                <w:rFonts w:hint="eastAsia" w:ascii="Times New Roman" w:hAnsi="Times New Roman" w:cs="Times New Roman" w:eastAsiaTheme="minorEastAsia"/>
                <w:kern w:val="2"/>
                <w:sz w:val="21"/>
                <w:szCs w:val="21"/>
                <w:highlight w:val="none"/>
              </w:rPr>
              <w:t>接故障报修后无法及时处理的，专业技术主管未做好解释沟通工作</w:t>
            </w:r>
            <w:r>
              <w:rPr>
                <w:rFonts w:hint="eastAsia" w:ascii="Times New Roman" w:hAnsi="Times New Roman" w:cs="Times New Roman" w:eastAsiaTheme="minorEastAsia"/>
                <w:sz w:val="21"/>
                <w:szCs w:val="21"/>
                <w:highlight w:val="none"/>
                <w:lang w:val="en-US" w:eastAsia="zh-CN"/>
              </w:rPr>
              <w:t>引起报修部门投诉的</w:t>
            </w:r>
            <w:r>
              <w:rPr>
                <w:rFonts w:hint="eastAsia" w:ascii="Times New Roman" w:hAnsi="Times New Roman" w:cs="Times New Roman" w:eastAsiaTheme="minorEastAsia"/>
                <w:sz w:val="21"/>
                <w:szCs w:val="21"/>
                <w:highlight w:val="none"/>
                <w:lang w:eastAsia="zh-CN"/>
              </w:rPr>
              <w:t>；</w:t>
            </w:r>
            <w:r>
              <w:rPr>
                <w:rFonts w:hint="eastAsia" w:ascii="Times New Roman" w:hAnsi="Times New Roman" w:cs="Times New Roman" w:eastAsiaTheme="minorEastAsia"/>
                <w:sz w:val="21"/>
                <w:szCs w:val="21"/>
                <w:highlight w:val="none"/>
                <w:lang w:val="en-US" w:eastAsia="zh-CN"/>
              </w:rPr>
              <w:t>现场处理人员（非专业技术主管）直接让报修部门报告采购人管理部门的引起报修部门投诉的；专业技术主管未及时报告采购人管理部门的</w:t>
            </w:r>
          </w:p>
        </w:tc>
        <w:tc>
          <w:tcPr>
            <w:tcW w:w="1559"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每次扣2分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87"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8</w:t>
            </w:r>
          </w:p>
        </w:tc>
        <w:tc>
          <w:tcPr>
            <w:tcW w:w="6379" w:type="dxa"/>
            <w:vAlign w:val="center"/>
          </w:tcPr>
          <w:p>
            <w:pPr>
              <w:keepLines w:val="0"/>
              <w:pageBreakBefore w:val="0"/>
              <w:kinsoku/>
              <w:wordWrap/>
              <w:overflowPunct/>
              <w:topLinePunct w:val="0"/>
              <w:bidi w:val="0"/>
              <w:snapToGrid w:val="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重大故障维修工作前、后未能及时向相关管理部门汇报</w:t>
            </w:r>
          </w:p>
        </w:tc>
        <w:tc>
          <w:tcPr>
            <w:tcW w:w="1559"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每次扣2分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687"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9</w:t>
            </w:r>
          </w:p>
        </w:tc>
        <w:tc>
          <w:tcPr>
            <w:tcW w:w="6379" w:type="dxa"/>
            <w:vAlign w:val="center"/>
          </w:tcPr>
          <w:p>
            <w:pPr>
              <w:keepLines w:val="0"/>
              <w:pageBreakBefore w:val="0"/>
              <w:kinsoku/>
              <w:wordWrap/>
              <w:overflowPunct/>
              <w:topLinePunct w:val="0"/>
              <w:bidi w:val="0"/>
              <w:snapToGrid w:val="0"/>
              <w:jc w:val="both"/>
              <w:rPr>
                <w:rFonts w:hint="default" w:ascii="Times New Roman" w:hAnsi="Times New Roman" w:cs="Times New Roman" w:eastAsiaTheme="minorEastAsia"/>
                <w:kern w:val="2"/>
                <w:sz w:val="21"/>
                <w:szCs w:val="21"/>
                <w:highlight w:val="none"/>
                <w:lang w:val="en-US" w:eastAsia="zh-CN"/>
              </w:rPr>
            </w:pPr>
            <w:r>
              <w:rPr>
                <w:rFonts w:hint="eastAsia" w:ascii="Times New Roman" w:hAnsi="Times New Roman" w:cs="Times New Roman" w:eastAsiaTheme="minorEastAsia"/>
                <w:kern w:val="2"/>
                <w:sz w:val="21"/>
                <w:szCs w:val="21"/>
                <w:highlight w:val="none"/>
              </w:rPr>
              <w:t>重点科室出现空调重大故障时</w:t>
            </w:r>
            <w:r>
              <w:rPr>
                <w:rFonts w:hint="eastAsia" w:ascii="Times New Roman" w:hAnsi="Times New Roman" w:cs="Times New Roman" w:eastAsiaTheme="minorEastAsia"/>
                <w:kern w:val="2"/>
                <w:sz w:val="21"/>
                <w:szCs w:val="21"/>
                <w:highlight w:val="none"/>
                <w:lang w:eastAsia="zh-CN"/>
              </w:rPr>
              <w:t>，</w:t>
            </w:r>
            <w:r>
              <w:rPr>
                <w:rFonts w:hint="eastAsia" w:ascii="Times New Roman" w:hAnsi="Times New Roman" w:cs="Times New Roman" w:eastAsiaTheme="minorEastAsia"/>
                <w:kern w:val="2"/>
                <w:sz w:val="21"/>
                <w:szCs w:val="21"/>
                <w:highlight w:val="none"/>
                <w:lang w:val="en-US" w:eastAsia="zh-CN"/>
              </w:rPr>
              <w:t>未经采购人同意</w:t>
            </w:r>
            <w:r>
              <w:rPr>
                <w:rFonts w:hint="eastAsia" w:ascii="Times New Roman" w:hAnsi="Times New Roman" w:cs="Times New Roman" w:eastAsiaTheme="minorEastAsia"/>
                <w:kern w:val="2"/>
                <w:sz w:val="21"/>
                <w:szCs w:val="21"/>
                <w:highlight w:val="none"/>
              </w:rPr>
              <w:t>，未能在接到通知后12小时内解决</w:t>
            </w:r>
          </w:p>
        </w:tc>
        <w:tc>
          <w:tcPr>
            <w:tcW w:w="1559"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每次扣5分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87"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10</w:t>
            </w:r>
          </w:p>
        </w:tc>
        <w:tc>
          <w:tcPr>
            <w:tcW w:w="6379" w:type="dxa"/>
            <w:vAlign w:val="center"/>
          </w:tcPr>
          <w:p>
            <w:pPr>
              <w:keepLines w:val="0"/>
              <w:pageBreakBefore w:val="0"/>
              <w:kinsoku/>
              <w:wordWrap/>
              <w:overflowPunct/>
              <w:topLinePunct w:val="0"/>
              <w:bidi w:val="0"/>
              <w:snapToGrid w:val="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日常工作中，未能配合相关科室做好本职工作</w:t>
            </w:r>
          </w:p>
        </w:tc>
        <w:tc>
          <w:tcPr>
            <w:tcW w:w="1559"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每次扣1分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87"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11</w:t>
            </w:r>
          </w:p>
        </w:tc>
        <w:tc>
          <w:tcPr>
            <w:tcW w:w="6379" w:type="dxa"/>
            <w:vAlign w:val="center"/>
          </w:tcPr>
          <w:p>
            <w:pPr>
              <w:keepLines w:val="0"/>
              <w:pageBreakBefore w:val="0"/>
              <w:kinsoku/>
              <w:wordWrap/>
              <w:overflowPunct/>
              <w:topLinePunct w:val="0"/>
              <w:bidi w:val="0"/>
              <w:snapToGrid w:val="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维修保养过程中未做到安全、文明施工</w:t>
            </w:r>
          </w:p>
        </w:tc>
        <w:tc>
          <w:tcPr>
            <w:tcW w:w="1559"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每次扣1分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87"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12</w:t>
            </w:r>
          </w:p>
        </w:tc>
        <w:tc>
          <w:tcPr>
            <w:tcW w:w="6379" w:type="dxa"/>
            <w:vAlign w:val="center"/>
          </w:tcPr>
          <w:p>
            <w:pPr>
              <w:keepLines w:val="0"/>
              <w:pageBreakBefore w:val="0"/>
              <w:kinsoku/>
              <w:wordWrap/>
              <w:overflowPunct/>
              <w:topLinePunct w:val="0"/>
              <w:bidi w:val="0"/>
              <w:snapToGrid w:val="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维保工作过程中，不慎损坏、破坏医院设施情况</w:t>
            </w:r>
          </w:p>
        </w:tc>
        <w:tc>
          <w:tcPr>
            <w:tcW w:w="1559"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每次扣2分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7"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13</w:t>
            </w:r>
          </w:p>
        </w:tc>
        <w:tc>
          <w:tcPr>
            <w:tcW w:w="6379" w:type="dxa"/>
            <w:vAlign w:val="center"/>
          </w:tcPr>
          <w:p>
            <w:pPr>
              <w:keepLines w:val="0"/>
              <w:pageBreakBefore w:val="0"/>
              <w:kinsoku/>
              <w:wordWrap/>
              <w:overflowPunct/>
              <w:topLinePunct w:val="0"/>
              <w:bidi w:val="0"/>
              <w:snapToGrid w:val="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维保过程中，由于工作失误、配件不合格造成空调故障</w:t>
            </w:r>
          </w:p>
        </w:tc>
        <w:tc>
          <w:tcPr>
            <w:tcW w:w="1559"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每次扣3分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687"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14</w:t>
            </w:r>
          </w:p>
        </w:tc>
        <w:tc>
          <w:tcPr>
            <w:tcW w:w="6379" w:type="dxa"/>
            <w:vAlign w:val="center"/>
          </w:tcPr>
          <w:p>
            <w:pPr>
              <w:keepLines w:val="0"/>
              <w:pageBreakBefore w:val="0"/>
              <w:kinsoku/>
              <w:wordWrap/>
              <w:overflowPunct/>
              <w:topLinePunct w:val="0"/>
              <w:bidi w:val="0"/>
              <w:snapToGrid w:val="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对电器元件在损坏情况下，没有及时作出检查，而造成故障发生（非人为损坏，自然老化除外）</w:t>
            </w:r>
          </w:p>
        </w:tc>
        <w:tc>
          <w:tcPr>
            <w:tcW w:w="1559"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每次扣1分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87"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15</w:t>
            </w:r>
          </w:p>
        </w:tc>
        <w:tc>
          <w:tcPr>
            <w:tcW w:w="6379" w:type="dxa"/>
            <w:vAlign w:val="center"/>
          </w:tcPr>
          <w:p>
            <w:pPr>
              <w:keepLines w:val="0"/>
              <w:pageBreakBefore w:val="0"/>
              <w:kinsoku/>
              <w:wordWrap/>
              <w:overflowPunct/>
              <w:topLinePunct w:val="0"/>
              <w:bidi w:val="0"/>
              <w:snapToGrid w:val="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着装不整洁，不穿着工衣、不佩戴工卡</w:t>
            </w:r>
          </w:p>
        </w:tc>
        <w:tc>
          <w:tcPr>
            <w:tcW w:w="1559"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每次扣2分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87"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16</w:t>
            </w:r>
          </w:p>
        </w:tc>
        <w:tc>
          <w:tcPr>
            <w:tcW w:w="6379" w:type="dxa"/>
            <w:vAlign w:val="center"/>
          </w:tcPr>
          <w:p>
            <w:pPr>
              <w:keepLines w:val="0"/>
              <w:pageBreakBefore w:val="0"/>
              <w:kinsoku/>
              <w:wordWrap/>
              <w:overflowPunct/>
              <w:topLinePunct w:val="0"/>
              <w:bidi w:val="0"/>
              <w:snapToGrid w:val="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服务态度差，待人不礼貌</w:t>
            </w:r>
          </w:p>
        </w:tc>
        <w:tc>
          <w:tcPr>
            <w:tcW w:w="1559"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每次扣2分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87" w:type="dxa"/>
            <w:vAlign w:val="center"/>
          </w:tcPr>
          <w:p>
            <w:pPr>
              <w:keepLines w:val="0"/>
              <w:pageBreakBefore w:val="0"/>
              <w:kinsoku/>
              <w:wordWrap/>
              <w:overflowPunct/>
              <w:topLinePunct w:val="0"/>
              <w:bidi w:val="0"/>
              <w:snapToGrid w:val="0"/>
              <w:jc w:val="center"/>
              <w:rPr>
                <w:rFonts w:hint="default" w:ascii="Times New Roman" w:hAnsi="Times New Roman" w:cs="Times New Roman" w:eastAsiaTheme="minorEastAsia"/>
                <w:kern w:val="2"/>
                <w:sz w:val="21"/>
                <w:szCs w:val="21"/>
                <w:highlight w:val="none"/>
                <w:lang w:val="en-US" w:eastAsia="zh-CN"/>
              </w:rPr>
            </w:pPr>
            <w:r>
              <w:rPr>
                <w:rFonts w:hint="eastAsia" w:ascii="Times New Roman" w:hAnsi="Times New Roman" w:cs="Times New Roman" w:eastAsiaTheme="minorEastAsia"/>
                <w:kern w:val="2"/>
                <w:sz w:val="21"/>
                <w:szCs w:val="21"/>
                <w:highlight w:val="none"/>
                <w:lang w:val="en-US" w:eastAsia="zh-CN"/>
              </w:rPr>
              <w:t>17</w:t>
            </w:r>
          </w:p>
        </w:tc>
        <w:tc>
          <w:tcPr>
            <w:tcW w:w="6379" w:type="dxa"/>
            <w:vAlign w:val="center"/>
          </w:tcPr>
          <w:p>
            <w:pPr>
              <w:keepLines w:val="0"/>
              <w:pageBreakBefore w:val="0"/>
              <w:kinsoku/>
              <w:wordWrap/>
              <w:overflowPunct/>
              <w:topLinePunct w:val="0"/>
              <w:bidi w:val="0"/>
              <w:snapToGrid w:val="0"/>
              <w:jc w:val="both"/>
              <w:rPr>
                <w:rFonts w:hint="eastAsia"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中标人接到报修后首次到达现场时，须判断是否需要动火，若需动火，</w:t>
            </w:r>
            <w:r>
              <w:rPr>
                <w:rFonts w:hint="eastAsia" w:ascii="Times New Roman" w:hAnsi="Times New Roman" w:cs="Times New Roman" w:eastAsiaTheme="minorEastAsia"/>
                <w:kern w:val="2"/>
                <w:sz w:val="21"/>
                <w:szCs w:val="21"/>
                <w:highlight w:val="none"/>
                <w:lang w:val="en-US" w:eastAsia="zh-CN"/>
              </w:rPr>
              <w:t>但未</w:t>
            </w:r>
            <w:r>
              <w:rPr>
                <w:rFonts w:hint="eastAsia" w:ascii="Times New Roman" w:hAnsi="Times New Roman" w:cs="Times New Roman" w:eastAsiaTheme="minorEastAsia"/>
                <w:kern w:val="2"/>
                <w:sz w:val="21"/>
                <w:szCs w:val="21"/>
                <w:highlight w:val="none"/>
              </w:rPr>
              <w:t>立即主动告知采购人管理部门</w:t>
            </w:r>
            <w:r>
              <w:rPr>
                <w:rFonts w:hint="eastAsia" w:ascii="Times New Roman" w:hAnsi="Times New Roman" w:cs="Times New Roman" w:eastAsiaTheme="minorEastAsia"/>
                <w:kern w:val="2"/>
                <w:sz w:val="21"/>
                <w:szCs w:val="21"/>
                <w:highlight w:val="none"/>
                <w:lang w:eastAsia="zh-CN"/>
              </w:rPr>
              <w:t>的</w:t>
            </w:r>
          </w:p>
        </w:tc>
        <w:tc>
          <w:tcPr>
            <w:tcW w:w="1559" w:type="dxa"/>
            <w:vAlign w:val="center"/>
          </w:tcPr>
          <w:p>
            <w:pPr>
              <w:keepLines w:val="0"/>
              <w:pageBreakBefore w:val="0"/>
              <w:kinsoku/>
              <w:wordWrap/>
              <w:overflowPunct/>
              <w:topLinePunct w:val="0"/>
              <w:bidi w:val="0"/>
              <w:snapToGrid w:val="0"/>
              <w:jc w:val="center"/>
              <w:rPr>
                <w:rFonts w:hint="eastAsia"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每次扣2分</w:t>
            </w:r>
          </w:p>
        </w:tc>
      </w:tr>
    </w:tbl>
    <w:p>
      <w:pPr>
        <w:keepLines w:val="0"/>
        <w:pageBreakBefore w:val="0"/>
        <w:tabs>
          <w:tab w:val="left" w:pos="0"/>
        </w:tabs>
        <w:kinsoku/>
        <w:wordWrap/>
        <w:overflowPunct/>
        <w:topLinePunct w:val="0"/>
        <w:autoSpaceDE/>
        <w:autoSpaceDN/>
        <w:bidi w:val="0"/>
        <w:snapToGrid w:val="0"/>
        <w:jc w:val="both"/>
        <w:outlineLvl w:val="3"/>
        <w:rPr>
          <w:rFonts w:ascii="Times New Roman" w:hAnsi="Times New Roman" w:cs="Times New Roman" w:eastAsiaTheme="minorEastAsia"/>
          <w:b/>
          <w:bCs/>
          <w:sz w:val="21"/>
          <w:szCs w:val="21"/>
          <w:highlight w:val="none"/>
        </w:rPr>
      </w:pPr>
    </w:p>
    <w:p>
      <w:pPr>
        <w:keepLines w:val="0"/>
        <w:pageBreakBefore w:val="0"/>
        <w:tabs>
          <w:tab w:val="left" w:pos="0"/>
        </w:tabs>
        <w:kinsoku/>
        <w:wordWrap/>
        <w:overflowPunct/>
        <w:topLinePunct w:val="0"/>
        <w:autoSpaceDE/>
        <w:autoSpaceDN/>
        <w:bidi w:val="0"/>
        <w:snapToGrid w:val="0"/>
        <w:ind w:firstLine="422" w:firstLineChars="200"/>
        <w:jc w:val="both"/>
        <w:outlineLvl w:val="3"/>
        <w:rPr>
          <w:rFonts w:ascii="Times New Roman" w:hAnsi="Times New Roman" w:cs="Times New Roman" w:eastAsiaTheme="minorEastAsia"/>
          <w:b/>
          <w:bCs/>
          <w:sz w:val="21"/>
          <w:szCs w:val="21"/>
          <w:highlight w:val="none"/>
        </w:rPr>
      </w:pPr>
      <w:r>
        <w:rPr>
          <w:rFonts w:hint="eastAsia" w:ascii="Times New Roman" w:hAnsi="Times New Roman" w:cs="Times New Roman" w:eastAsiaTheme="minorEastAsia"/>
          <w:b/>
          <w:bCs/>
          <w:sz w:val="21"/>
          <w:szCs w:val="21"/>
          <w:highlight w:val="none"/>
          <w:lang w:eastAsia="zh-CN"/>
        </w:rPr>
        <w:t>八</w:t>
      </w:r>
      <w:r>
        <w:rPr>
          <w:rFonts w:hint="eastAsia" w:ascii="Times New Roman" w:hAnsi="Times New Roman" w:cs="Times New Roman" w:eastAsiaTheme="minorEastAsia"/>
          <w:b/>
          <w:bCs/>
          <w:sz w:val="21"/>
          <w:szCs w:val="21"/>
          <w:highlight w:val="none"/>
        </w:rPr>
        <w:t>、其他要求</w:t>
      </w:r>
    </w:p>
    <w:p>
      <w:pPr>
        <w:keepLines w:val="0"/>
        <w:pageBreakBefore w:val="0"/>
        <w:kinsoku/>
        <w:wordWrap/>
        <w:overflowPunct/>
        <w:topLinePunct w:val="0"/>
        <w:autoSpaceDE/>
        <w:autoSpaceDN/>
        <w:bidi w:val="0"/>
        <w:adjustRightInd/>
        <w:ind w:firstLine="420" w:firstLineChars="200"/>
        <w:jc w:val="both"/>
        <w:rPr>
          <w:rFonts w:hint="eastAsia" w:ascii="Times New Roman" w:hAnsi="Times New Roman" w:cs="Times New Roman" w:eastAsiaTheme="minorEastAsia"/>
          <w:kern w:val="2"/>
          <w:sz w:val="21"/>
          <w:szCs w:val="21"/>
          <w:highlight w:val="none"/>
          <w:lang w:eastAsia="zh-CN"/>
        </w:rPr>
      </w:pPr>
      <w:r>
        <w:rPr>
          <w:rFonts w:hint="eastAsia" w:ascii="Times New Roman" w:hAnsi="Times New Roman" w:cs="Times New Roman" w:eastAsiaTheme="minorEastAsia"/>
          <w:kern w:val="2"/>
          <w:sz w:val="21"/>
          <w:szCs w:val="21"/>
          <w:highlight w:val="none"/>
        </w:rPr>
        <w:t>1.自合同签订之日起开始至本项目合同结束期间，中标人维修保养人员发现需要更换超过200元零配件时，须由采购人指定的人员与中标人的保养工作人员双方同意，零配件由中标人提供。</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2.在维修过程中，由于中标人人员维修不当，造成维修部件及其他相关设备或部件的损坏，中标人按全额赔偿并在最短的时间内免费进行修复；</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3.在维修中，采购人或中标人提供更换的零配件、设备及材料，双方均有权互相了解其性能、技术参数，对参数不明确或不符合设备系统技术要求的，双方均有权拒绝使用。</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4.承担中央系统的局部维修改造</w:t>
      </w:r>
      <w:r>
        <w:rPr>
          <w:rFonts w:hint="eastAsia" w:ascii="Times New Roman" w:cs="Times New Roman" w:eastAsiaTheme="minorEastAsia"/>
          <w:kern w:val="2"/>
          <w:sz w:val="21"/>
          <w:szCs w:val="21"/>
          <w:highlight w:val="none"/>
          <w:lang w:val="en-US" w:eastAsia="zh-CN"/>
        </w:rPr>
        <w:t>服务</w:t>
      </w:r>
      <w:r>
        <w:rPr>
          <w:rFonts w:hint="eastAsia" w:ascii="Times New Roman" w:hAnsi="Times New Roman" w:cs="Times New Roman" w:eastAsiaTheme="minorEastAsia"/>
          <w:kern w:val="2"/>
          <w:sz w:val="21"/>
          <w:szCs w:val="21"/>
          <w:highlight w:val="none"/>
        </w:rPr>
        <w:t>。</w:t>
      </w:r>
    </w:p>
    <w:p>
      <w:pPr>
        <w:keepLines w:val="0"/>
        <w:pageBreakBefore w:val="0"/>
        <w:kinsoku/>
        <w:wordWrap/>
        <w:overflowPunct/>
        <w:topLinePunct w:val="0"/>
        <w:autoSpaceDE/>
        <w:autoSpaceDN/>
        <w:bidi w:val="0"/>
        <w:adjustRightInd/>
        <w:ind w:firstLine="420" w:firstLineChars="200"/>
        <w:jc w:val="both"/>
        <w:rPr>
          <w:rFonts w:hint="default" w:ascii="Times New Roman" w:hAnsi="Times New Roman" w:cs="Times New Roman" w:eastAsiaTheme="minorEastAsia"/>
          <w:kern w:val="2"/>
          <w:sz w:val="21"/>
          <w:szCs w:val="21"/>
          <w:highlight w:val="none"/>
          <w:lang w:val="en-US" w:eastAsia="zh-CN"/>
        </w:rPr>
      </w:pPr>
      <w:r>
        <w:rPr>
          <w:rFonts w:hint="eastAsia" w:ascii="Times New Roman" w:hAnsi="Times New Roman" w:cs="Times New Roman" w:eastAsiaTheme="minorEastAsia"/>
          <w:kern w:val="2"/>
          <w:sz w:val="21"/>
          <w:szCs w:val="21"/>
          <w:highlight w:val="none"/>
        </w:rPr>
        <w:t>5.上述各系统局部维修改造，中标人须出具方案、图纸、预算书等材料，改造完成后汇总医院立项批复、验收报告等结算资料交至采购人委托的第三方工程造价咨询公司审核后结算费用。</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6.中标人必须对设备机房范围的消防、清洁卫生等安全生产责任实行包干。</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7.中标人必须按照相应设备设施强检期限，配合完成设备设施的强检工作（含特种设备）。</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8.中标人对现有设备设施的运行状况进行风险评估，每季提交评估情况报告。</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9.中标人需保障三个院区中央空调BA控制系统的正常运行，并提供维护。</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10.因中标人服务、维修不及时造成的损失，经相关专家评估鉴定后，按中标人的责任程度分担费用。</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11.中标人应执行合同约定的各项条款，中标人员工服从采购人的监督管理。每月固定日期向采购人递交上月维修保养工作总结，以便监督检查。</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12.中标人保证维修保养所需更换的材料、配件、零件等均为与空调系统设备相匹配的原厂合格产品，如因维修失误、更换的材料不合格导致空调设备出现故障或损坏，由中标人无条件负全部责任。</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13.中标人的维修人员到现场应遵守采购人有关管理制度，如损坏采购人其它设施及财产，中标人无条件负责恢复原状，并承担相关费用。</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14.中标人在维保期内应保证其维保的空调设施符合国家建设部等相关部门有关法律、法规，安全、可靠、高效、无故障运行，并能通过相关政府部门的各项检查。</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15.加强员工管理、培训，教育员工认同采购人的企业文化及遵守有关制度，规定，保证员工遵纪守法，服从管理，做好维修保养服务工作。</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16.操作员工统一着装，按规定佩带胸卡，仪表整洁，文明上岗，并参加采购人组织的有关培训或活动。</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17.中标人负责制订各项管理制度及服务规范并实施。</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18.中标人员工应保持采购人提供的值班场地的整洁。</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19.中标人进行检查保养、维修工作时，必须严格按照空调维修保养的技术操作规范进行，采取必要的安全措施，做到安全、文明、规范施工，做好防火、防盗工作。因违规操作而造成中标人人员伤害以及采购人财产、人员伤害的，其责任由中标人承担。</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20.中标人员工在工作过程中如有损坏采购人任何设施（例如天花、百叶、外墙等），由中标人负责修复完整。</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21.中标人负责清洁因工作受影响的环境卫生。</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22.因中标人维修空调工作中所引起的不良故障造成损害的由中标人负责赔偿。</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23.现空调安装位置不准随意改动，中标人如要改动空调的位置须征求采购人的同意，客观原因造成的空调故障，中标人不以此为理由另行收费或拒绝维修。</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24.中标人每次维修、保养工作完毕，需经采购人在有关工作单上签名认可；中标人每月5日前向采购人提交上月有效维修保养工作单、工作量统计表，供采购人审核。</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25.因特殊情况不能修复的空调设备，必须经采购人鉴定同意后方可报废。</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26.中标人因维修保养技能差、工作马虎而造成采购人空调受损或报废的，中标人应负责赔偿采购人的损失。</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27.中标人员工的所有劳资关系均与采购人无关。</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28.本合同终止时，中标人向采购人移交采购人提供的值班场地及档案资料等。</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29.中标人应建设相关维修设备的维修档案，做到对所有维保设备有计划的维保。</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Segoe UI Symbol" w:hAnsi="Segoe UI Symbol" w:cs="Segoe UI Symbol" w:eastAsiaTheme="minorEastAsia"/>
          <w:sz w:val="21"/>
          <w:szCs w:val="21"/>
          <w:highlight w:val="none"/>
        </w:rPr>
        <w:t>★</w:t>
      </w:r>
      <w:r>
        <w:rPr>
          <w:rFonts w:hint="eastAsia" w:ascii="Times New Roman" w:hAnsi="Times New Roman" w:cs="Times New Roman" w:eastAsiaTheme="minorEastAsia"/>
          <w:kern w:val="2"/>
          <w:sz w:val="21"/>
          <w:szCs w:val="21"/>
          <w:highlight w:val="none"/>
        </w:rPr>
        <w:t>30.中标人不得以任何形式分包、转包，否则采购人有权解除合同，中标人应负责赔偿采购人的损失。</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31.因维护保养原因导致人身伤亡或设备损坏、丢失的，由中标人承担全部责任。</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32.中标人派驻采购人维修人员每次工作完毕后填写施工单，由采购人维修科室人员和总务科人员签名确认。</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33.同意采购人以任何形式对投标人投标文件内容及采购人认为有必要的相关资料的真实性和有效性进行审查、验证。</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34.中标人提供维护保养人员身份证、社保缴纳明细表、职业资格证书复印件，以便采购人核对。</w:t>
      </w:r>
    </w:p>
    <w:p>
      <w:pPr>
        <w:keepLines w:val="0"/>
        <w:pageBreakBefore w:val="0"/>
        <w:kinsoku/>
        <w:wordWrap/>
        <w:overflowPunct/>
        <w:topLinePunct w:val="0"/>
        <w:autoSpaceDE/>
        <w:autoSpaceDN/>
        <w:bidi w:val="0"/>
        <w:adjustRightInd/>
        <w:ind w:firstLine="420" w:firstLineChars="200"/>
        <w:jc w:val="both"/>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35.中标人需要对下表进行定期更换，采购人不再另行支付费用，费用计入维保服务费。</w:t>
      </w:r>
    </w:p>
    <w:p>
      <w:pPr>
        <w:keepLines w:val="0"/>
        <w:pageBreakBefore w:val="0"/>
        <w:kinsoku/>
        <w:wordWrap/>
        <w:overflowPunct/>
        <w:topLinePunct w:val="0"/>
        <w:autoSpaceDE/>
        <w:autoSpaceDN/>
        <w:bidi w:val="0"/>
        <w:adjustRightInd/>
        <w:ind w:firstLine="420" w:firstLineChars="200"/>
        <w:jc w:val="both"/>
        <w:rPr>
          <w:rFonts w:hint="eastAsia"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36.中标人对医院大型空调设备维修时间不得以各种理由进行拖延，维修配件采购时间不得超过5个自然日。</w:t>
      </w:r>
    </w:p>
    <w:p>
      <w:pPr>
        <w:keepLines w:val="0"/>
        <w:pageBreakBefore w:val="0"/>
        <w:kinsoku/>
        <w:wordWrap/>
        <w:overflowPunct/>
        <w:topLinePunct w:val="0"/>
        <w:autoSpaceDE/>
        <w:autoSpaceDN/>
        <w:bidi w:val="0"/>
        <w:adjustRightInd/>
        <w:ind w:firstLine="420" w:firstLineChars="20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37.投标人应提供项目整体服务方案、质量管理措施、驻场服务人员的培训方案、应急管理措施及增值服务方案。</w:t>
      </w:r>
    </w:p>
    <w:p>
      <w:pPr>
        <w:ind w:firstLine="420" w:firstLineChars="200"/>
        <w:rPr>
          <w:rFonts w:hint="default" w:eastAsia="宋体"/>
          <w:highlight w:val="none"/>
          <w:lang w:val="en-US" w:eastAsia="zh-CN"/>
        </w:rPr>
      </w:pPr>
      <w:r>
        <w:rPr>
          <w:rFonts w:hint="eastAsia" w:ascii="Times New Roman" w:cs="Times New Roman"/>
          <w:sz w:val="21"/>
          <w:szCs w:val="21"/>
          <w:highlight w:val="none"/>
          <w:lang w:val="en-US" w:eastAsia="zh-CN"/>
        </w:rPr>
        <w:t>38.为配合监督管理部门的检查及评估合规风险的需要，采购人有权对中标人与中标合同项下有关的经营情况进行调查或审计，中标人应当积极予以配合，本项目最终结算价款以审计等相关部门、单位的审计结果为准。</w:t>
      </w:r>
    </w:p>
    <w:tbl>
      <w:tblPr>
        <w:tblStyle w:val="24"/>
        <w:tblpPr w:leftFromText="180" w:rightFromText="180" w:vertAnchor="text" w:horzAnchor="page" w:tblpX="1376" w:tblpY="309"/>
        <w:tblW w:w="9350"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10"/>
        <w:gridCol w:w="4658"/>
        <w:gridCol w:w="1124"/>
        <w:gridCol w:w="736"/>
        <w:gridCol w:w="810"/>
        <w:gridCol w:w="1112"/>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18" w:hRule="atLeast"/>
        </w:trPr>
        <w:tc>
          <w:tcPr>
            <w:tcW w:w="9350" w:type="dxa"/>
            <w:gridSpan w:val="6"/>
            <w:vAlign w:val="center"/>
          </w:tcPr>
          <w:p>
            <w:pPr>
              <w:keepLines w:val="0"/>
              <w:pageBreakBefore w:val="0"/>
              <w:widowControl/>
              <w:kinsoku/>
              <w:wordWrap/>
              <w:overflowPunct/>
              <w:topLinePunct w:val="0"/>
              <w:bidi w:val="0"/>
              <w:snapToGrid w:val="0"/>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b/>
                <w:bCs/>
                <w:sz w:val="21"/>
                <w:szCs w:val="21"/>
                <w:highlight w:val="none"/>
              </w:rPr>
              <w:t>空调设备定期更换耗材一览表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18" w:hRule="atLeast"/>
        </w:trPr>
        <w:tc>
          <w:tcPr>
            <w:tcW w:w="910" w:type="dxa"/>
            <w:noWrap/>
            <w:vAlign w:val="center"/>
          </w:tcPr>
          <w:p>
            <w:pPr>
              <w:keepLines w:val="0"/>
              <w:pageBreakBefore w:val="0"/>
              <w:widowControl/>
              <w:kinsoku/>
              <w:wordWrap/>
              <w:overflowPunct/>
              <w:topLinePunct w:val="0"/>
              <w:bidi w:val="0"/>
              <w:snapToGrid w:val="0"/>
              <w:ind w:left="-97" w:leftChars="-44" w:right="-123" w:rightChars="-56"/>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序号</w:t>
            </w:r>
          </w:p>
        </w:tc>
        <w:tc>
          <w:tcPr>
            <w:tcW w:w="4658" w:type="dxa"/>
            <w:noWrap/>
            <w:vAlign w:val="center"/>
          </w:tcPr>
          <w:p>
            <w:pPr>
              <w:keepLines w:val="0"/>
              <w:pageBreakBefore w:val="0"/>
              <w:widowControl/>
              <w:kinsoku/>
              <w:wordWrap/>
              <w:overflowPunct/>
              <w:topLinePunct w:val="0"/>
              <w:bidi w:val="0"/>
              <w:snapToGrid w:val="0"/>
              <w:ind w:left="-97" w:leftChars="-44" w:right="-123" w:rightChars="-56"/>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项目名称</w:t>
            </w:r>
          </w:p>
        </w:tc>
        <w:tc>
          <w:tcPr>
            <w:tcW w:w="1124" w:type="dxa"/>
            <w:noWrap/>
            <w:vAlign w:val="center"/>
          </w:tcPr>
          <w:p>
            <w:pPr>
              <w:keepLines w:val="0"/>
              <w:pageBreakBefore w:val="0"/>
              <w:widowControl/>
              <w:kinsoku/>
              <w:wordWrap/>
              <w:overflowPunct/>
              <w:topLinePunct w:val="0"/>
              <w:bidi w:val="0"/>
              <w:snapToGrid w:val="0"/>
              <w:ind w:left="-97" w:leftChars="-44" w:right="-123" w:rightChars="-56"/>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规格型号</w:t>
            </w:r>
          </w:p>
        </w:tc>
        <w:tc>
          <w:tcPr>
            <w:tcW w:w="736" w:type="dxa"/>
            <w:noWrap/>
            <w:vAlign w:val="center"/>
          </w:tcPr>
          <w:p>
            <w:pPr>
              <w:keepLines w:val="0"/>
              <w:pageBreakBefore w:val="0"/>
              <w:widowControl/>
              <w:kinsoku/>
              <w:wordWrap/>
              <w:overflowPunct/>
              <w:topLinePunct w:val="0"/>
              <w:bidi w:val="0"/>
              <w:snapToGrid w:val="0"/>
              <w:ind w:left="-97" w:leftChars="-44" w:right="-123" w:rightChars="-56"/>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数量</w:t>
            </w:r>
          </w:p>
        </w:tc>
        <w:tc>
          <w:tcPr>
            <w:tcW w:w="810" w:type="dxa"/>
            <w:vAlign w:val="center"/>
          </w:tcPr>
          <w:p>
            <w:pPr>
              <w:keepLines w:val="0"/>
              <w:pageBreakBefore w:val="0"/>
              <w:kinsoku/>
              <w:wordWrap/>
              <w:overflowPunct/>
              <w:topLinePunct w:val="0"/>
              <w:bidi w:val="0"/>
              <w:snapToGrid w:val="0"/>
              <w:ind w:left="-97" w:leftChars="-44" w:right="-123" w:rightChars="-56"/>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每月更换</w:t>
            </w:r>
          </w:p>
        </w:tc>
        <w:tc>
          <w:tcPr>
            <w:tcW w:w="1112" w:type="dxa"/>
            <w:vAlign w:val="center"/>
          </w:tcPr>
          <w:p>
            <w:pPr>
              <w:keepLines w:val="0"/>
              <w:pageBreakBefore w:val="0"/>
              <w:kinsoku/>
              <w:wordWrap/>
              <w:overflowPunct/>
              <w:topLinePunct w:val="0"/>
              <w:bidi w:val="0"/>
              <w:snapToGrid w:val="0"/>
              <w:ind w:left="-97" w:leftChars="-44" w:right="-123" w:rightChars="-56"/>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每年更换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18" w:hRule="atLeast"/>
        </w:trPr>
        <w:tc>
          <w:tcPr>
            <w:tcW w:w="910" w:type="dxa"/>
            <w:noWrap/>
            <w:vAlign w:val="center"/>
          </w:tcPr>
          <w:p>
            <w:pPr>
              <w:keepLines w:val="0"/>
              <w:pageBreakBefore w:val="0"/>
              <w:widowControl/>
              <w:kinsoku/>
              <w:wordWrap/>
              <w:overflowPunct/>
              <w:topLinePunct w:val="0"/>
              <w:bidi w:val="0"/>
              <w:snapToGrid w:val="0"/>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1</w:t>
            </w:r>
          </w:p>
        </w:tc>
        <w:tc>
          <w:tcPr>
            <w:tcW w:w="4658" w:type="dxa"/>
            <w:vAlign w:val="center"/>
          </w:tcPr>
          <w:p>
            <w:pPr>
              <w:keepLines w:val="0"/>
              <w:pageBreakBefore w:val="0"/>
              <w:widowControl/>
              <w:kinsoku/>
              <w:wordWrap/>
              <w:overflowPunct/>
              <w:topLinePunct w:val="0"/>
              <w:bidi w:val="0"/>
              <w:snapToGrid w:val="0"/>
              <w:ind w:left="-97" w:leftChars="-44" w:right="-123" w:rightChars="-56"/>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新内科大楼新风柜皮带月度更换</w:t>
            </w:r>
          </w:p>
        </w:tc>
        <w:tc>
          <w:tcPr>
            <w:tcW w:w="1124" w:type="dxa"/>
            <w:noWrap/>
            <w:vAlign w:val="center"/>
          </w:tcPr>
          <w:p>
            <w:pPr>
              <w:keepLines w:val="0"/>
              <w:pageBreakBefore w:val="0"/>
              <w:widowControl/>
              <w:kinsoku/>
              <w:wordWrap/>
              <w:overflowPunct/>
              <w:topLinePunct w:val="0"/>
              <w:bidi w:val="0"/>
              <w:snapToGrid w:val="0"/>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SP926</w:t>
            </w:r>
          </w:p>
        </w:tc>
        <w:tc>
          <w:tcPr>
            <w:tcW w:w="736" w:type="dxa"/>
            <w:noWrap/>
            <w:vAlign w:val="center"/>
          </w:tcPr>
          <w:p>
            <w:pPr>
              <w:keepLines w:val="0"/>
              <w:pageBreakBefore w:val="0"/>
              <w:widowControl/>
              <w:kinsoku/>
              <w:wordWrap/>
              <w:overflowPunct/>
              <w:topLinePunct w:val="0"/>
              <w:bidi w:val="0"/>
              <w:snapToGrid w:val="0"/>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30</w:t>
            </w:r>
          </w:p>
        </w:tc>
        <w:tc>
          <w:tcPr>
            <w:tcW w:w="810"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w:t>
            </w:r>
          </w:p>
        </w:tc>
        <w:tc>
          <w:tcPr>
            <w:tcW w:w="1112"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18" w:hRule="atLeast"/>
        </w:trPr>
        <w:tc>
          <w:tcPr>
            <w:tcW w:w="910" w:type="dxa"/>
            <w:noWrap/>
            <w:vAlign w:val="center"/>
          </w:tcPr>
          <w:p>
            <w:pPr>
              <w:keepLines w:val="0"/>
              <w:pageBreakBefore w:val="0"/>
              <w:widowControl/>
              <w:kinsoku/>
              <w:wordWrap/>
              <w:overflowPunct/>
              <w:topLinePunct w:val="0"/>
              <w:bidi w:val="0"/>
              <w:snapToGrid w:val="0"/>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2</w:t>
            </w:r>
          </w:p>
        </w:tc>
        <w:tc>
          <w:tcPr>
            <w:tcW w:w="4658" w:type="dxa"/>
            <w:vAlign w:val="center"/>
          </w:tcPr>
          <w:p>
            <w:pPr>
              <w:keepLines w:val="0"/>
              <w:pageBreakBefore w:val="0"/>
              <w:widowControl/>
              <w:kinsoku/>
              <w:wordWrap/>
              <w:overflowPunct/>
              <w:topLinePunct w:val="0"/>
              <w:bidi w:val="0"/>
              <w:snapToGrid w:val="0"/>
              <w:ind w:left="-97" w:leftChars="-44" w:right="-123" w:rightChars="-56"/>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外科大楼新风柜皮带月度更换</w:t>
            </w:r>
          </w:p>
        </w:tc>
        <w:tc>
          <w:tcPr>
            <w:tcW w:w="1124" w:type="dxa"/>
            <w:noWrap/>
            <w:vAlign w:val="center"/>
          </w:tcPr>
          <w:p>
            <w:pPr>
              <w:keepLines w:val="0"/>
              <w:pageBreakBefore w:val="0"/>
              <w:widowControl/>
              <w:kinsoku/>
              <w:wordWrap/>
              <w:overflowPunct/>
              <w:topLinePunct w:val="0"/>
              <w:bidi w:val="0"/>
              <w:snapToGrid w:val="0"/>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A20</w:t>
            </w:r>
          </w:p>
        </w:tc>
        <w:tc>
          <w:tcPr>
            <w:tcW w:w="736" w:type="dxa"/>
            <w:noWrap/>
            <w:vAlign w:val="center"/>
          </w:tcPr>
          <w:p>
            <w:pPr>
              <w:keepLines w:val="0"/>
              <w:pageBreakBefore w:val="0"/>
              <w:widowControl/>
              <w:kinsoku/>
              <w:wordWrap/>
              <w:overflowPunct/>
              <w:topLinePunct w:val="0"/>
              <w:bidi w:val="0"/>
              <w:snapToGrid w:val="0"/>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40</w:t>
            </w:r>
          </w:p>
        </w:tc>
        <w:tc>
          <w:tcPr>
            <w:tcW w:w="810"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w:t>
            </w:r>
          </w:p>
        </w:tc>
        <w:tc>
          <w:tcPr>
            <w:tcW w:w="1112"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18" w:hRule="atLeast"/>
        </w:trPr>
        <w:tc>
          <w:tcPr>
            <w:tcW w:w="910" w:type="dxa"/>
            <w:noWrap/>
            <w:vAlign w:val="center"/>
          </w:tcPr>
          <w:p>
            <w:pPr>
              <w:keepLines w:val="0"/>
              <w:pageBreakBefore w:val="0"/>
              <w:widowControl/>
              <w:kinsoku/>
              <w:wordWrap/>
              <w:overflowPunct/>
              <w:topLinePunct w:val="0"/>
              <w:bidi w:val="0"/>
              <w:snapToGrid w:val="0"/>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3</w:t>
            </w:r>
          </w:p>
        </w:tc>
        <w:tc>
          <w:tcPr>
            <w:tcW w:w="4658" w:type="dxa"/>
            <w:vAlign w:val="center"/>
          </w:tcPr>
          <w:p>
            <w:pPr>
              <w:keepLines w:val="0"/>
              <w:pageBreakBefore w:val="0"/>
              <w:widowControl/>
              <w:kinsoku/>
              <w:wordWrap/>
              <w:overflowPunct/>
              <w:topLinePunct w:val="0"/>
              <w:bidi w:val="0"/>
              <w:snapToGrid w:val="0"/>
              <w:ind w:left="-97" w:leftChars="-44" w:right="-123" w:rightChars="-56"/>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磐松楼1号楼新风柜皮带月度更换</w:t>
            </w:r>
          </w:p>
        </w:tc>
        <w:tc>
          <w:tcPr>
            <w:tcW w:w="1124" w:type="dxa"/>
            <w:noWrap/>
            <w:vAlign w:val="center"/>
          </w:tcPr>
          <w:p>
            <w:pPr>
              <w:keepLines w:val="0"/>
              <w:pageBreakBefore w:val="0"/>
              <w:widowControl/>
              <w:kinsoku/>
              <w:wordWrap/>
              <w:overflowPunct/>
              <w:topLinePunct w:val="0"/>
              <w:bidi w:val="0"/>
              <w:snapToGrid w:val="0"/>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A56</w:t>
            </w:r>
          </w:p>
        </w:tc>
        <w:tc>
          <w:tcPr>
            <w:tcW w:w="736" w:type="dxa"/>
            <w:noWrap/>
            <w:vAlign w:val="center"/>
          </w:tcPr>
          <w:p>
            <w:pPr>
              <w:keepLines w:val="0"/>
              <w:pageBreakBefore w:val="0"/>
              <w:widowControl/>
              <w:kinsoku/>
              <w:wordWrap/>
              <w:overflowPunct/>
              <w:topLinePunct w:val="0"/>
              <w:bidi w:val="0"/>
              <w:snapToGrid w:val="0"/>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24</w:t>
            </w:r>
          </w:p>
        </w:tc>
        <w:tc>
          <w:tcPr>
            <w:tcW w:w="810"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w:t>
            </w:r>
          </w:p>
        </w:tc>
        <w:tc>
          <w:tcPr>
            <w:tcW w:w="1112"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18" w:hRule="atLeast"/>
        </w:trPr>
        <w:tc>
          <w:tcPr>
            <w:tcW w:w="910" w:type="dxa"/>
            <w:vAlign w:val="center"/>
          </w:tcPr>
          <w:p>
            <w:pPr>
              <w:keepLines w:val="0"/>
              <w:pageBreakBefore w:val="0"/>
              <w:widowControl/>
              <w:kinsoku/>
              <w:wordWrap/>
              <w:overflowPunct/>
              <w:topLinePunct w:val="0"/>
              <w:bidi w:val="0"/>
              <w:snapToGrid w:val="0"/>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4</w:t>
            </w:r>
          </w:p>
        </w:tc>
        <w:tc>
          <w:tcPr>
            <w:tcW w:w="4658" w:type="dxa"/>
            <w:vAlign w:val="center"/>
          </w:tcPr>
          <w:p>
            <w:pPr>
              <w:keepLines w:val="0"/>
              <w:pageBreakBefore w:val="0"/>
              <w:widowControl/>
              <w:kinsoku/>
              <w:wordWrap/>
              <w:overflowPunct/>
              <w:topLinePunct w:val="0"/>
              <w:bidi w:val="0"/>
              <w:snapToGrid w:val="0"/>
              <w:ind w:left="-97" w:leftChars="-44" w:right="-123" w:rightChars="-56"/>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磐松楼3号楼新风柜皮带月度更换</w:t>
            </w:r>
          </w:p>
        </w:tc>
        <w:tc>
          <w:tcPr>
            <w:tcW w:w="1124" w:type="dxa"/>
            <w:noWrap/>
            <w:vAlign w:val="center"/>
          </w:tcPr>
          <w:p>
            <w:pPr>
              <w:keepLines w:val="0"/>
              <w:pageBreakBefore w:val="0"/>
              <w:widowControl/>
              <w:kinsoku/>
              <w:wordWrap/>
              <w:overflowPunct/>
              <w:topLinePunct w:val="0"/>
              <w:bidi w:val="0"/>
              <w:snapToGrid w:val="0"/>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A56</w:t>
            </w:r>
          </w:p>
        </w:tc>
        <w:tc>
          <w:tcPr>
            <w:tcW w:w="736" w:type="dxa"/>
            <w:vAlign w:val="center"/>
          </w:tcPr>
          <w:p>
            <w:pPr>
              <w:keepLines w:val="0"/>
              <w:pageBreakBefore w:val="0"/>
              <w:widowControl/>
              <w:kinsoku/>
              <w:wordWrap/>
              <w:overflowPunct/>
              <w:topLinePunct w:val="0"/>
              <w:bidi w:val="0"/>
              <w:snapToGrid w:val="0"/>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8</w:t>
            </w:r>
          </w:p>
        </w:tc>
        <w:tc>
          <w:tcPr>
            <w:tcW w:w="810"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w:t>
            </w:r>
          </w:p>
        </w:tc>
        <w:tc>
          <w:tcPr>
            <w:tcW w:w="1112"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18" w:hRule="atLeast"/>
        </w:trPr>
        <w:tc>
          <w:tcPr>
            <w:tcW w:w="910" w:type="dxa"/>
            <w:noWrap/>
            <w:vAlign w:val="center"/>
          </w:tcPr>
          <w:p>
            <w:pPr>
              <w:keepLines w:val="0"/>
              <w:pageBreakBefore w:val="0"/>
              <w:widowControl/>
              <w:kinsoku/>
              <w:wordWrap/>
              <w:overflowPunct/>
              <w:topLinePunct w:val="0"/>
              <w:bidi w:val="0"/>
              <w:snapToGrid w:val="0"/>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5</w:t>
            </w:r>
          </w:p>
        </w:tc>
        <w:tc>
          <w:tcPr>
            <w:tcW w:w="4658" w:type="dxa"/>
            <w:vAlign w:val="center"/>
          </w:tcPr>
          <w:p>
            <w:pPr>
              <w:keepLines w:val="0"/>
              <w:pageBreakBefore w:val="0"/>
              <w:widowControl/>
              <w:kinsoku/>
              <w:wordWrap/>
              <w:overflowPunct/>
              <w:topLinePunct w:val="0"/>
              <w:bidi w:val="0"/>
              <w:snapToGrid w:val="0"/>
              <w:ind w:left="-97" w:leftChars="-44" w:right="-123" w:rightChars="-56"/>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影像楼新风柜皮带月度更换</w:t>
            </w:r>
          </w:p>
        </w:tc>
        <w:tc>
          <w:tcPr>
            <w:tcW w:w="1124" w:type="dxa"/>
            <w:noWrap/>
            <w:vAlign w:val="center"/>
          </w:tcPr>
          <w:p>
            <w:pPr>
              <w:keepLines w:val="0"/>
              <w:pageBreakBefore w:val="0"/>
              <w:widowControl/>
              <w:kinsoku/>
              <w:wordWrap/>
              <w:overflowPunct/>
              <w:topLinePunct w:val="0"/>
              <w:bidi w:val="0"/>
              <w:snapToGrid w:val="0"/>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A58</w:t>
            </w:r>
          </w:p>
        </w:tc>
        <w:tc>
          <w:tcPr>
            <w:tcW w:w="736" w:type="dxa"/>
            <w:noWrap/>
            <w:vAlign w:val="center"/>
          </w:tcPr>
          <w:p>
            <w:pPr>
              <w:keepLines w:val="0"/>
              <w:pageBreakBefore w:val="0"/>
              <w:widowControl/>
              <w:kinsoku/>
              <w:wordWrap/>
              <w:overflowPunct/>
              <w:topLinePunct w:val="0"/>
              <w:bidi w:val="0"/>
              <w:snapToGrid w:val="0"/>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15</w:t>
            </w:r>
          </w:p>
        </w:tc>
        <w:tc>
          <w:tcPr>
            <w:tcW w:w="810"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w:t>
            </w:r>
          </w:p>
        </w:tc>
        <w:tc>
          <w:tcPr>
            <w:tcW w:w="1112"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18" w:hRule="atLeast"/>
        </w:trPr>
        <w:tc>
          <w:tcPr>
            <w:tcW w:w="910" w:type="dxa"/>
            <w:noWrap/>
            <w:vAlign w:val="center"/>
          </w:tcPr>
          <w:p>
            <w:pPr>
              <w:keepLines w:val="0"/>
              <w:pageBreakBefore w:val="0"/>
              <w:widowControl/>
              <w:kinsoku/>
              <w:wordWrap/>
              <w:overflowPunct/>
              <w:topLinePunct w:val="0"/>
              <w:bidi w:val="0"/>
              <w:snapToGrid w:val="0"/>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6</w:t>
            </w:r>
          </w:p>
        </w:tc>
        <w:tc>
          <w:tcPr>
            <w:tcW w:w="4658" w:type="dxa"/>
            <w:vAlign w:val="center"/>
          </w:tcPr>
          <w:p>
            <w:pPr>
              <w:keepLines w:val="0"/>
              <w:pageBreakBefore w:val="0"/>
              <w:widowControl/>
              <w:kinsoku/>
              <w:wordWrap/>
              <w:overflowPunct/>
              <w:topLinePunct w:val="0"/>
              <w:bidi w:val="0"/>
              <w:snapToGrid w:val="0"/>
              <w:ind w:left="-97" w:leftChars="-44" w:right="-123" w:rightChars="-56"/>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外科大楼冷却塔皮带月度更换</w:t>
            </w:r>
          </w:p>
        </w:tc>
        <w:tc>
          <w:tcPr>
            <w:tcW w:w="1124" w:type="dxa"/>
            <w:noWrap/>
            <w:vAlign w:val="center"/>
          </w:tcPr>
          <w:p>
            <w:pPr>
              <w:keepLines w:val="0"/>
              <w:pageBreakBefore w:val="0"/>
              <w:widowControl/>
              <w:kinsoku/>
              <w:wordWrap/>
              <w:overflowPunct/>
              <w:topLinePunct w:val="0"/>
              <w:bidi w:val="0"/>
              <w:snapToGrid w:val="0"/>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B115</w:t>
            </w:r>
          </w:p>
        </w:tc>
        <w:tc>
          <w:tcPr>
            <w:tcW w:w="736" w:type="dxa"/>
            <w:noWrap/>
            <w:vAlign w:val="center"/>
          </w:tcPr>
          <w:p>
            <w:pPr>
              <w:keepLines w:val="0"/>
              <w:pageBreakBefore w:val="0"/>
              <w:widowControl/>
              <w:kinsoku/>
              <w:wordWrap/>
              <w:overflowPunct/>
              <w:topLinePunct w:val="0"/>
              <w:bidi w:val="0"/>
              <w:snapToGrid w:val="0"/>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8</w:t>
            </w:r>
          </w:p>
        </w:tc>
        <w:tc>
          <w:tcPr>
            <w:tcW w:w="810"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w:t>
            </w:r>
          </w:p>
        </w:tc>
        <w:tc>
          <w:tcPr>
            <w:tcW w:w="1112"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18" w:hRule="atLeast"/>
        </w:trPr>
        <w:tc>
          <w:tcPr>
            <w:tcW w:w="910" w:type="dxa"/>
            <w:noWrap/>
            <w:vAlign w:val="center"/>
          </w:tcPr>
          <w:p>
            <w:pPr>
              <w:keepLines w:val="0"/>
              <w:pageBreakBefore w:val="0"/>
              <w:widowControl/>
              <w:kinsoku/>
              <w:wordWrap/>
              <w:overflowPunct/>
              <w:topLinePunct w:val="0"/>
              <w:bidi w:val="0"/>
              <w:snapToGrid w:val="0"/>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7</w:t>
            </w:r>
          </w:p>
        </w:tc>
        <w:tc>
          <w:tcPr>
            <w:tcW w:w="4658" w:type="dxa"/>
            <w:vAlign w:val="center"/>
          </w:tcPr>
          <w:p>
            <w:pPr>
              <w:keepLines w:val="0"/>
              <w:pageBreakBefore w:val="0"/>
              <w:widowControl/>
              <w:kinsoku/>
              <w:wordWrap/>
              <w:overflowPunct/>
              <w:topLinePunct w:val="0"/>
              <w:bidi w:val="0"/>
              <w:snapToGrid w:val="0"/>
              <w:ind w:left="-97" w:leftChars="-44" w:right="-123" w:rightChars="-56"/>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磐松楼1号楼冷却塔皮带月度更换</w:t>
            </w:r>
          </w:p>
        </w:tc>
        <w:tc>
          <w:tcPr>
            <w:tcW w:w="1124" w:type="dxa"/>
            <w:noWrap/>
            <w:vAlign w:val="center"/>
          </w:tcPr>
          <w:p>
            <w:pPr>
              <w:keepLines w:val="0"/>
              <w:pageBreakBefore w:val="0"/>
              <w:widowControl/>
              <w:kinsoku/>
              <w:wordWrap/>
              <w:overflowPunct/>
              <w:topLinePunct w:val="0"/>
              <w:bidi w:val="0"/>
              <w:snapToGrid w:val="0"/>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B128</w:t>
            </w:r>
          </w:p>
        </w:tc>
        <w:tc>
          <w:tcPr>
            <w:tcW w:w="736" w:type="dxa"/>
            <w:noWrap/>
            <w:vAlign w:val="center"/>
          </w:tcPr>
          <w:p>
            <w:pPr>
              <w:keepLines w:val="0"/>
              <w:pageBreakBefore w:val="0"/>
              <w:widowControl/>
              <w:kinsoku/>
              <w:wordWrap/>
              <w:overflowPunct/>
              <w:topLinePunct w:val="0"/>
              <w:bidi w:val="0"/>
              <w:snapToGrid w:val="0"/>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8</w:t>
            </w:r>
          </w:p>
        </w:tc>
        <w:tc>
          <w:tcPr>
            <w:tcW w:w="810"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w:t>
            </w:r>
          </w:p>
        </w:tc>
        <w:tc>
          <w:tcPr>
            <w:tcW w:w="1112"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18" w:hRule="atLeast"/>
        </w:trPr>
        <w:tc>
          <w:tcPr>
            <w:tcW w:w="910" w:type="dxa"/>
            <w:noWrap/>
            <w:vAlign w:val="center"/>
          </w:tcPr>
          <w:p>
            <w:pPr>
              <w:keepLines w:val="0"/>
              <w:pageBreakBefore w:val="0"/>
              <w:widowControl/>
              <w:kinsoku/>
              <w:wordWrap/>
              <w:overflowPunct/>
              <w:topLinePunct w:val="0"/>
              <w:bidi w:val="0"/>
              <w:snapToGrid w:val="0"/>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8</w:t>
            </w:r>
          </w:p>
        </w:tc>
        <w:tc>
          <w:tcPr>
            <w:tcW w:w="4658" w:type="dxa"/>
            <w:vAlign w:val="center"/>
          </w:tcPr>
          <w:p>
            <w:pPr>
              <w:keepLines w:val="0"/>
              <w:pageBreakBefore w:val="0"/>
              <w:widowControl/>
              <w:kinsoku/>
              <w:wordWrap/>
              <w:overflowPunct/>
              <w:topLinePunct w:val="0"/>
              <w:bidi w:val="0"/>
              <w:snapToGrid w:val="0"/>
              <w:ind w:left="-97" w:leftChars="-44" w:right="-123" w:rightChars="-56"/>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磐松楼3号楼冷却塔皮带月度更换</w:t>
            </w:r>
          </w:p>
        </w:tc>
        <w:tc>
          <w:tcPr>
            <w:tcW w:w="1124" w:type="dxa"/>
            <w:noWrap/>
            <w:vAlign w:val="center"/>
          </w:tcPr>
          <w:p>
            <w:pPr>
              <w:keepLines w:val="0"/>
              <w:pageBreakBefore w:val="0"/>
              <w:widowControl/>
              <w:kinsoku/>
              <w:wordWrap/>
              <w:overflowPunct/>
              <w:topLinePunct w:val="0"/>
              <w:bidi w:val="0"/>
              <w:snapToGrid w:val="0"/>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B110、B123</w:t>
            </w:r>
          </w:p>
        </w:tc>
        <w:tc>
          <w:tcPr>
            <w:tcW w:w="736" w:type="dxa"/>
            <w:noWrap/>
            <w:vAlign w:val="center"/>
          </w:tcPr>
          <w:p>
            <w:pPr>
              <w:keepLines w:val="0"/>
              <w:pageBreakBefore w:val="0"/>
              <w:widowControl/>
              <w:kinsoku/>
              <w:wordWrap/>
              <w:overflowPunct/>
              <w:topLinePunct w:val="0"/>
              <w:bidi w:val="0"/>
              <w:snapToGrid w:val="0"/>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8</w:t>
            </w:r>
          </w:p>
        </w:tc>
        <w:tc>
          <w:tcPr>
            <w:tcW w:w="810"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w:t>
            </w:r>
          </w:p>
        </w:tc>
        <w:tc>
          <w:tcPr>
            <w:tcW w:w="1112"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18" w:hRule="atLeast"/>
        </w:trPr>
        <w:tc>
          <w:tcPr>
            <w:tcW w:w="910" w:type="dxa"/>
            <w:noWrap/>
            <w:vAlign w:val="center"/>
          </w:tcPr>
          <w:p>
            <w:pPr>
              <w:keepLines w:val="0"/>
              <w:pageBreakBefore w:val="0"/>
              <w:widowControl/>
              <w:kinsoku/>
              <w:wordWrap/>
              <w:overflowPunct/>
              <w:topLinePunct w:val="0"/>
              <w:bidi w:val="0"/>
              <w:snapToGrid w:val="0"/>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9</w:t>
            </w:r>
          </w:p>
        </w:tc>
        <w:tc>
          <w:tcPr>
            <w:tcW w:w="4658" w:type="dxa"/>
            <w:vAlign w:val="center"/>
          </w:tcPr>
          <w:p>
            <w:pPr>
              <w:keepLines w:val="0"/>
              <w:pageBreakBefore w:val="0"/>
              <w:widowControl/>
              <w:kinsoku/>
              <w:wordWrap/>
              <w:overflowPunct/>
              <w:topLinePunct w:val="0"/>
              <w:bidi w:val="0"/>
              <w:snapToGrid w:val="0"/>
              <w:ind w:left="-97" w:leftChars="-44" w:right="-123" w:rightChars="-56"/>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鹤洞分院开利23XL-180螺杆式冷水机组</w:t>
            </w:r>
          </w:p>
        </w:tc>
        <w:tc>
          <w:tcPr>
            <w:tcW w:w="1124" w:type="dxa"/>
            <w:noWrap/>
            <w:vAlign w:val="center"/>
          </w:tcPr>
          <w:p>
            <w:pPr>
              <w:keepLines w:val="0"/>
              <w:pageBreakBefore w:val="0"/>
              <w:widowControl/>
              <w:kinsoku/>
              <w:wordWrap/>
              <w:overflowPunct/>
              <w:topLinePunct w:val="0"/>
              <w:bidi w:val="0"/>
              <w:snapToGrid w:val="0"/>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A61</w:t>
            </w:r>
          </w:p>
        </w:tc>
        <w:tc>
          <w:tcPr>
            <w:tcW w:w="736" w:type="dxa"/>
            <w:noWrap/>
            <w:vAlign w:val="center"/>
          </w:tcPr>
          <w:p>
            <w:pPr>
              <w:keepLines w:val="0"/>
              <w:pageBreakBefore w:val="0"/>
              <w:widowControl/>
              <w:kinsoku/>
              <w:wordWrap/>
              <w:overflowPunct/>
              <w:topLinePunct w:val="0"/>
              <w:bidi w:val="0"/>
              <w:snapToGrid w:val="0"/>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6</w:t>
            </w:r>
          </w:p>
        </w:tc>
        <w:tc>
          <w:tcPr>
            <w:tcW w:w="810"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w:t>
            </w:r>
          </w:p>
        </w:tc>
        <w:tc>
          <w:tcPr>
            <w:tcW w:w="1112"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18" w:hRule="atLeast"/>
        </w:trPr>
        <w:tc>
          <w:tcPr>
            <w:tcW w:w="910" w:type="dxa"/>
            <w:noWrap/>
            <w:vAlign w:val="center"/>
          </w:tcPr>
          <w:p>
            <w:pPr>
              <w:keepLines w:val="0"/>
              <w:pageBreakBefore w:val="0"/>
              <w:widowControl/>
              <w:kinsoku/>
              <w:wordWrap/>
              <w:overflowPunct/>
              <w:topLinePunct w:val="0"/>
              <w:bidi w:val="0"/>
              <w:snapToGrid w:val="0"/>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10</w:t>
            </w:r>
          </w:p>
        </w:tc>
        <w:tc>
          <w:tcPr>
            <w:tcW w:w="4658" w:type="dxa"/>
            <w:vAlign w:val="center"/>
          </w:tcPr>
          <w:p>
            <w:pPr>
              <w:keepLines w:val="0"/>
              <w:pageBreakBefore w:val="0"/>
              <w:widowControl/>
              <w:kinsoku/>
              <w:wordWrap/>
              <w:overflowPunct/>
              <w:topLinePunct w:val="0"/>
              <w:bidi w:val="0"/>
              <w:snapToGrid w:val="0"/>
              <w:ind w:left="-97" w:leftChars="-44" w:right="-123" w:rightChars="-56"/>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新内科大楼大金UVWYP200BY机组冷冻机油</w:t>
            </w:r>
          </w:p>
        </w:tc>
        <w:tc>
          <w:tcPr>
            <w:tcW w:w="1124" w:type="dxa"/>
            <w:noWrap/>
            <w:vAlign w:val="center"/>
          </w:tcPr>
          <w:p>
            <w:pPr>
              <w:keepLines w:val="0"/>
              <w:pageBreakBefore w:val="0"/>
              <w:widowControl/>
              <w:kinsoku/>
              <w:wordWrap/>
              <w:overflowPunct/>
              <w:topLinePunct w:val="0"/>
              <w:bidi w:val="0"/>
              <w:snapToGrid w:val="0"/>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D48</w:t>
            </w:r>
          </w:p>
        </w:tc>
        <w:tc>
          <w:tcPr>
            <w:tcW w:w="736" w:type="dxa"/>
            <w:noWrap/>
            <w:vAlign w:val="center"/>
          </w:tcPr>
          <w:p>
            <w:pPr>
              <w:keepLines w:val="0"/>
              <w:pageBreakBefore w:val="0"/>
              <w:widowControl/>
              <w:kinsoku/>
              <w:wordWrap/>
              <w:overflowPunct/>
              <w:topLinePunct w:val="0"/>
              <w:bidi w:val="0"/>
              <w:snapToGrid w:val="0"/>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20L</w:t>
            </w:r>
          </w:p>
        </w:tc>
        <w:tc>
          <w:tcPr>
            <w:tcW w:w="810"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p>
        </w:tc>
        <w:tc>
          <w:tcPr>
            <w:tcW w:w="1112"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18" w:hRule="atLeast"/>
        </w:trPr>
        <w:tc>
          <w:tcPr>
            <w:tcW w:w="910" w:type="dxa"/>
            <w:noWrap/>
            <w:vAlign w:val="center"/>
          </w:tcPr>
          <w:p>
            <w:pPr>
              <w:keepLines w:val="0"/>
              <w:pageBreakBefore w:val="0"/>
              <w:widowControl/>
              <w:kinsoku/>
              <w:wordWrap/>
              <w:overflowPunct/>
              <w:topLinePunct w:val="0"/>
              <w:bidi w:val="0"/>
              <w:snapToGrid w:val="0"/>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11</w:t>
            </w:r>
          </w:p>
        </w:tc>
        <w:tc>
          <w:tcPr>
            <w:tcW w:w="4658" w:type="dxa"/>
            <w:vAlign w:val="center"/>
          </w:tcPr>
          <w:p>
            <w:pPr>
              <w:keepLines w:val="0"/>
              <w:pageBreakBefore w:val="0"/>
              <w:widowControl/>
              <w:kinsoku/>
              <w:wordWrap/>
              <w:overflowPunct/>
              <w:topLinePunct w:val="0"/>
              <w:bidi w:val="0"/>
              <w:snapToGrid w:val="0"/>
              <w:ind w:left="-97" w:leftChars="-44" w:right="-123" w:rightChars="-56"/>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新内科大楼弈歌WSCZ68HHX风冷螺杆机组冷冻机油</w:t>
            </w:r>
          </w:p>
        </w:tc>
        <w:tc>
          <w:tcPr>
            <w:tcW w:w="1124" w:type="dxa"/>
            <w:noWrap/>
            <w:vAlign w:val="center"/>
          </w:tcPr>
          <w:p>
            <w:pPr>
              <w:keepLines w:val="0"/>
              <w:pageBreakBefore w:val="0"/>
              <w:widowControl/>
              <w:kinsoku/>
              <w:wordWrap/>
              <w:overflowPunct/>
              <w:topLinePunct w:val="0"/>
              <w:bidi w:val="0"/>
              <w:snapToGrid w:val="0"/>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D320</w:t>
            </w:r>
          </w:p>
        </w:tc>
        <w:tc>
          <w:tcPr>
            <w:tcW w:w="736" w:type="dxa"/>
            <w:noWrap/>
            <w:vAlign w:val="center"/>
          </w:tcPr>
          <w:p>
            <w:pPr>
              <w:keepLines w:val="0"/>
              <w:pageBreakBefore w:val="0"/>
              <w:widowControl/>
              <w:kinsoku/>
              <w:wordWrap/>
              <w:overflowPunct/>
              <w:topLinePunct w:val="0"/>
              <w:bidi w:val="0"/>
              <w:snapToGrid w:val="0"/>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300L</w:t>
            </w:r>
          </w:p>
        </w:tc>
        <w:tc>
          <w:tcPr>
            <w:tcW w:w="810"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p>
        </w:tc>
        <w:tc>
          <w:tcPr>
            <w:tcW w:w="1112"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18" w:hRule="atLeast"/>
        </w:trPr>
        <w:tc>
          <w:tcPr>
            <w:tcW w:w="910" w:type="dxa"/>
            <w:noWrap/>
            <w:vAlign w:val="center"/>
          </w:tcPr>
          <w:p>
            <w:pPr>
              <w:keepLines w:val="0"/>
              <w:pageBreakBefore w:val="0"/>
              <w:widowControl/>
              <w:kinsoku/>
              <w:wordWrap/>
              <w:overflowPunct/>
              <w:topLinePunct w:val="0"/>
              <w:bidi w:val="0"/>
              <w:snapToGrid w:val="0"/>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12</w:t>
            </w:r>
          </w:p>
        </w:tc>
        <w:tc>
          <w:tcPr>
            <w:tcW w:w="4658" w:type="dxa"/>
            <w:vAlign w:val="center"/>
          </w:tcPr>
          <w:p>
            <w:pPr>
              <w:keepLines w:val="0"/>
              <w:pageBreakBefore w:val="0"/>
              <w:widowControl/>
              <w:kinsoku/>
              <w:wordWrap/>
              <w:overflowPunct/>
              <w:topLinePunct w:val="0"/>
              <w:bidi w:val="0"/>
              <w:snapToGrid w:val="0"/>
              <w:ind w:left="-97" w:leftChars="-44" w:right="-123" w:rightChars="-56"/>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外科大楼约克YSEAEAS45CKE机组冷冻机油</w:t>
            </w:r>
          </w:p>
        </w:tc>
        <w:tc>
          <w:tcPr>
            <w:tcW w:w="1124" w:type="dxa"/>
            <w:noWrap/>
            <w:vAlign w:val="center"/>
          </w:tcPr>
          <w:p>
            <w:pPr>
              <w:keepLines w:val="0"/>
              <w:pageBreakBefore w:val="0"/>
              <w:widowControl/>
              <w:kinsoku/>
              <w:wordWrap/>
              <w:overflowPunct/>
              <w:topLinePunct w:val="0"/>
              <w:bidi w:val="0"/>
              <w:snapToGrid w:val="0"/>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R85</w:t>
            </w:r>
          </w:p>
        </w:tc>
        <w:tc>
          <w:tcPr>
            <w:tcW w:w="736" w:type="dxa"/>
            <w:noWrap/>
            <w:vAlign w:val="center"/>
          </w:tcPr>
          <w:p>
            <w:pPr>
              <w:keepLines w:val="0"/>
              <w:pageBreakBefore w:val="0"/>
              <w:widowControl/>
              <w:kinsoku/>
              <w:wordWrap/>
              <w:overflowPunct/>
              <w:topLinePunct w:val="0"/>
              <w:bidi w:val="0"/>
              <w:snapToGrid w:val="0"/>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120L</w:t>
            </w:r>
          </w:p>
        </w:tc>
        <w:tc>
          <w:tcPr>
            <w:tcW w:w="810"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p>
        </w:tc>
        <w:tc>
          <w:tcPr>
            <w:tcW w:w="1112"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18" w:hRule="atLeast"/>
        </w:trPr>
        <w:tc>
          <w:tcPr>
            <w:tcW w:w="910" w:type="dxa"/>
            <w:noWrap/>
            <w:vAlign w:val="center"/>
          </w:tcPr>
          <w:p>
            <w:pPr>
              <w:keepLines w:val="0"/>
              <w:pageBreakBefore w:val="0"/>
              <w:widowControl/>
              <w:kinsoku/>
              <w:wordWrap/>
              <w:overflowPunct/>
              <w:topLinePunct w:val="0"/>
              <w:bidi w:val="0"/>
              <w:snapToGrid w:val="0"/>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13</w:t>
            </w:r>
          </w:p>
        </w:tc>
        <w:tc>
          <w:tcPr>
            <w:tcW w:w="4658" w:type="dxa"/>
            <w:vAlign w:val="center"/>
          </w:tcPr>
          <w:p>
            <w:pPr>
              <w:keepLines w:val="0"/>
              <w:pageBreakBefore w:val="0"/>
              <w:widowControl/>
              <w:kinsoku/>
              <w:wordWrap/>
              <w:overflowPunct/>
              <w:topLinePunct w:val="0"/>
              <w:bidi w:val="0"/>
              <w:snapToGrid w:val="0"/>
              <w:ind w:left="-97" w:leftChars="-44" w:right="-123" w:rightChars="-56"/>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外科大楼手术室麦克维尔机组冷冻机油</w:t>
            </w:r>
          </w:p>
        </w:tc>
        <w:tc>
          <w:tcPr>
            <w:tcW w:w="1124" w:type="dxa"/>
            <w:noWrap/>
            <w:vAlign w:val="center"/>
          </w:tcPr>
          <w:p>
            <w:pPr>
              <w:keepLines w:val="0"/>
              <w:pageBreakBefore w:val="0"/>
              <w:widowControl/>
              <w:kinsoku/>
              <w:wordWrap/>
              <w:overflowPunct/>
              <w:topLinePunct w:val="0"/>
              <w:bidi w:val="0"/>
              <w:snapToGrid w:val="0"/>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FVC68D</w:t>
            </w:r>
          </w:p>
        </w:tc>
        <w:tc>
          <w:tcPr>
            <w:tcW w:w="736" w:type="dxa"/>
            <w:noWrap/>
            <w:vAlign w:val="center"/>
          </w:tcPr>
          <w:p>
            <w:pPr>
              <w:keepLines w:val="0"/>
              <w:pageBreakBefore w:val="0"/>
              <w:widowControl/>
              <w:kinsoku/>
              <w:wordWrap/>
              <w:overflowPunct/>
              <w:topLinePunct w:val="0"/>
              <w:bidi w:val="0"/>
              <w:snapToGrid w:val="0"/>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60L</w:t>
            </w:r>
          </w:p>
        </w:tc>
        <w:tc>
          <w:tcPr>
            <w:tcW w:w="810"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p>
        </w:tc>
        <w:tc>
          <w:tcPr>
            <w:tcW w:w="1112"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18" w:hRule="atLeast"/>
        </w:trPr>
        <w:tc>
          <w:tcPr>
            <w:tcW w:w="910" w:type="dxa"/>
            <w:noWrap/>
            <w:vAlign w:val="center"/>
          </w:tcPr>
          <w:p>
            <w:pPr>
              <w:keepLines w:val="0"/>
              <w:pageBreakBefore w:val="0"/>
              <w:widowControl/>
              <w:kinsoku/>
              <w:wordWrap/>
              <w:overflowPunct/>
              <w:topLinePunct w:val="0"/>
              <w:bidi w:val="0"/>
              <w:snapToGrid w:val="0"/>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14</w:t>
            </w:r>
          </w:p>
        </w:tc>
        <w:tc>
          <w:tcPr>
            <w:tcW w:w="4658" w:type="dxa"/>
            <w:vAlign w:val="center"/>
          </w:tcPr>
          <w:p>
            <w:pPr>
              <w:keepLines w:val="0"/>
              <w:pageBreakBefore w:val="0"/>
              <w:widowControl/>
              <w:kinsoku/>
              <w:wordWrap/>
              <w:overflowPunct/>
              <w:topLinePunct w:val="0"/>
              <w:bidi w:val="0"/>
              <w:snapToGrid w:val="0"/>
              <w:ind w:left="-97" w:leftChars="-44" w:right="-123" w:rightChars="-56"/>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外科大楼中心ICU大金机组冷冻机油</w:t>
            </w:r>
          </w:p>
        </w:tc>
        <w:tc>
          <w:tcPr>
            <w:tcW w:w="1124" w:type="dxa"/>
            <w:noWrap/>
            <w:vAlign w:val="center"/>
          </w:tcPr>
          <w:p>
            <w:pPr>
              <w:keepLines w:val="0"/>
              <w:pageBreakBefore w:val="0"/>
              <w:widowControl/>
              <w:kinsoku/>
              <w:wordWrap/>
              <w:overflowPunct/>
              <w:topLinePunct w:val="0"/>
              <w:bidi w:val="0"/>
              <w:snapToGrid w:val="0"/>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4GS</w:t>
            </w:r>
          </w:p>
        </w:tc>
        <w:tc>
          <w:tcPr>
            <w:tcW w:w="736" w:type="dxa"/>
            <w:noWrap/>
            <w:vAlign w:val="center"/>
          </w:tcPr>
          <w:p>
            <w:pPr>
              <w:keepLines w:val="0"/>
              <w:pageBreakBefore w:val="0"/>
              <w:widowControl/>
              <w:kinsoku/>
              <w:wordWrap/>
              <w:overflowPunct/>
              <w:topLinePunct w:val="0"/>
              <w:bidi w:val="0"/>
              <w:snapToGrid w:val="0"/>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20L</w:t>
            </w:r>
          </w:p>
        </w:tc>
        <w:tc>
          <w:tcPr>
            <w:tcW w:w="810"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p>
        </w:tc>
        <w:tc>
          <w:tcPr>
            <w:tcW w:w="1112"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18" w:hRule="atLeast"/>
        </w:trPr>
        <w:tc>
          <w:tcPr>
            <w:tcW w:w="910" w:type="dxa"/>
            <w:noWrap/>
            <w:vAlign w:val="center"/>
          </w:tcPr>
          <w:p>
            <w:pPr>
              <w:keepLines w:val="0"/>
              <w:pageBreakBefore w:val="0"/>
              <w:widowControl/>
              <w:kinsoku/>
              <w:wordWrap/>
              <w:overflowPunct/>
              <w:topLinePunct w:val="0"/>
              <w:bidi w:val="0"/>
              <w:snapToGrid w:val="0"/>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15</w:t>
            </w:r>
          </w:p>
        </w:tc>
        <w:tc>
          <w:tcPr>
            <w:tcW w:w="4658" w:type="dxa"/>
            <w:vAlign w:val="center"/>
          </w:tcPr>
          <w:p>
            <w:pPr>
              <w:keepLines w:val="0"/>
              <w:pageBreakBefore w:val="0"/>
              <w:widowControl/>
              <w:kinsoku/>
              <w:wordWrap/>
              <w:overflowPunct/>
              <w:topLinePunct w:val="0"/>
              <w:bidi w:val="0"/>
              <w:snapToGrid w:val="0"/>
              <w:ind w:left="-97" w:leftChars="-44" w:right="-123" w:rightChars="-56"/>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磐松1号楼约克YEWS170SC50机组冷冻机油</w:t>
            </w:r>
          </w:p>
        </w:tc>
        <w:tc>
          <w:tcPr>
            <w:tcW w:w="1124" w:type="dxa"/>
            <w:noWrap/>
            <w:vAlign w:val="center"/>
          </w:tcPr>
          <w:p>
            <w:pPr>
              <w:keepLines w:val="0"/>
              <w:pageBreakBefore w:val="0"/>
              <w:widowControl/>
              <w:kinsoku/>
              <w:wordWrap/>
              <w:overflowPunct/>
              <w:topLinePunct w:val="0"/>
              <w:bidi w:val="0"/>
              <w:snapToGrid w:val="0"/>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YORK"L"</w:t>
            </w:r>
          </w:p>
        </w:tc>
        <w:tc>
          <w:tcPr>
            <w:tcW w:w="736" w:type="dxa"/>
            <w:noWrap/>
            <w:vAlign w:val="center"/>
          </w:tcPr>
          <w:p>
            <w:pPr>
              <w:keepLines w:val="0"/>
              <w:pageBreakBefore w:val="0"/>
              <w:widowControl/>
              <w:kinsoku/>
              <w:wordWrap/>
              <w:overflowPunct/>
              <w:topLinePunct w:val="0"/>
              <w:bidi w:val="0"/>
              <w:snapToGrid w:val="0"/>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80L</w:t>
            </w:r>
          </w:p>
        </w:tc>
        <w:tc>
          <w:tcPr>
            <w:tcW w:w="810"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p>
        </w:tc>
        <w:tc>
          <w:tcPr>
            <w:tcW w:w="1112"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18" w:hRule="atLeast"/>
        </w:trPr>
        <w:tc>
          <w:tcPr>
            <w:tcW w:w="910" w:type="dxa"/>
            <w:noWrap/>
            <w:vAlign w:val="center"/>
          </w:tcPr>
          <w:p>
            <w:pPr>
              <w:keepLines w:val="0"/>
              <w:pageBreakBefore w:val="0"/>
              <w:widowControl/>
              <w:kinsoku/>
              <w:wordWrap/>
              <w:overflowPunct/>
              <w:topLinePunct w:val="0"/>
              <w:bidi w:val="0"/>
              <w:snapToGrid w:val="0"/>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16</w:t>
            </w:r>
          </w:p>
        </w:tc>
        <w:tc>
          <w:tcPr>
            <w:tcW w:w="4658" w:type="dxa"/>
            <w:vAlign w:val="center"/>
          </w:tcPr>
          <w:p>
            <w:pPr>
              <w:keepLines w:val="0"/>
              <w:pageBreakBefore w:val="0"/>
              <w:widowControl/>
              <w:kinsoku/>
              <w:wordWrap/>
              <w:overflowPunct/>
              <w:topLinePunct w:val="0"/>
              <w:bidi w:val="0"/>
              <w:snapToGrid w:val="0"/>
              <w:ind w:left="-97" w:leftChars="-44" w:right="-123" w:rightChars="-56"/>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磐松1号楼麦克维尔PFS150.1机组冷冻机油</w:t>
            </w:r>
          </w:p>
        </w:tc>
        <w:tc>
          <w:tcPr>
            <w:tcW w:w="1124" w:type="dxa"/>
            <w:noWrap/>
            <w:vAlign w:val="center"/>
          </w:tcPr>
          <w:p>
            <w:pPr>
              <w:keepLines w:val="0"/>
              <w:pageBreakBefore w:val="0"/>
              <w:widowControl/>
              <w:kinsoku/>
              <w:wordWrap/>
              <w:overflowPunct/>
              <w:topLinePunct w:val="0"/>
              <w:bidi w:val="0"/>
              <w:snapToGrid w:val="0"/>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RB-68</w:t>
            </w:r>
          </w:p>
        </w:tc>
        <w:tc>
          <w:tcPr>
            <w:tcW w:w="736" w:type="dxa"/>
            <w:noWrap/>
            <w:vAlign w:val="center"/>
          </w:tcPr>
          <w:p>
            <w:pPr>
              <w:keepLines w:val="0"/>
              <w:pageBreakBefore w:val="0"/>
              <w:widowControl/>
              <w:kinsoku/>
              <w:wordWrap/>
              <w:overflowPunct/>
              <w:topLinePunct w:val="0"/>
              <w:bidi w:val="0"/>
              <w:snapToGrid w:val="0"/>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160L</w:t>
            </w:r>
          </w:p>
        </w:tc>
        <w:tc>
          <w:tcPr>
            <w:tcW w:w="810"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p>
        </w:tc>
        <w:tc>
          <w:tcPr>
            <w:tcW w:w="1112"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18" w:hRule="atLeast"/>
        </w:trPr>
        <w:tc>
          <w:tcPr>
            <w:tcW w:w="910" w:type="dxa"/>
            <w:noWrap/>
            <w:vAlign w:val="center"/>
          </w:tcPr>
          <w:p>
            <w:pPr>
              <w:keepLines w:val="0"/>
              <w:pageBreakBefore w:val="0"/>
              <w:widowControl/>
              <w:kinsoku/>
              <w:wordWrap/>
              <w:overflowPunct/>
              <w:topLinePunct w:val="0"/>
              <w:bidi w:val="0"/>
              <w:snapToGrid w:val="0"/>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17</w:t>
            </w:r>
          </w:p>
        </w:tc>
        <w:tc>
          <w:tcPr>
            <w:tcW w:w="4658" w:type="dxa"/>
            <w:vAlign w:val="center"/>
          </w:tcPr>
          <w:p>
            <w:pPr>
              <w:keepLines w:val="0"/>
              <w:pageBreakBefore w:val="0"/>
              <w:widowControl/>
              <w:kinsoku/>
              <w:wordWrap/>
              <w:overflowPunct/>
              <w:topLinePunct w:val="0"/>
              <w:bidi w:val="0"/>
              <w:snapToGrid w:val="0"/>
              <w:ind w:left="-97" w:leftChars="-44" w:right="-123" w:rightChars="-56"/>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磐松3号楼荏原RHSBW240J机组冷冻机油</w:t>
            </w:r>
          </w:p>
        </w:tc>
        <w:tc>
          <w:tcPr>
            <w:tcW w:w="1124" w:type="dxa"/>
            <w:noWrap/>
            <w:vAlign w:val="center"/>
          </w:tcPr>
          <w:p>
            <w:pPr>
              <w:keepLines w:val="0"/>
              <w:pageBreakBefore w:val="0"/>
              <w:widowControl/>
              <w:kinsoku/>
              <w:wordWrap/>
              <w:overflowPunct/>
              <w:topLinePunct w:val="0"/>
              <w:bidi w:val="0"/>
              <w:snapToGrid w:val="0"/>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R22-32</w:t>
            </w:r>
          </w:p>
        </w:tc>
        <w:tc>
          <w:tcPr>
            <w:tcW w:w="736" w:type="dxa"/>
            <w:noWrap/>
            <w:vAlign w:val="center"/>
          </w:tcPr>
          <w:p>
            <w:pPr>
              <w:keepLines w:val="0"/>
              <w:pageBreakBefore w:val="0"/>
              <w:widowControl/>
              <w:kinsoku/>
              <w:wordWrap/>
              <w:overflowPunct/>
              <w:topLinePunct w:val="0"/>
              <w:bidi w:val="0"/>
              <w:snapToGrid w:val="0"/>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60L</w:t>
            </w:r>
          </w:p>
        </w:tc>
        <w:tc>
          <w:tcPr>
            <w:tcW w:w="810"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p>
        </w:tc>
        <w:tc>
          <w:tcPr>
            <w:tcW w:w="1112"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18" w:hRule="atLeast"/>
        </w:trPr>
        <w:tc>
          <w:tcPr>
            <w:tcW w:w="910" w:type="dxa"/>
            <w:noWrap/>
            <w:vAlign w:val="center"/>
          </w:tcPr>
          <w:p>
            <w:pPr>
              <w:keepLines w:val="0"/>
              <w:pageBreakBefore w:val="0"/>
              <w:widowControl/>
              <w:kinsoku/>
              <w:wordWrap/>
              <w:overflowPunct/>
              <w:topLinePunct w:val="0"/>
              <w:bidi w:val="0"/>
              <w:snapToGrid w:val="0"/>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18</w:t>
            </w:r>
          </w:p>
        </w:tc>
        <w:tc>
          <w:tcPr>
            <w:tcW w:w="4658" w:type="dxa"/>
            <w:vAlign w:val="center"/>
          </w:tcPr>
          <w:p>
            <w:pPr>
              <w:keepLines w:val="0"/>
              <w:pageBreakBefore w:val="0"/>
              <w:widowControl/>
              <w:kinsoku/>
              <w:wordWrap/>
              <w:overflowPunct/>
              <w:topLinePunct w:val="0"/>
              <w:bidi w:val="0"/>
              <w:snapToGrid w:val="0"/>
              <w:ind w:left="-97" w:leftChars="-44" w:right="-123" w:rightChars="-56"/>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磐松3号楼麦克维尔PFS390.3机组冷冻机油</w:t>
            </w:r>
          </w:p>
        </w:tc>
        <w:tc>
          <w:tcPr>
            <w:tcW w:w="1124" w:type="dxa"/>
            <w:noWrap/>
            <w:vAlign w:val="center"/>
          </w:tcPr>
          <w:p>
            <w:pPr>
              <w:keepLines w:val="0"/>
              <w:pageBreakBefore w:val="0"/>
              <w:widowControl/>
              <w:kinsoku/>
              <w:wordWrap/>
              <w:overflowPunct/>
              <w:topLinePunct w:val="0"/>
              <w:bidi w:val="0"/>
              <w:snapToGrid w:val="0"/>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RB-68</w:t>
            </w:r>
          </w:p>
        </w:tc>
        <w:tc>
          <w:tcPr>
            <w:tcW w:w="736" w:type="dxa"/>
            <w:noWrap/>
            <w:vAlign w:val="center"/>
          </w:tcPr>
          <w:p>
            <w:pPr>
              <w:keepLines w:val="0"/>
              <w:pageBreakBefore w:val="0"/>
              <w:widowControl/>
              <w:kinsoku/>
              <w:wordWrap/>
              <w:overflowPunct/>
              <w:topLinePunct w:val="0"/>
              <w:bidi w:val="0"/>
              <w:snapToGrid w:val="0"/>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160L</w:t>
            </w:r>
          </w:p>
        </w:tc>
        <w:tc>
          <w:tcPr>
            <w:tcW w:w="810"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p>
        </w:tc>
        <w:tc>
          <w:tcPr>
            <w:tcW w:w="1112"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18" w:hRule="atLeast"/>
        </w:trPr>
        <w:tc>
          <w:tcPr>
            <w:tcW w:w="910" w:type="dxa"/>
            <w:noWrap/>
            <w:vAlign w:val="center"/>
          </w:tcPr>
          <w:p>
            <w:pPr>
              <w:keepLines w:val="0"/>
              <w:pageBreakBefore w:val="0"/>
              <w:widowControl/>
              <w:kinsoku/>
              <w:wordWrap/>
              <w:overflowPunct/>
              <w:topLinePunct w:val="0"/>
              <w:bidi w:val="0"/>
              <w:snapToGrid w:val="0"/>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19</w:t>
            </w:r>
          </w:p>
        </w:tc>
        <w:tc>
          <w:tcPr>
            <w:tcW w:w="4658" w:type="dxa"/>
            <w:vAlign w:val="center"/>
          </w:tcPr>
          <w:p>
            <w:pPr>
              <w:keepLines w:val="0"/>
              <w:pageBreakBefore w:val="0"/>
              <w:widowControl/>
              <w:kinsoku/>
              <w:wordWrap/>
              <w:overflowPunct/>
              <w:topLinePunct w:val="0"/>
              <w:bidi w:val="0"/>
              <w:snapToGrid w:val="0"/>
              <w:ind w:left="-97" w:leftChars="-44" w:right="-123" w:rightChars="-56"/>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影像楼约克AWHC-LHE90机组冷冻机油</w:t>
            </w:r>
          </w:p>
        </w:tc>
        <w:tc>
          <w:tcPr>
            <w:tcW w:w="1124" w:type="dxa"/>
            <w:noWrap/>
            <w:vAlign w:val="center"/>
          </w:tcPr>
          <w:p>
            <w:pPr>
              <w:keepLines w:val="0"/>
              <w:pageBreakBefore w:val="0"/>
              <w:widowControl/>
              <w:kinsoku/>
              <w:wordWrap/>
              <w:overflowPunct/>
              <w:topLinePunct w:val="0"/>
              <w:bidi w:val="0"/>
              <w:snapToGrid w:val="0"/>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YORK"C"</w:t>
            </w:r>
          </w:p>
        </w:tc>
        <w:tc>
          <w:tcPr>
            <w:tcW w:w="736" w:type="dxa"/>
            <w:noWrap/>
            <w:vAlign w:val="center"/>
          </w:tcPr>
          <w:p>
            <w:pPr>
              <w:keepLines w:val="0"/>
              <w:pageBreakBefore w:val="0"/>
              <w:widowControl/>
              <w:kinsoku/>
              <w:wordWrap/>
              <w:overflowPunct/>
              <w:topLinePunct w:val="0"/>
              <w:bidi w:val="0"/>
              <w:snapToGrid w:val="0"/>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40L</w:t>
            </w:r>
          </w:p>
        </w:tc>
        <w:tc>
          <w:tcPr>
            <w:tcW w:w="810"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p>
        </w:tc>
        <w:tc>
          <w:tcPr>
            <w:tcW w:w="1112"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18" w:hRule="atLeast"/>
        </w:trPr>
        <w:tc>
          <w:tcPr>
            <w:tcW w:w="910" w:type="dxa"/>
            <w:noWrap/>
            <w:vAlign w:val="center"/>
          </w:tcPr>
          <w:p>
            <w:pPr>
              <w:keepLines w:val="0"/>
              <w:pageBreakBefore w:val="0"/>
              <w:widowControl/>
              <w:kinsoku/>
              <w:wordWrap/>
              <w:overflowPunct/>
              <w:topLinePunct w:val="0"/>
              <w:bidi w:val="0"/>
              <w:snapToGrid w:val="0"/>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20</w:t>
            </w:r>
          </w:p>
        </w:tc>
        <w:tc>
          <w:tcPr>
            <w:tcW w:w="4658" w:type="dxa"/>
            <w:vAlign w:val="center"/>
          </w:tcPr>
          <w:p>
            <w:pPr>
              <w:keepLines w:val="0"/>
              <w:pageBreakBefore w:val="0"/>
              <w:widowControl/>
              <w:kinsoku/>
              <w:wordWrap/>
              <w:overflowPunct/>
              <w:topLinePunct w:val="0"/>
              <w:bidi w:val="0"/>
              <w:snapToGrid w:val="0"/>
              <w:ind w:left="-97" w:leftChars="-44" w:right="-123" w:rightChars="-56"/>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鹤洞分院开利23XL-180螺杆式冷水机组</w:t>
            </w:r>
          </w:p>
        </w:tc>
        <w:tc>
          <w:tcPr>
            <w:tcW w:w="1124" w:type="dxa"/>
            <w:noWrap/>
            <w:vAlign w:val="center"/>
          </w:tcPr>
          <w:p>
            <w:pPr>
              <w:keepLines w:val="0"/>
              <w:pageBreakBefore w:val="0"/>
              <w:widowControl/>
              <w:kinsoku/>
              <w:wordWrap/>
              <w:overflowPunct/>
              <w:topLinePunct w:val="0"/>
              <w:bidi w:val="0"/>
              <w:snapToGrid w:val="0"/>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PP23BZ104005</w:t>
            </w:r>
          </w:p>
        </w:tc>
        <w:tc>
          <w:tcPr>
            <w:tcW w:w="736" w:type="dxa"/>
            <w:noWrap/>
            <w:vAlign w:val="center"/>
          </w:tcPr>
          <w:p>
            <w:pPr>
              <w:keepLines w:val="0"/>
              <w:pageBreakBefore w:val="0"/>
              <w:widowControl/>
              <w:kinsoku/>
              <w:wordWrap/>
              <w:overflowPunct/>
              <w:topLinePunct w:val="0"/>
              <w:bidi w:val="0"/>
              <w:snapToGrid w:val="0"/>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52L</w:t>
            </w:r>
          </w:p>
        </w:tc>
        <w:tc>
          <w:tcPr>
            <w:tcW w:w="810"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p>
        </w:tc>
        <w:tc>
          <w:tcPr>
            <w:tcW w:w="1112"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18" w:hRule="atLeast"/>
        </w:trPr>
        <w:tc>
          <w:tcPr>
            <w:tcW w:w="910" w:type="dxa"/>
            <w:noWrap/>
            <w:vAlign w:val="center"/>
          </w:tcPr>
          <w:p>
            <w:pPr>
              <w:keepLines w:val="0"/>
              <w:pageBreakBefore w:val="0"/>
              <w:widowControl/>
              <w:kinsoku/>
              <w:wordWrap/>
              <w:overflowPunct/>
              <w:topLinePunct w:val="0"/>
              <w:bidi w:val="0"/>
              <w:snapToGrid w:val="0"/>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21</w:t>
            </w:r>
          </w:p>
        </w:tc>
        <w:tc>
          <w:tcPr>
            <w:tcW w:w="4658" w:type="dxa"/>
            <w:vAlign w:val="center"/>
          </w:tcPr>
          <w:p>
            <w:pPr>
              <w:keepLines w:val="0"/>
              <w:pageBreakBefore w:val="0"/>
              <w:widowControl/>
              <w:kinsoku/>
              <w:wordWrap/>
              <w:overflowPunct/>
              <w:topLinePunct w:val="0"/>
              <w:bidi w:val="0"/>
              <w:snapToGrid w:val="0"/>
              <w:ind w:left="-97" w:leftChars="-44" w:right="-123" w:rightChars="-56"/>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2台水冷机组冷却塔电机皮带</w:t>
            </w:r>
          </w:p>
        </w:tc>
        <w:tc>
          <w:tcPr>
            <w:tcW w:w="1124" w:type="dxa"/>
            <w:noWrap/>
            <w:vAlign w:val="center"/>
          </w:tcPr>
          <w:p>
            <w:pPr>
              <w:keepLines w:val="0"/>
              <w:pageBreakBefore w:val="0"/>
              <w:widowControl/>
              <w:kinsoku/>
              <w:wordWrap/>
              <w:overflowPunct/>
              <w:topLinePunct w:val="0"/>
              <w:bidi w:val="0"/>
              <w:snapToGrid w:val="0"/>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BA10</w:t>
            </w:r>
          </w:p>
        </w:tc>
        <w:tc>
          <w:tcPr>
            <w:tcW w:w="736" w:type="dxa"/>
            <w:noWrap/>
            <w:vAlign w:val="center"/>
          </w:tcPr>
          <w:p>
            <w:pPr>
              <w:keepLines w:val="0"/>
              <w:pageBreakBefore w:val="0"/>
              <w:widowControl/>
              <w:kinsoku/>
              <w:wordWrap/>
              <w:overflowPunct/>
              <w:topLinePunct w:val="0"/>
              <w:bidi w:val="0"/>
              <w:snapToGrid w:val="0"/>
              <w:jc w:val="center"/>
              <w:rPr>
                <w:rFonts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16</w:t>
            </w:r>
          </w:p>
        </w:tc>
        <w:tc>
          <w:tcPr>
            <w:tcW w:w="810"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r>
              <w:rPr>
                <w:rFonts w:hint="eastAsia" w:ascii="Times New Roman" w:hAnsi="Times New Roman" w:cs="Times New Roman" w:eastAsiaTheme="minorEastAsia"/>
                <w:kern w:val="2"/>
                <w:sz w:val="21"/>
                <w:szCs w:val="21"/>
                <w:highlight w:val="none"/>
              </w:rPr>
              <w:t>√</w:t>
            </w:r>
          </w:p>
        </w:tc>
        <w:tc>
          <w:tcPr>
            <w:tcW w:w="1112" w:type="dxa"/>
            <w:vAlign w:val="center"/>
          </w:tcPr>
          <w:p>
            <w:pPr>
              <w:keepLines w:val="0"/>
              <w:pageBreakBefore w:val="0"/>
              <w:kinsoku/>
              <w:wordWrap/>
              <w:overflowPunct/>
              <w:topLinePunct w:val="0"/>
              <w:bidi w:val="0"/>
              <w:snapToGrid w:val="0"/>
              <w:jc w:val="center"/>
              <w:rPr>
                <w:rFonts w:ascii="Times New Roman" w:hAnsi="Times New Roman" w:cs="Times New Roman" w:eastAsiaTheme="minorEastAsia"/>
                <w:kern w:val="2"/>
                <w:sz w:val="21"/>
                <w:szCs w:val="21"/>
                <w:highlight w:val="none"/>
              </w:rPr>
            </w:pPr>
          </w:p>
        </w:tc>
      </w:tr>
    </w:tbl>
    <w:p>
      <w:pPr>
        <w:keepLines w:val="0"/>
        <w:pageBreakBefore w:val="0"/>
        <w:kinsoku/>
        <w:wordWrap/>
        <w:overflowPunct/>
        <w:topLinePunct w:val="0"/>
        <w:autoSpaceDE/>
        <w:autoSpaceDN/>
        <w:bidi w:val="0"/>
        <w:adjustRightInd/>
        <w:ind w:firstLine="0" w:firstLineChars="0"/>
        <w:jc w:val="left"/>
        <w:outlineLvl w:val="9"/>
        <w:rPr>
          <w:rFonts w:hint="eastAsia" w:ascii="宋体" w:hAnsi="宋体" w:eastAsia="宋体" w:cs="宋体"/>
          <w:b/>
          <w:bCs/>
          <w:color w:val="auto"/>
          <w:kern w:val="2"/>
          <w:sz w:val="21"/>
          <w:szCs w:val="21"/>
          <w:highlight w:val="none"/>
          <w:u w:val="none"/>
        </w:rPr>
      </w:pPr>
      <w:r>
        <w:rPr>
          <w:rFonts w:hint="eastAsia" w:ascii="宋体" w:hAnsi="宋体" w:eastAsia="宋体" w:cs="宋体"/>
          <w:b/>
          <w:bCs/>
          <w:color w:val="auto"/>
          <w:kern w:val="2"/>
          <w:sz w:val="21"/>
          <w:szCs w:val="21"/>
          <w:highlight w:val="none"/>
          <w:u w:val="none"/>
        </w:rPr>
        <w:br w:type="page"/>
      </w:r>
    </w:p>
    <w:bookmarkEnd w:id="0"/>
    <w:p>
      <w:pPr>
        <w:numPr>
          <w:ilvl w:val="0"/>
          <w:numId w:val="0"/>
        </w:numPr>
        <w:autoSpaceDE w:val="0"/>
        <w:autoSpaceDN w:val="0"/>
        <w:spacing w:line="360" w:lineRule="auto"/>
        <w:ind w:firstLine="480" w:firstLineChars="200"/>
        <w:jc w:val="both"/>
        <w:rPr>
          <w:rFonts w:hint="default" w:ascii="Times New Roman" w:hAnsi="Times New Roman" w:eastAsia="宋体" w:cs="Times New Roman"/>
          <w:sz w:val="24"/>
          <w:szCs w:val="22"/>
          <w:highlight w:val="none"/>
          <w:lang w:val="en-US" w:eastAsia="zh-CN" w:bidi="ar-SA"/>
        </w:rPr>
      </w:pPr>
    </w:p>
    <w:p>
      <w:pPr>
        <w:pStyle w:val="32"/>
        <w:rPr>
          <w:rFonts w:hint="eastAsia"/>
          <w:highlight w:val="none"/>
        </w:rPr>
      </w:pPr>
    </w:p>
    <w:p>
      <w:pPr>
        <w:pStyle w:val="32"/>
        <w:rPr>
          <w:rFonts w:hint="eastAsia"/>
          <w:highlight w:val="none"/>
        </w:rPr>
      </w:pPr>
    </w:p>
    <w:p>
      <w:pPr>
        <w:rPr>
          <w:rFonts w:hint="eastAsia"/>
          <w:highlight w:val="none"/>
          <w:lang w:val="en-US" w:eastAsia="zh-CN"/>
        </w:rPr>
      </w:pPr>
    </w:p>
    <w:p>
      <w:pPr>
        <w:pStyle w:val="32"/>
        <w:rPr>
          <w:rFonts w:hint="eastAsia"/>
          <w:highlight w:val="none"/>
          <w:lang w:val="en-US" w:eastAsia="zh-CN"/>
        </w:rPr>
      </w:pPr>
    </w:p>
    <w:p>
      <w:pPr>
        <w:rPr>
          <w:rFonts w:hint="eastAsia"/>
          <w:highlight w:val="none"/>
          <w:lang w:val="en-US" w:eastAsia="zh-CN"/>
        </w:rPr>
      </w:pPr>
    </w:p>
    <w:p>
      <w:pPr>
        <w:pStyle w:val="32"/>
        <w:rPr>
          <w:rFonts w:hint="eastAsia"/>
          <w:highlight w:val="none"/>
          <w:lang w:val="en-US" w:eastAsia="zh-CN"/>
        </w:rPr>
      </w:pPr>
    </w:p>
    <w:p>
      <w:pPr>
        <w:rPr>
          <w:rFonts w:hint="eastAsia"/>
          <w:highlight w:val="none"/>
          <w:lang w:val="en-US" w:eastAsia="zh-CN"/>
        </w:rPr>
      </w:pPr>
    </w:p>
    <w:p>
      <w:pPr>
        <w:pStyle w:val="32"/>
        <w:rPr>
          <w:rFonts w:hint="eastAsia"/>
          <w:highlight w:val="none"/>
          <w:lang w:val="en-US" w:eastAsia="zh-CN"/>
        </w:rPr>
      </w:pPr>
    </w:p>
    <w:p>
      <w:pPr>
        <w:rPr>
          <w:rFonts w:hint="eastAsia"/>
          <w:highlight w:val="none"/>
          <w:lang w:val="en-US" w:eastAsia="zh-CN"/>
        </w:rPr>
      </w:pPr>
    </w:p>
    <w:p>
      <w:pPr>
        <w:pStyle w:val="32"/>
        <w:rPr>
          <w:rFonts w:hint="eastAsia"/>
          <w:highlight w:val="none"/>
          <w:lang w:val="en-US" w:eastAsia="zh-CN"/>
        </w:rPr>
      </w:pPr>
    </w:p>
    <w:p>
      <w:pPr>
        <w:rPr>
          <w:rFonts w:hint="eastAsia"/>
          <w:highlight w:val="none"/>
          <w:lang w:val="en-US" w:eastAsia="zh-CN"/>
        </w:rPr>
      </w:pPr>
    </w:p>
    <w:p>
      <w:pPr>
        <w:pStyle w:val="32"/>
        <w:rPr>
          <w:rFonts w:hint="eastAsia"/>
          <w:highlight w:val="none"/>
          <w:lang w:val="en-US" w:eastAsia="zh-CN"/>
        </w:rPr>
      </w:pPr>
    </w:p>
    <w:p>
      <w:pPr>
        <w:pStyle w:val="32"/>
        <w:rPr>
          <w:rFonts w:hint="eastAsia"/>
          <w:highlight w:val="none"/>
          <w:lang w:val="en-US" w:eastAsia="zh-CN"/>
        </w:rPr>
      </w:pPr>
    </w:p>
    <w:p>
      <w:pPr>
        <w:rPr>
          <w:rFonts w:hint="eastAsia"/>
          <w:highlight w:val="none"/>
          <w:lang w:val="en-US" w:eastAsia="zh-CN"/>
        </w:rPr>
      </w:pPr>
    </w:p>
    <w:p>
      <w:pPr>
        <w:pStyle w:val="32"/>
        <w:rPr>
          <w:rFonts w:hint="eastAsia"/>
          <w:highlight w:val="none"/>
          <w:lang w:val="en-US" w:eastAsia="zh-CN"/>
        </w:rPr>
      </w:pPr>
    </w:p>
    <w:p>
      <w:pPr>
        <w:rPr>
          <w:rFonts w:hint="eastAsia"/>
          <w:highlight w:val="none"/>
          <w:lang w:val="en-US" w:eastAsia="zh-CN"/>
        </w:rPr>
      </w:pPr>
    </w:p>
    <w:p>
      <w:pPr>
        <w:pStyle w:val="32"/>
        <w:rPr>
          <w:rFonts w:hint="eastAsia"/>
          <w:highlight w:val="none"/>
          <w:lang w:val="en-US" w:eastAsia="zh-CN"/>
        </w:rPr>
      </w:pPr>
    </w:p>
    <w:p>
      <w:pPr>
        <w:rPr>
          <w:rFonts w:hint="eastAsia"/>
          <w:highlight w:val="none"/>
          <w:lang w:val="en-US" w:eastAsia="zh-CN"/>
        </w:rPr>
      </w:pPr>
    </w:p>
    <w:p>
      <w:pPr>
        <w:spacing w:line="300" w:lineRule="auto"/>
        <w:jc w:val="center"/>
        <w:rPr>
          <w:rFonts w:hint="eastAsia" w:ascii="宋体" w:hAnsi="宋体"/>
          <w:b/>
          <w:color w:val="auto"/>
          <w:sz w:val="48"/>
          <w:szCs w:val="48"/>
          <w:highlight w:val="none"/>
          <w:lang w:val="en-US" w:eastAsia="zh-CN"/>
        </w:rPr>
      </w:pPr>
    </w:p>
    <w:p>
      <w:pPr>
        <w:spacing w:line="300" w:lineRule="auto"/>
        <w:jc w:val="center"/>
        <w:rPr>
          <w:rFonts w:ascii="宋体" w:hAnsi="宋体"/>
          <w:b/>
          <w:color w:val="auto"/>
          <w:sz w:val="48"/>
          <w:szCs w:val="48"/>
          <w:highlight w:val="none"/>
        </w:rPr>
      </w:pPr>
      <w:r>
        <w:rPr>
          <w:rFonts w:hint="eastAsia" w:ascii="宋体" w:hAnsi="宋体"/>
          <w:b/>
          <w:color w:val="auto"/>
          <w:sz w:val="48"/>
          <w:szCs w:val="48"/>
          <w:highlight w:val="none"/>
          <w:lang w:val="en-US" w:eastAsia="zh-CN"/>
        </w:rPr>
        <w:t>第二部分</w:t>
      </w:r>
      <w:r>
        <w:rPr>
          <w:rFonts w:hint="eastAsia" w:ascii="宋体" w:hAnsi="宋体"/>
          <w:b/>
          <w:color w:val="auto"/>
          <w:sz w:val="48"/>
          <w:szCs w:val="48"/>
          <w:highlight w:val="none"/>
        </w:rPr>
        <w:t>、补充附件</w:t>
      </w:r>
    </w:p>
    <w:p>
      <w:pPr>
        <w:spacing w:line="300" w:lineRule="auto"/>
        <w:jc w:val="center"/>
        <w:rPr>
          <w:rFonts w:ascii="宋体" w:hAnsi="宋体"/>
          <w:b/>
          <w:color w:val="auto"/>
          <w:sz w:val="24"/>
          <w:szCs w:val="24"/>
          <w:highlight w:val="none"/>
        </w:rPr>
      </w:pPr>
      <w:r>
        <w:rPr>
          <w:rFonts w:hint="eastAsia" w:ascii="宋体" w:hAnsi="宋体"/>
          <w:b/>
          <w:color w:val="auto"/>
          <w:sz w:val="24"/>
          <w:szCs w:val="24"/>
          <w:highlight w:val="none"/>
        </w:rPr>
        <w:t>注：以下部分的附件应后附在投标文件中，作为投标文件的一部分。</w:t>
      </w:r>
    </w:p>
    <w:p>
      <w:pPr>
        <w:spacing w:line="300" w:lineRule="auto"/>
        <w:rPr>
          <w:rFonts w:ascii="宋体" w:hAnsi="宋体"/>
          <w:b/>
          <w:color w:val="auto"/>
          <w:sz w:val="24"/>
          <w:szCs w:val="24"/>
          <w:highlight w:val="none"/>
        </w:rPr>
      </w:pPr>
    </w:p>
    <w:p>
      <w:pPr>
        <w:outlineLvl w:val="0"/>
        <w:rPr>
          <w:rFonts w:hint="eastAsia" w:ascii="宋体" w:hAnsi="宋体" w:eastAsia="宋体" w:cs="宋体"/>
          <w:b/>
          <w:color w:val="auto"/>
          <w:sz w:val="28"/>
          <w:szCs w:val="28"/>
          <w:highlight w:val="none"/>
        </w:rPr>
      </w:pPr>
      <w:r>
        <w:rPr>
          <w:rFonts w:ascii="宋体" w:hAnsi="宋体"/>
          <w:b/>
          <w:color w:val="auto"/>
          <w:sz w:val="24"/>
          <w:szCs w:val="24"/>
          <w:highlight w:val="none"/>
        </w:rPr>
        <w:br w:type="page"/>
      </w:r>
      <w:r>
        <w:rPr>
          <w:rFonts w:hint="eastAsia" w:ascii="宋体" w:hAnsi="宋体" w:eastAsia="宋体" w:cs="宋体"/>
          <w:b/>
          <w:bCs/>
          <w:color w:val="auto"/>
          <w:spacing w:val="10"/>
          <w:kern w:val="0"/>
          <w:sz w:val="28"/>
          <w:szCs w:val="28"/>
          <w:highlight w:val="none"/>
        </w:rPr>
        <w:t>附件一、</w:t>
      </w:r>
      <w:bookmarkStart w:id="2" w:name="_Toc435515295"/>
      <w:bookmarkStart w:id="3" w:name="_Toc435514855"/>
      <w:bookmarkStart w:id="4" w:name="_Toc275865606"/>
      <w:r>
        <w:rPr>
          <w:rFonts w:hint="eastAsia" w:ascii="宋体" w:hAnsi="宋体" w:eastAsia="宋体" w:cs="宋体"/>
          <w:b/>
          <w:bCs/>
          <w:color w:val="auto"/>
          <w:spacing w:val="10"/>
          <w:kern w:val="0"/>
          <w:sz w:val="28"/>
          <w:szCs w:val="28"/>
          <w:highlight w:val="none"/>
        </w:rPr>
        <w:t>资格文件</w:t>
      </w:r>
    </w:p>
    <w:p>
      <w:pPr>
        <w:outlineLvl w:val="9"/>
        <w:rPr>
          <w:rFonts w:hint="eastAsia" w:ascii="宋体" w:hAnsi="宋体" w:eastAsia="宋体" w:cs="宋体"/>
          <w:b/>
          <w:color w:val="auto"/>
          <w:szCs w:val="21"/>
          <w:highlight w:val="none"/>
          <w:lang w:val="en-US" w:eastAsia="zh-CN"/>
        </w:rPr>
      </w:pPr>
    </w:p>
    <w:p>
      <w:pPr>
        <w:outlineLvl w:val="1"/>
        <w:rPr>
          <w:rFonts w:hint="eastAsia" w:ascii="宋体" w:hAnsi="宋体" w:eastAsia="宋体" w:cs="宋体"/>
          <w:b/>
          <w:color w:val="auto"/>
          <w:sz w:val="28"/>
          <w:szCs w:val="28"/>
          <w:highlight w:val="none"/>
        </w:rPr>
      </w:pPr>
      <w:r>
        <w:rPr>
          <w:rFonts w:hint="eastAsia" w:ascii="宋体" w:hAnsi="宋体" w:eastAsia="宋体" w:cs="宋体"/>
          <w:b/>
          <w:color w:val="auto"/>
          <w:szCs w:val="21"/>
          <w:highlight w:val="none"/>
          <w:lang w:val="en-US" w:eastAsia="zh-CN"/>
        </w:rPr>
        <w:t>1.1</w:t>
      </w:r>
      <w:r>
        <w:rPr>
          <w:rFonts w:hint="eastAsia" w:ascii="宋体" w:hAnsi="宋体" w:eastAsia="宋体" w:cs="宋体"/>
          <w:b/>
          <w:color w:val="auto"/>
          <w:szCs w:val="21"/>
          <w:highlight w:val="none"/>
        </w:rPr>
        <w:t>投标人资格声明函</w:t>
      </w:r>
      <w:bookmarkEnd w:id="2"/>
      <w:bookmarkEnd w:id="3"/>
      <w:bookmarkEnd w:id="4"/>
    </w:p>
    <w:p>
      <w:pPr>
        <w:adjustRightInd w:val="0"/>
        <w:snapToGrid w:val="0"/>
        <w:spacing w:line="360" w:lineRule="auto"/>
        <w:rPr>
          <w:rFonts w:hint="eastAsia" w:ascii="宋体" w:hAnsi="宋体" w:eastAsia="宋体" w:cs="宋体"/>
          <w:b/>
          <w:color w:val="auto"/>
          <w:szCs w:val="21"/>
          <w:highlight w:val="none"/>
        </w:rPr>
      </w:pPr>
    </w:p>
    <w:p>
      <w:pPr>
        <w:adjustRightInd w:val="0"/>
        <w:snapToGrid w:val="0"/>
        <w:spacing w:line="360" w:lineRule="auto"/>
        <w:rPr>
          <w:rFonts w:hint="eastAsia" w:ascii="宋体" w:hAnsi="宋体" w:eastAsia="宋体" w:cs="宋体"/>
          <w:b/>
          <w:color w:val="auto"/>
          <w:highlight w:val="none"/>
          <w:lang w:eastAsia="zh-CN"/>
        </w:rPr>
      </w:pPr>
      <w:r>
        <w:rPr>
          <w:rFonts w:hint="eastAsia" w:ascii="宋体" w:hAnsi="宋体" w:eastAsia="宋体" w:cs="宋体"/>
          <w:b/>
          <w:color w:val="auto"/>
          <w:szCs w:val="21"/>
          <w:highlight w:val="none"/>
        </w:rPr>
        <w:t>国义招标股份有限公司</w:t>
      </w:r>
      <w:r>
        <w:rPr>
          <w:rFonts w:hint="eastAsia" w:ascii="宋体" w:hAnsi="宋体" w:eastAsia="宋体" w:cs="宋体"/>
          <w:b/>
          <w:color w:val="auto"/>
          <w:szCs w:val="21"/>
          <w:highlight w:val="none"/>
          <w:lang w:eastAsia="zh-CN"/>
        </w:rPr>
        <w:t>：</w:t>
      </w:r>
    </w:p>
    <w:p>
      <w:pPr>
        <w:adjustRightInd w:val="0"/>
        <w:snapToGrid w:val="0"/>
        <w:spacing w:line="360" w:lineRule="auto"/>
        <w:ind w:firstLine="444" w:firstLineChars="202"/>
        <w:rPr>
          <w:rFonts w:hint="eastAsia" w:ascii="宋体" w:hAnsi="宋体" w:eastAsia="宋体" w:cs="宋体"/>
          <w:color w:val="auto"/>
          <w:highlight w:val="none"/>
        </w:rPr>
      </w:pPr>
      <w:r>
        <w:rPr>
          <w:rFonts w:hint="eastAsia" w:ascii="宋体" w:hAnsi="宋体" w:eastAsia="宋体" w:cs="宋体"/>
          <w:color w:val="auto"/>
          <w:highlight w:val="none"/>
        </w:rPr>
        <w:t>关于贵公司</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日发布</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项目（项目编号：0724-XXXXXXXX）的采购公告，本公司（企业）愿意参加投标，并声明：</w:t>
      </w:r>
    </w:p>
    <w:p>
      <w:pPr>
        <w:adjustRightInd w:val="0"/>
        <w:snapToGrid w:val="0"/>
        <w:spacing w:line="360" w:lineRule="auto"/>
        <w:ind w:firstLine="444" w:firstLineChars="202"/>
        <w:rPr>
          <w:rFonts w:hint="eastAsia" w:ascii="宋体" w:hAnsi="宋体" w:eastAsia="宋体" w:cs="宋体"/>
          <w:color w:val="auto"/>
          <w:highlight w:val="none"/>
        </w:rPr>
      </w:pPr>
      <w:r>
        <w:rPr>
          <w:rFonts w:hint="eastAsia" w:ascii="宋体" w:hAnsi="宋体" w:eastAsia="宋体" w:cs="宋体"/>
          <w:color w:val="auto"/>
          <w:highlight w:val="none"/>
        </w:rPr>
        <w:t>(1)本公司（企业）具备《中华人民共和国政府采购法》第二十二条资格条件，并已清楚招标文件的要求及有关文件规定。</w:t>
      </w:r>
    </w:p>
    <w:p>
      <w:pPr>
        <w:adjustRightInd w:val="0"/>
        <w:snapToGrid w:val="0"/>
        <w:spacing w:line="360" w:lineRule="auto"/>
        <w:ind w:firstLine="444" w:firstLineChars="202"/>
        <w:rPr>
          <w:rFonts w:hint="eastAsia" w:ascii="宋体" w:hAnsi="宋体" w:eastAsia="宋体" w:cs="宋体"/>
          <w:color w:val="auto"/>
          <w:highlight w:val="none"/>
        </w:rPr>
      </w:pPr>
      <w:r>
        <w:rPr>
          <w:rFonts w:hint="eastAsia" w:ascii="宋体" w:hAnsi="宋体" w:eastAsia="宋体" w:cs="宋体"/>
          <w:color w:val="auto"/>
          <w:highlight w:val="none"/>
        </w:rPr>
        <w:t>(2)本公司（企业）具有良好的商业信誉和健全的财务会计制度</w:t>
      </w:r>
      <w:r>
        <w:rPr>
          <w:rFonts w:hint="eastAsia" w:ascii="宋体" w:hAnsi="宋体" w:eastAsia="宋体" w:cs="宋体"/>
          <w:color w:val="auto"/>
          <w:highlight w:val="none"/>
          <w:lang w:val="zh-CN"/>
        </w:rPr>
        <w:t>；</w:t>
      </w:r>
      <w:r>
        <w:rPr>
          <w:rFonts w:hint="eastAsia" w:ascii="宋体" w:hAnsi="宋体" w:eastAsia="宋体" w:cs="宋体"/>
          <w:color w:val="auto"/>
          <w:highlight w:val="none"/>
        </w:rPr>
        <w:t>有依法缴纳税收和社会保障资金的良好记录</w:t>
      </w:r>
      <w:r>
        <w:rPr>
          <w:rFonts w:hint="eastAsia" w:ascii="宋体" w:hAnsi="宋体" w:eastAsia="宋体" w:cs="宋体"/>
          <w:color w:val="auto"/>
          <w:highlight w:val="none"/>
          <w:lang w:val="zh-CN"/>
        </w:rPr>
        <w:t>；</w:t>
      </w:r>
      <w:r>
        <w:rPr>
          <w:rFonts w:hint="eastAsia" w:ascii="宋体" w:hAnsi="宋体" w:eastAsia="宋体" w:cs="宋体"/>
          <w:color w:val="auto"/>
          <w:highlight w:val="none"/>
        </w:rPr>
        <w:t>具有履行合同所必需的设备和专业技术能力，且本公司（企业）参加政府采购活动前3年内在经营活动中没有重大违法记录。否则，由此所造成的损失、不良后果及法律责任，一律由我公司（企业）承担。</w:t>
      </w:r>
    </w:p>
    <w:p>
      <w:pPr>
        <w:adjustRightInd w:val="0"/>
        <w:snapToGrid w:val="0"/>
        <w:spacing w:line="360" w:lineRule="auto"/>
        <w:ind w:firstLine="444" w:firstLineChars="202"/>
        <w:rPr>
          <w:rFonts w:hint="eastAsia" w:ascii="宋体" w:hAnsi="宋体" w:eastAsia="宋体" w:cs="宋体"/>
          <w:color w:val="auto"/>
          <w:highlight w:val="none"/>
        </w:rPr>
      </w:pPr>
      <w:r>
        <w:rPr>
          <w:rFonts w:hint="eastAsia" w:ascii="宋体" w:hAnsi="宋体" w:eastAsia="宋体" w:cs="宋体"/>
          <w:color w:val="auto"/>
          <w:highlight w:val="none"/>
        </w:rPr>
        <w:t>(3)关于本企业信用情况，经对“信用中国”网站（www.creditchina.gov.cn）、“中国政府采购网”（ www.ccgp.gov.cn）信用记录信息的查询，截至规定的投标截止时间，我司没有被列入失信被执行人、税收违法黑名单、政府采购、环境保护、知识产权等领域严重违法失信行为记录名单中。</w:t>
      </w:r>
    </w:p>
    <w:p>
      <w:pPr>
        <w:adjustRightInd w:val="0"/>
        <w:snapToGrid w:val="0"/>
        <w:spacing w:line="360" w:lineRule="auto"/>
        <w:ind w:firstLine="444" w:firstLineChars="202"/>
        <w:rPr>
          <w:rFonts w:hint="eastAsia" w:ascii="宋体" w:hAnsi="宋体" w:eastAsia="宋体" w:cs="宋体"/>
          <w:color w:val="auto"/>
          <w:highlight w:val="none"/>
        </w:rPr>
      </w:pPr>
      <w:r>
        <w:rPr>
          <w:rFonts w:hint="eastAsia" w:ascii="宋体" w:hAnsi="宋体" w:eastAsia="宋体" w:cs="宋体"/>
          <w:color w:val="auto"/>
          <w:highlight w:val="none"/>
        </w:rPr>
        <w:t>(4)经核实，本公司不存在以下情况：单位负责人为同一人或者存在直接控股、管理关系的不同供应商，参加同一合同项下的政府采购活动。</w:t>
      </w:r>
    </w:p>
    <w:p>
      <w:pPr>
        <w:adjustRightInd w:val="0"/>
        <w:snapToGrid w:val="0"/>
        <w:spacing w:line="360" w:lineRule="auto"/>
        <w:ind w:firstLine="444" w:firstLineChars="202"/>
        <w:rPr>
          <w:rFonts w:hint="eastAsia" w:ascii="宋体" w:hAnsi="宋体" w:eastAsia="宋体" w:cs="宋体"/>
          <w:color w:val="auto"/>
          <w:highlight w:val="none"/>
        </w:rPr>
      </w:pPr>
      <w:r>
        <w:rPr>
          <w:rFonts w:hint="eastAsia" w:ascii="宋体" w:hAnsi="宋体" w:eastAsia="宋体" w:cs="宋体"/>
          <w:color w:val="auto"/>
          <w:highlight w:val="none"/>
        </w:rPr>
        <w:t>(5) 经核实，本公司不存在以下情况：为采购项目提供整体设计、规范编制或者项目管理、监理、检测等服务的供应商，再参加该采购项目的其他采购活动。</w:t>
      </w:r>
    </w:p>
    <w:p>
      <w:pPr>
        <w:adjustRightInd w:val="0"/>
        <w:snapToGrid w:val="0"/>
        <w:spacing w:line="360" w:lineRule="auto"/>
        <w:ind w:firstLine="444" w:firstLineChars="202"/>
        <w:rPr>
          <w:rFonts w:hint="eastAsia" w:ascii="宋体" w:hAnsi="宋体" w:eastAsia="宋体" w:cs="宋体"/>
          <w:color w:val="auto"/>
          <w:highlight w:val="none"/>
        </w:rPr>
      </w:pPr>
      <w:r>
        <w:rPr>
          <w:rFonts w:hint="eastAsia" w:ascii="宋体" w:hAnsi="宋体" w:eastAsia="宋体" w:cs="宋体"/>
          <w:color w:val="auto"/>
          <w:highlight w:val="none"/>
        </w:rPr>
        <w:t>（6）本公司不属于联合体投标，承诺如果中标不分包转包。</w:t>
      </w:r>
    </w:p>
    <w:p>
      <w:pPr>
        <w:adjustRightInd w:val="0"/>
        <w:snapToGrid w:val="0"/>
        <w:spacing w:line="360" w:lineRule="auto"/>
        <w:ind w:firstLine="444" w:firstLineChars="20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本公司</w:t>
      </w:r>
      <w:r>
        <w:rPr>
          <w:rFonts w:hint="eastAsia" w:ascii="宋体" w:hAnsi="宋体" w:eastAsia="宋体" w:cs="宋体"/>
          <w:color w:val="auto"/>
          <w:highlight w:val="none"/>
          <w:lang w:eastAsia="zh-CN"/>
        </w:rPr>
        <w:t>符合法律、行政法规规定的其他条件。</w:t>
      </w:r>
    </w:p>
    <w:p>
      <w:pPr>
        <w:adjustRightInd w:val="0"/>
        <w:snapToGrid w:val="0"/>
        <w:spacing w:line="360" w:lineRule="auto"/>
        <w:ind w:firstLine="444" w:firstLineChars="202"/>
        <w:rPr>
          <w:rFonts w:hint="eastAsia" w:ascii="宋体" w:hAnsi="宋体" w:eastAsia="宋体" w:cs="宋体"/>
          <w:color w:val="auto"/>
          <w:highlight w:val="none"/>
        </w:rPr>
      </w:pPr>
      <w:r>
        <w:rPr>
          <w:rFonts w:hint="eastAsia" w:ascii="宋体" w:hAnsi="宋体" w:eastAsia="宋体" w:cs="宋体"/>
          <w:color w:val="auto"/>
          <w:highlight w:val="none"/>
        </w:rPr>
        <w:t>本次招标采购活动中，本单位保证全部投标文件和问题的回答是真实和有效的，并对所提供资料的真实性和正确性承担法律责任。</w:t>
      </w:r>
    </w:p>
    <w:p>
      <w:pPr>
        <w:adjustRightInd w:val="0"/>
        <w:snapToGrid w:val="0"/>
        <w:spacing w:line="360" w:lineRule="auto"/>
        <w:ind w:firstLine="444" w:firstLineChars="202"/>
        <w:rPr>
          <w:rFonts w:hint="eastAsia" w:ascii="宋体" w:hAnsi="宋体" w:eastAsia="宋体" w:cs="宋体"/>
          <w:color w:val="auto"/>
          <w:highlight w:val="none"/>
        </w:rPr>
      </w:pPr>
      <w:r>
        <w:rPr>
          <w:rFonts w:hint="eastAsia" w:ascii="宋体" w:hAnsi="宋体" w:eastAsia="宋体" w:cs="宋体"/>
          <w:color w:val="auto"/>
          <w:highlight w:val="none"/>
        </w:rPr>
        <w:t>如有违法、违规、弄虚作假行为，所造成的损失、不良后果及法律责任，一律由我公司（企业）承担。</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b/>
          <w:color w:val="auto"/>
          <w:highlight w:val="none"/>
        </w:rPr>
        <w:t>特此声明！</w:t>
      </w:r>
    </w:p>
    <w:p>
      <w:pPr>
        <w:spacing w:line="360" w:lineRule="auto"/>
        <w:rPr>
          <w:rFonts w:hint="eastAsia" w:ascii="宋体" w:hAnsi="宋体" w:eastAsia="宋体" w:cs="宋体"/>
          <w:color w:val="auto"/>
          <w:highlight w:val="none"/>
        </w:rPr>
      </w:pPr>
      <w:r>
        <w:rPr>
          <w:rFonts w:hint="eastAsia" w:ascii="宋体" w:hAnsi="宋体" w:eastAsia="宋体" w:cs="宋体"/>
          <w:b/>
          <w:color w:val="auto"/>
          <w:highlight w:val="none"/>
        </w:rPr>
        <w:t>附件：</w:t>
      </w:r>
    </w:p>
    <w:p>
      <w:pP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企业股东构成情况表</w:t>
      </w:r>
    </w:p>
    <w:p>
      <w:pPr>
        <w:adjustRightInd w:val="0"/>
        <w:snapToGrid w:val="0"/>
        <w:rPr>
          <w:rFonts w:hint="eastAsia" w:ascii="宋体" w:hAnsi="宋体" w:eastAsia="宋体" w:cs="宋体"/>
          <w:color w:val="auto"/>
          <w:szCs w:val="21"/>
          <w:highlight w:val="none"/>
        </w:rPr>
      </w:pPr>
    </w:p>
    <w:p>
      <w:pPr>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投标人法定代表人（或法定代表人授权代表）签字：</w:t>
      </w:r>
      <w:r>
        <w:rPr>
          <w:rFonts w:hint="eastAsia" w:ascii="宋体" w:hAnsi="宋体" w:eastAsia="宋体" w:cs="宋体"/>
          <w:color w:val="auto"/>
          <w:szCs w:val="21"/>
          <w:highlight w:val="none"/>
          <w:u w:val="single"/>
        </w:rPr>
        <w:t xml:space="preserve">                   </w:t>
      </w:r>
    </w:p>
    <w:p>
      <w:pPr>
        <w:adjustRightInd w:val="0"/>
        <w:snapToGrid w:val="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投标人名称（加盖公章）：</w:t>
      </w:r>
      <w:r>
        <w:rPr>
          <w:rFonts w:hint="eastAsia" w:ascii="宋体" w:hAnsi="宋体" w:eastAsia="宋体" w:cs="宋体"/>
          <w:color w:val="auto"/>
          <w:szCs w:val="21"/>
          <w:highlight w:val="none"/>
          <w:u w:val="single"/>
        </w:rPr>
        <w:t xml:space="preserve">                        </w:t>
      </w:r>
    </w:p>
    <w:p>
      <w:pPr>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日</w:t>
      </w:r>
    </w:p>
    <w:p>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36"/>
          <w:szCs w:val="36"/>
          <w:highlight w:val="none"/>
        </w:rPr>
        <w:br w:type="page"/>
      </w:r>
      <w:r>
        <w:rPr>
          <w:rFonts w:hint="eastAsia" w:ascii="宋体" w:hAnsi="宋体" w:eastAsia="宋体" w:cs="宋体"/>
          <w:b/>
          <w:color w:val="auto"/>
          <w:sz w:val="28"/>
          <w:szCs w:val="28"/>
          <w:highlight w:val="none"/>
        </w:rPr>
        <w:t>企业股东构成情况表</w:t>
      </w:r>
    </w:p>
    <w:p>
      <w:pPr>
        <w:jc w:val="left"/>
        <w:rPr>
          <w:rFonts w:hint="eastAsia" w:ascii="宋体" w:hAnsi="宋体" w:eastAsia="宋体" w:cs="宋体"/>
          <w:b/>
          <w:color w:val="auto"/>
          <w:sz w:val="24"/>
          <w:highlight w:val="none"/>
        </w:rPr>
      </w:pPr>
    </w:p>
    <w:tbl>
      <w:tblPr>
        <w:tblStyle w:val="24"/>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股东及出资信息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股东类型</w:t>
            </w:r>
          </w:p>
          <w:p>
            <w:pPr>
              <w:topLinePunct/>
              <w:spacing w:line="4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(自然人股东/法人股东)</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身份证号</w:t>
            </w:r>
          </w:p>
          <w:p>
            <w:pPr>
              <w:topLinePunct/>
              <w:spacing w:line="4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占全部股份比例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color w:val="auto"/>
                <w:szCs w:val="21"/>
                <w:highlight w:val="none"/>
              </w:rPr>
            </w:pPr>
          </w:p>
        </w:tc>
      </w:tr>
    </w:tbl>
    <w:p>
      <w:pPr>
        <w:jc w:val="left"/>
        <w:rPr>
          <w:rFonts w:hint="eastAsia" w:ascii="宋体" w:hAnsi="宋体" w:eastAsia="宋体" w:cs="宋体"/>
          <w:color w:val="auto"/>
          <w:szCs w:val="21"/>
          <w:highlight w:val="none"/>
        </w:rPr>
      </w:pP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1.股东或出资人为自然人的，填写自然人姓名及身份证号；股东或出资人为法人的，填写法人企业全称及统一社会信用代码。出资方式填写：货物、实物、工艺产权和非专利技术、土地使用权等。</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 w:val="20"/>
          <w:szCs w:val="18"/>
          <w:highlight w:val="none"/>
        </w:rPr>
        <w:t>投标人必须如实填写股东构成情况</w:t>
      </w:r>
      <w:r>
        <w:rPr>
          <w:rFonts w:hint="eastAsia" w:ascii="宋体" w:hAnsi="宋体" w:eastAsia="宋体" w:cs="宋体"/>
          <w:color w:val="auto"/>
          <w:szCs w:val="21"/>
          <w:highlight w:val="none"/>
        </w:rPr>
        <w:t>，具体信息情况应与“国家企业信用信息公示系统” (网站：</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"http://www.gsxt.gov.cn)查询的信息一致。" </w:instrText>
      </w:r>
      <w:r>
        <w:rPr>
          <w:rFonts w:hint="eastAsia" w:ascii="宋体" w:hAnsi="宋体" w:eastAsia="宋体" w:cs="宋体"/>
          <w:color w:val="auto"/>
          <w:szCs w:val="21"/>
          <w:highlight w:val="none"/>
        </w:rPr>
        <w:fldChar w:fldCharType="separate"/>
      </w:r>
      <w:r>
        <w:rPr>
          <w:rStyle w:val="30"/>
          <w:rFonts w:hint="eastAsia" w:ascii="宋体" w:hAnsi="宋体" w:eastAsia="宋体" w:cs="宋体"/>
          <w:color w:val="auto"/>
          <w:szCs w:val="21"/>
          <w:highlight w:val="none"/>
        </w:rPr>
        <w:t>http://www.gsxt.gov.cn)查询的信息一致。</w:t>
      </w:r>
      <w:r>
        <w:rPr>
          <w:rFonts w:hint="eastAsia" w:ascii="宋体" w:hAnsi="宋体" w:eastAsia="宋体" w:cs="宋体"/>
          <w:color w:val="auto"/>
          <w:szCs w:val="21"/>
          <w:highlight w:val="none"/>
        </w:rPr>
        <w:fldChar w:fldCharType="end"/>
      </w:r>
    </w:p>
    <w:p>
      <w:pPr>
        <w:tabs>
          <w:tab w:val="left" w:pos="654"/>
          <w:tab w:val="left" w:pos="1734"/>
          <w:tab w:val="left" w:pos="2814"/>
          <w:tab w:val="left" w:pos="3894"/>
          <w:tab w:val="left" w:pos="5334"/>
          <w:tab w:val="left" w:pos="6414"/>
          <w:tab w:val="left" w:pos="7254"/>
          <w:tab w:val="left" w:pos="8574"/>
          <w:tab w:val="left" w:pos="9654"/>
        </w:tabs>
        <w:jc w:val="left"/>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.2政府采购活动信用记录自查承诺函</w:t>
      </w:r>
    </w:p>
    <w:p>
      <w:pPr>
        <w:ind w:left="405"/>
        <w:rPr>
          <w:rFonts w:hint="eastAsia" w:ascii="宋体" w:hAnsi="宋体" w:eastAsia="宋体" w:cs="宋体"/>
          <w:color w:val="auto"/>
          <w:sz w:val="24"/>
          <w:highlight w:val="none"/>
        </w:rPr>
      </w:pPr>
    </w:p>
    <w:p>
      <w:pPr>
        <w:adjustRightInd w:val="0"/>
        <w:snapToGrid w:val="0"/>
        <w:spacing w:line="360" w:lineRule="auto"/>
        <w:ind w:firstLine="440" w:firstLineChars="200"/>
        <w:rPr>
          <w:rFonts w:hint="eastAsia" w:ascii="宋体" w:hAnsi="宋体" w:eastAsia="宋体" w:cs="宋体"/>
          <w:color w:val="auto"/>
          <w:szCs w:val="21"/>
          <w:highlight w:val="none"/>
        </w:rPr>
      </w:pPr>
    </w:p>
    <w:p>
      <w:pPr>
        <w:tabs>
          <w:tab w:val="left" w:pos="654"/>
          <w:tab w:val="left" w:pos="1734"/>
          <w:tab w:val="left" w:pos="2814"/>
          <w:tab w:val="left" w:pos="3894"/>
          <w:tab w:val="left" w:pos="5334"/>
          <w:tab w:val="left" w:pos="6414"/>
          <w:tab w:val="left" w:pos="7254"/>
          <w:tab w:val="left" w:pos="8574"/>
          <w:tab w:val="left" w:pos="9654"/>
        </w:tabs>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国义招标股份有限公司：</w:t>
      </w:r>
    </w:p>
    <w:p>
      <w:pPr>
        <w:tabs>
          <w:tab w:val="left" w:pos="654"/>
          <w:tab w:val="left" w:pos="1734"/>
          <w:tab w:val="left" w:pos="2814"/>
          <w:tab w:val="left" w:pos="3894"/>
          <w:tab w:val="left" w:pos="5334"/>
          <w:tab w:val="left" w:pos="6414"/>
          <w:tab w:val="left" w:pos="7254"/>
          <w:tab w:val="left" w:pos="8574"/>
          <w:tab w:val="left" w:pos="9654"/>
        </w:tabs>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  关于本企业信用情况，经对“信用中国”网站（www.creditchina.gov.cn）中企业信用信息、“中国政府采购网”（ www.ccgp.gov.cn）“政府采购严重违法失信行为信息记录”的网上查询，截至规定的投标截止时间，我司没有被列入失信被执行人、税收违法黑名单、政府采购严重违法失信行为记录名单及其他不符合规定条件的供应商名单中。特此承诺！</w:t>
      </w:r>
    </w:p>
    <w:p>
      <w:pPr>
        <w:ind w:left="405"/>
        <w:rPr>
          <w:rFonts w:hint="eastAsia" w:ascii="宋体" w:hAnsi="宋体" w:eastAsia="宋体" w:cs="宋体"/>
          <w:b/>
          <w:color w:val="auto"/>
          <w:szCs w:val="21"/>
          <w:highlight w:val="none"/>
        </w:rPr>
      </w:pPr>
    </w:p>
    <w:p>
      <w:pPr>
        <w:ind w:left="405"/>
        <w:rPr>
          <w:rFonts w:hint="eastAsia" w:ascii="宋体" w:hAnsi="宋体" w:eastAsia="宋体" w:cs="宋体"/>
          <w:b/>
          <w:color w:val="auto"/>
          <w:szCs w:val="21"/>
          <w:highlight w:val="none"/>
        </w:rPr>
      </w:pPr>
    </w:p>
    <w:p>
      <w:pPr>
        <w:ind w:left="405"/>
        <w:rPr>
          <w:rFonts w:hint="eastAsia" w:ascii="宋体" w:hAnsi="宋体" w:eastAsia="宋体" w:cs="宋体"/>
          <w:b/>
          <w:color w:val="auto"/>
          <w:szCs w:val="21"/>
          <w:highlight w:val="none"/>
        </w:rPr>
      </w:pPr>
    </w:p>
    <w:p>
      <w:pPr>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投标人法定代表人（或法定代表人授权代表）签字：</w:t>
      </w:r>
      <w:r>
        <w:rPr>
          <w:rFonts w:hint="eastAsia" w:ascii="宋体" w:hAnsi="宋体" w:eastAsia="宋体" w:cs="宋体"/>
          <w:color w:val="auto"/>
          <w:szCs w:val="21"/>
          <w:highlight w:val="none"/>
          <w:u w:val="single"/>
        </w:rPr>
        <w:t xml:space="preserve">                   </w:t>
      </w:r>
    </w:p>
    <w:p>
      <w:pPr>
        <w:adjustRightInd w:val="0"/>
        <w:snapToGrid w:val="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投标人名称（加盖公章）：</w:t>
      </w:r>
      <w:r>
        <w:rPr>
          <w:rFonts w:hint="eastAsia" w:ascii="宋体" w:hAnsi="宋体" w:eastAsia="宋体" w:cs="宋体"/>
          <w:color w:val="auto"/>
          <w:szCs w:val="21"/>
          <w:highlight w:val="none"/>
          <w:u w:val="single"/>
        </w:rPr>
        <w:t xml:space="preserve">                        </w:t>
      </w:r>
    </w:p>
    <w:p>
      <w:pPr>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日</w:t>
      </w:r>
    </w:p>
    <w:p>
      <w:pPr>
        <w:ind w:left="405"/>
        <w:rPr>
          <w:rFonts w:hint="eastAsia" w:ascii="宋体" w:hAnsi="宋体" w:eastAsia="宋体" w:cs="宋体"/>
          <w:b/>
          <w:color w:val="auto"/>
          <w:szCs w:val="21"/>
          <w:highlight w:val="none"/>
        </w:rPr>
      </w:pPr>
    </w:p>
    <w:p>
      <w:pPr>
        <w:ind w:left="405"/>
        <w:rPr>
          <w:rFonts w:hint="eastAsia" w:ascii="宋体" w:hAnsi="宋体" w:eastAsia="宋体" w:cs="宋体"/>
          <w:b/>
          <w:color w:val="auto"/>
          <w:szCs w:val="21"/>
          <w:highlight w:val="none"/>
        </w:rPr>
      </w:pPr>
    </w:p>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备注：采购方将对函件内容的真实性和有效性进行审查、验证，如有造假或情况不一致，将导致投标无效！</w:t>
      </w:r>
    </w:p>
    <w:p>
      <w:pPr>
        <w:rPr>
          <w:rFonts w:hint="eastAsia" w:ascii="宋体" w:hAnsi="宋体" w:eastAsia="宋体" w:cs="宋体"/>
          <w:b/>
          <w:color w:val="auto"/>
          <w:szCs w:val="21"/>
          <w:highlight w:val="none"/>
        </w:rPr>
      </w:pPr>
    </w:p>
    <w:p>
      <w:pPr>
        <w:rPr>
          <w:rFonts w:hint="eastAsia" w:ascii="宋体" w:hAnsi="宋体" w:eastAsia="宋体" w:cs="宋体"/>
          <w:b/>
          <w:color w:val="auto"/>
          <w:sz w:val="24"/>
          <w:highlight w:val="none"/>
        </w:rPr>
      </w:pPr>
    </w:p>
    <w:p>
      <w:pPr>
        <w:rPr>
          <w:rFonts w:hint="eastAsia" w:ascii="宋体" w:hAnsi="宋体" w:eastAsia="宋体" w:cs="宋体"/>
          <w:b/>
          <w:color w:val="auto"/>
          <w:sz w:val="24"/>
          <w:highlight w:val="none"/>
        </w:rPr>
      </w:pPr>
    </w:p>
    <w:p>
      <w:pPr>
        <w:rPr>
          <w:rFonts w:hint="eastAsia" w:ascii="宋体" w:hAnsi="宋体" w:eastAsia="宋体" w:cs="宋体"/>
          <w:b/>
          <w:color w:val="auto"/>
          <w:sz w:val="24"/>
          <w:highlight w:val="none"/>
        </w:rPr>
      </w:pPr>
    </w:p>
    <w:p>
      <w:pP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br w:type="page"/>
      </w:r>
    </w:p>
    <w:p>
      <w:pPr>
        <w:outlineLvl w:val="1"/>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1.3法定代表人授权代表声明函</w:t>
      </w:r>
    </w:p>
    <w:p>
      <w:pPr>
        <w:jc w:val="center"/>
        <w:outlineLvl w:val="9"/>
        <w:rPr>
          <w:rFonts w:hint="eastAsia" w:ascii="宋体" w:hAnsi="宋体" w:eastAsia="宋体" w:cs="宋体"/>
          <w:b/>
          <w:color w:val="auto"/>
          <w:sz w:val="28"/>
          <w:szCs w:val="28"/>
          <w:highlight w:val="none"/>
        </w:rPr>
      </w:pPr>
      <w:r>
        <w:rPr>
          <w:rFonts w:hint="eastAsia" w:ascii="宋体" w:hAnsi="宋体" w:eastAsia="宋体" w:cs="宋体"/>
          <w:b/>
          <w:color w:val="auto"/>
          <w:szCs w:val="21"/>
          <w:highlight w:val="none"/>
        </w:rPr>
        <w:t>法定代表人授权代表声明函</w:t>
      </w:r>
    </w:p>
    <w:p>
      <w:pPr>
        <w:adjustRightInd w:val="0"/>
        <w:snapToGrid w:val="0"/>
        <w:spacing w:line="360" w:lineRule="auto"/>
        <w:rPr>
          <w:rFonts w:hint="eastAsia" w:ascii="宋体" w:hAnsi="宋体" w:eastAsia="宋体" w:cs="宋体"/>
          <w:b/>
          <w:color w:val="auto"/>
          <w:szCs w:val="21"/>
          <w:highlight w:val="none"/>
        </w:rPr>
      </w:pPr>
    </w:p>
    <w:p>
      <w:pPr>
        <w:adjustRightInd w:val="0"/>
        <w:snapToGrid w:val="0"/>
        <w:spacing w:line="360" w:lineRule="auto"/>
        <w:rPr>
          <w:rFonts w:hint="eastAsia" w:ascii="宋体" w:hAnsi="宋体" w:eastAsia="宋体" w:cs="宋体"/>
          <w:b/>
          <w:color w:val="auto"/>
          <w:highlight w:val="none"/>
          <w:lang w:eastAsia="zh-CN"/>
        </w:rPr>
      </w:pPr>
      <w:r>
        <w:rPr>
          <w:rFonts w:hint="eastAsia" w:ascii="宋体" w:hAnsi="宋体" w:eastAsia="宋体" w:cs="宋体"/>
          <w:b/>
          <w:color w:val="auto"/>
          <w:szCs w:val="21"/>
          <w:highlight w:val="none"/>
          <w:lang w:val="en-US" w:eastAsia="zh-CN"/>
        </w:rPr>
        <w:t>国义招标股份有限公司</w:t>
      </w:r>
      <w:r>
        <w:rPr>
          <w:rFonts w:hint="eastAsia" w:ascii="宋体" w:hAnsi="宋体" w:eastAsia="宋体" w:cs="宋体"/>
          <w:b/>
          <w:color w:val="auto"/>
          <w:szCs w:val="21"/>
          <w:highlight w:val="none"/>
          <w:lang w:eastAsia="zh-CN"/>
        </w:rPr>
        <w:t>：</w:t>
      </w:r>
    </w:p>
    <w:p>
      <w:pPr>
        <w:adjustRightInd w:val="0"/>
        <w:snapToGrid w:val="0"/>
        <w:spacing w:line="360" w:lineRule="auto"/>
        <w:ind w:firstLine="444" w:firstLineChars="202"/>
        <w:rPr>
          <w:rFonts w:hint="eastAsia" w:ascii="宋体" w:hAnsi="宋体" w:eastAsia="宋体" w:cs="宋体"/>
          <w:color w:val="auto"/>
          <w:highlight w:val="none"/>
        </w:rPr>
      </w:pPr>
      <w:r>
        <w:rPr>
          <w:rFonts w:hint="eastAsia" w:ascii="宋体" w:hAnsi="宋体" w:eastAsia="宋体" w:cs="宋体"/>
          <w:color w:val="auto"/>
          <w:highlight w:val="none"/>
        </w:rPr>
        <w:t>关于贵公司</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日发布</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项目（项目编号：0724-XXXXXXXX）的采购</w:t>
      </w:r>
      <w:r>
        <w:rPr>
          <w:rFonts w:hint="eastAsia" w:ascii="宋体" w:hAnsi="宋体" w:eastAsia="宋体" w:cs="宋体"/>
          <w:color w:val="auto"/>
          <w:highlight w:val="none"/>
          <w:lang w:val="en-US" w:eastAsia="zh-CN"/>
        </w:rPr>
        <w:t>项目</w:t>
      </w:r>
      <w:r>
        <w:rPr>
          <w:rFonts w:hint="eastAsia" w:ascii="宋体" w:hAnsi="宋体" w:eastAsia="宋体" w:cs="宋体"/>
          <w:color w:val="auto"/>
          <w:highlight w:val="none"/>
        </w:rPr>
        <w:t>，本公司（企业）愿意参加投标，并声明：</w:t>
      </w:r>
    </w:p>
    <w:p>
      <w:pPr>
        <w:adjustRightInd w:val="0"/>
        <w:snapToGrid w:val="0"/>
        <w:spacing w:line="360" w:lineRule="auto"/>
        <w:ind w:firstLine="444" w:firstLineChars="202"/>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代表</w:t>
      </w:r>
      <w:r>
        <w:rPr>
          <w:rFonts w:hint="eastAsia" w:ascii="宋体" w:hAnsi="宋体" w:eastAsia="宋体" w:cs="宋体"/>
          <w:color w:val="auto"/>
          <w:highlight w:val="none"/>
        </w:rPr>
        <w:t>本公司（企业）</w:t>
      </w:r>
      <w:r>
        <w:rPr>
          <w:rFonts w:hint="eastAsia" w:ascii="宋体" w:hAnsi="宋体" w:eastAsia="宋体" w:cs="宋体"/>
          <w:color w:val="auto"/>
          <w:highlight w:val="none"/>
          <w:lang w:val="en-US" w:eastAsia="zh-CN"/>
        </w:rPr>
        <w:t>参加本项目的</w:t>
      </w:r>
      <w:r>
        <w:rPr>
          <w:rFonts w:ascii="宋体" w:hAnsi="Times New Roman" w:eastAsia="宋体" w:cs="宋体"/>
          <w:color w:val="auto"/>
          <w:highlight w:val="none"/>
        </w:rPr>
        <w:t xml:space="preserve"> </w:t>
      </w:r>
      <w:r>
        <w:rPr>
          <w:rFonts w:ascii="宋体" w:hAnsi="Times New Roman" w:eastAsia="宋体" w:cs="宋体"/>
          <w:color w:val="auto"/>
          <w:highlight w:val="none"/>
          <w:u w:val="single"/>
        </w:rPr>
        <w:t>（姓名、职务）</w:t>
      </w:r>
      <w:r>
        <w:rPr>
          <w:rFonts w:ascii="宋体" w:hAnsi="Times New Roman" w:eastAsia="宋体" w:cs="宋体"/>
          <w:color w:val="auto"/>
          <w:highlight w:val="none"/>
        </w:rPr>
        <w:t xml:space="preserve"> 作为我公司的</w:t>
      </w:r>
      <w:r>
        <w:rPr>
          <w:rFonts w:hint="eastAsia" w:ascii="宋体" w:hAnsi="宋体" w:eastAsia="宋体" w:cs="宋体"/>
          <w:color w:val="auto"/>
          <w:szCs w:val="21"/>
          <w:highlight w:val="none"/>
        </w:rPr>
        <w:t>法定代表人授权代表</w:t>
      </w:r>
      <w:r>
        <w:rPr>
          <w:rFonts w:hint="eastAsia" w:ascii="宋体" w:hAnsi="Times New Roman" w:eastAsia="宋体" w:cs="宋体"/>
          <w:color w:val="auto"/>
          <w:highlight w:val="none"/>
          <w:lang w:eastAsia="zh-CN"/>
        </w:rPr>
        <w:t>，</w:t>
      </w:r>
      <w:r>
        <w:rPr>
          <w:rFonts w:hint="eastAsia" w:ascii="宋体" w:hAnsi="Times New Roman" w:eastAsia="宋体" w:cs="宋体"/>
          <w:color w:val="auto"/>
          <w:highlight w:val="none"/>
          <w:lang w:val="en-US" w:eastAsia="zh-CN"/>
        </w:rPr>
        <w:t>系</w:t>
      </w:r>
      <w:r>
        <w:rPr>
          <w:rFonts w:hint="eastAsia" w:ascii="宋体" w:hAnsi="宋体" w:eastAsia="宋体" w:cs="宋体"/>
          <w:color w:val="auto"/>
          <w:highlight w:val="none"/>
        </w:rPr>
        <w:t>本公司（企业）</w:t>
      </w:r>
      <w:r>
        <w:rPr>
          <w:rFonts w:hint="eastAsia" w:ascii="宋体" w:hAnsi="Times New Roman" w:eastAsia="宋体" w:cs="宋体"/>
          <w:color w:val="auto"/>
          <w:highlight w:val="none"/>
          <w:lang w:val="en-US" w:eastAsia="zh-CN"/>
        </w:rPr>
        <w:t>员工</w:t>
      </w:r>
      <w:r>
        <w:rPr>
          <w:rFonts w:hint="eastAsia" w:ascii="宋体" w:hAnsi="宋体" w:eastAsia="宋体" w:cs="宋体"/>
          <w:color w:val="auto"/>
          <w:highlight w:val="none"/>
        </w:rPr>
        <w:t>。</w:t>
      </w:r>
    </w:p>
    <w:p>
      <w:pPr>
        <w:adjustRightInd w:val="0"/>
        <w:snapToGrid w:val="0"/>
        <w:spacing w:line="360" w:lineRule="auto"/>
        <w:ind w:firstLine="444" w:firstLineChars="202"/>
        <w:rPr>
          <w:rFonts w:hint="eastAsia" w:ascii="宋体" w:hAnsi="宋体" w:eastAsia="宋体" w:cs="宋体"/>
          <w:color w:val="auto"/>
          <w:highlight w:val="none"/>
        </w:rPr>
      </w:pP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b/>
          <w:color w:val="auto"/>
          <w:highlight w:val="none"/>
        </w:rPr>
        <w:t>特此声明！</w:t>
      </w:r>
    </w:p>
    <w:p>
      <w:pPr>
        <w:spacing w:line="360" w:lineRule="auto"/>
        <w:rPr>
          <w:rFonts w:hint="eastAsia" w:ascii="宋体" w:hAnsi="宋体" w:eastAsia="宋体" w:cs="宋体"/>
          <w:color w:val="auto"/>
          <w:highlight w:val="none"/>
        </w:rPr>
      </w:pPr>
      <w:r>
        <w:rPr>
          <w:rFonts w:hint="eastAsia" w:ascii="宋体" w:hAnsi="宋体" w:eastAsia="宋体" w:cs="宋体"/>
          <w:b/>
          <w:color w:val="auto"/>
          <w:highlight w:val="none"/>
        </w:rPr>
        <w:t>附件：</w:t>
      </w:r>
    </w:p>
    <w:p>
      <w:pPr>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法定代表人授权代表近六个月内任意一个月在投标人单位购买社保的证明材料。</w:t>
      </w:r>
    </w:p>
    <w:p>
      <w:pPr>
        <w:adjustRightInd w:val="0"/>
        <w:snapToGrid w:val="0"/>
        <w:rPr>
          <w:rFonts w:hint="eastAsia" w:ascii="宋体" w:hAnsi="宋体" w:eastAsia="宋体" w:cs="宋体"/>
          <w:color w:val="auto"/>
          <w:szCs w:val="21"/>
          <w:highlight w:val="none"/>
        </w:rPr>
      </w:pPr>
    </w:p>
    <w:p>
      <w:pPr>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投标人法定代表人（或法定代表人授权代表）签字：</w:t>
      </w:r>
      <w:r>
        <w:rPr>
          <w:rFonts w:hint="eastAsia" w:ascii="宋体" w:hAnsi="宋体" w:eastAsia="宋体" w:cs="宋体"/>
          <w:color w:val="auto"/>
          <w:szCs w:val="21"/>
          <w:highlight w:val="none"/>
          <w:u w:val="single"/>
        </w:rPr>
        <w:t xml:space="preserve">                   </w:t>
      </w:r>
    </w:p>
    <w:p>
      <w:pPr>
        <w:adjustRightInd w:val="0"/>
        <w:snapToGrid w:val="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投标人名称（加盖公章）：</w:t>
      </w:r>
      <w:r>
        <w:rPr>
          <w:rFonts w:hint="eastAsia" w:ascii="宋体" w:hAnsi="宋体" w:eastAsia="宋体" w:cs="宋体"/>
          <w:color w:val="auto"/>
          <w:szCs w:val="21"/>
          <w:highlight w:val="none"/>
          <w:u w:val="single"/>
        </w:rPr>
        <w:t xml:space="preserve">                        </w:t>
      </w:r>
    </w:p>
    <w:p>
      <w:pPr>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日</w:t>
      </w:r>
    </w:p>
    <w:p>
      <w:pPr>
        <w:rPr>
          <w:rFonts w:hint="default" w:ascii="宋体" w:hAnsi="宋体" w:eastAsia="宋体" w:cs="宋体"/>
          <w:b/>
          <w:color w:val="auto"/>
          <w:sz w:val="24"/>
          <w:highlight w:val="none"/>
          <w:lang w:val="en-US" w:eastAsia="zh-CN"/>
        </w:rPr>
      </w:pPr>
    </w:p>
    <w:p>
      <w:pPr>
        <w:rPr>
          <w:rFonts w:hint="eastAsia" w:ascii="宋体" w:hAnsi="宋体" w:eastAsia="宋体" w:cs="宋体"/>
          <w:b/>
          <w:color w:val="auto"/>
          <w:sz w:val="24"/>
          <w:highlight w:val="none"/>
        </w:rPr>
      </w:pPr>
    </w:p>
    <w:p>
      <w:pPr>
        <w:rPr>
          <w:rFonts w:hint="eastAsia" w:ascii="宋体" w:hAnsi="宋体" w:eastAsia="宋体" w:cs="宋体"/>
          <w:b/>
          <w:color w:val="auto"/>
          <w:sz w:val="24"/>
          <w:highlight w:val="none"/>
        </w:rPr>
      </w:pPr>
    </w:p>
    <w:p>
      <w:pPr>
        <w:rPr>
          <w:rFonts w:hint="eastAsia" w:ascii="宋体" w:hAnsi="宋体" w:eastAsia="宋体" w:cs="宋体"/>
          <w:b/>
          <w:color w:val="auto"/>
          <w:sz w:val="24"/>
          <w:highlight w:val="none"/>
          <w:lang w:val="en-US" w:eastAsia="zh-CN"/>
        </w:rPr>
      </w:pPr>
    </w:p>
    <w:p>
      <w:pPr>
        <w:rPr>
          <w:rFonts w:hint="eastAsia" w:ascii="宋体" w:hAnsi="宋体" w:eastAsia="宋体" w:cs="宋体"/>
          <w:b/>
          <w:color w:val="auto"/>
          <w:sz w:val="24"/>
          <w:highlight w:val="none"/>
          <w:lang w:val="en-US" w:eastAsia="zh-CN"/>
        </w:rPr>
      </w:pPr>
    </w:p>
    <w:p>
      <w:pPr>
        <w:rPr>
          <w:rFonts w:hint="eastAsia" w:ascii="宋体" w:hAnsi="宋体" w:eastAsia="宋体" w:cs="宋体"/>
          <w:b/>
          <w:color w:val="auto"/>
          <w:sz w:val="24"/>
          <w:highlight w:val="none"/>
          <w:lang w:val="en-US" w:eastAsia="zh-CN"/>
        </w:rPr>
      </w:pPr>
    </w:p>
    <w:p>
      <w:pPr>
        <w:rPr>
          <w:rFonts w:hint="eastAsia" w:ascii="宋体" w:hAnsi="宋体" w:eastAsia="宋体" w:cs="宋体"/>
          <w:b/>
          <w:color w:val="auto"/>
          <w:sz w:val="24"/>
          <w:highlight w:val="none"/>
          <w:lang w:val="en-US" w:eastAsia="zh-CN"/>
        </w:rPr>
      </w:pPr>
    </w:p>
    <w:p>
      <w:pPr>
        <w:rPr>
          <w:rFonts w:hint="eastAsia" w:ascii="宋体" w:hAnsi="宋体" w:eastAsia="宋体" w:cs="宋体"/>
          <w:b/>
          <w:color w:val="auto"/>
          <w:sz w:val="24"/>
          <w:highlight w:val="none"/>
          <w:lang w:val="en-US" w:eastAsia="zh-CN"/>
        </w:rPr>
      </w:pPr>
    </w:p>
    <w:p>
      <w:pPr>
        <w:rPr>
          <w:rFonts w:hint="eastAsia" w:ascii="宋体" w:hAnsi="宋体" w:eastAsia="宋体" w:cs="宋体"/>
          <w:b/>
          <w:color w:val="auto"/>
          <w:sz w:val="24"/>
          <w:highlight w:val="none"/>
          <w:lang w:val="en-US" w:eastAsia="zh-CN"/>
        </w:rPr>
      </w:pPr>
    </w:p>
    <w:p>
      <w:pPr>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其他资格证明文件</w:t>
      </w:r>
    </w:p>
    <w:p>
      <w:pPr>
        <w:rPr>
          <w:rFonts w:hint="eastAsia" w:ascii="宋体" w:hAnsi="宋体" w:eastAsia="宋体" w:cs="宋体"/>
          <w:b/>
          <w:color w:val="auto"/>
          <w:sz w:val="24"/>
          <w:highlight w:val="none"/>
        </w:rPr>
      </w:pPr>
    </w:p>
    <w:p>
      <w:pPr>
        <w:autoSpaceDE w:val="0"/>
        <w:autoSpaceDN w:val="0"/>
        <w:ind w:right="1400"/>
        <w:rPr>
          <w:rFonts w:hint="eastAsia" w:ascii="宋体" w:hAnsi="宋体" w:eastAsia="宋体" w:cs="宋体"/>
          <w:color w:val="auto"/>
          <w:sz w:val="24"/>
          <w:highlight w:val="none"/>
        </w:rPr>
      </w:pPr>
      <w:r>
        <w:rPr>
          <w:rFonts w:hint="eastAsia" w:ascii="宋体" w:hAnsi="宋体" w:eastAsia="宋体" w:cs="宋体"/>
          <w:color w:val="auto"/>
          <w:sz w:val="24"/>
          <w:highlight w:val="none"/>
        </w:rPr>
        <w:t>一、有效的营业执照副本复印件（如非“三证合一”证照，同时提供税务登记证及组织机构代码证副本复印件）（加盖公章）</w:t>
      </w:r>
    </w:p>
    <w:p>
      <w:pPr>
        <w:autoSpaceDE w:val="0"/>
        <w:autoSpaceDN w:val="0"/>
        <w:ind w:right="1400"/>
        <w:rPr>
          <w:rFonts w:hint="eastAsia" w:ascii="宋体" w:hAnsi="宋体" w:eastAsia="宋体" w:cs="宋体"/>
          <w:color w:val="auto"/>
          <w:sz w:val="24"/>
          <w:highlight w:val="none"/>
        </w:rPr>
      </w:pPr>
    </w:p>
    <w:p>
      <w:pPr>
        <w:rPr>
          <w:rFonts w:hint="eastAsia" w:ascii="宋体" w:hAnsi="宋体" w:eastAsia="宋体" w:cs="宋体"/>
          <w:b/>
          <w:color w:val="auto"/>
          <w:sz w:val="36"/>
          <w:szCs w:val="36"/>
          <w:highlight w:val="none"/>
          <w:lang w:val="en-US" w:eastAsia="zh-CN"/>
        </w:rPr>
      </w:pPr>
      <w:r>
        <w:rPr>
          <w:rFonts w:hint="eastAsia" w:ascii="宋体" w:hAnsi="宋体" w:eastAsia="宋体" w:cs="宋体"/>
          <w:color w:val="auto"/>
          <w:sz w:val="24"/>
          <w:highlight w:val="none"/>
          <w:lang w:eastAsia="zh-CN"/>
        </w:rPr>
        <w:t>二</w:t>
      </w:r>
      <w:r>
        <w:rPr>
          <w:rFonts w:hint="eastAsia" w:ascii="宋体" w:hAnsi="宋体" w:eastAsia="宋体" w:cs="宋体"/>
          <w:color w:val="auto"/>
          <w:sz w:val="24"/>
          <w:highlight w:val="none"/>
        </w:rPr>
        <w:t>、详见招标文件第一</w:t>
      </w:r>
      <w:r>
        <w:rPr>
          <w:rFonts w:hint="eastAsia" w:ascii="宋体" w:hAnsi="宋体" w:eastAsia="宋体" w:cs="宋体"/>
          <w:color w:val="auto"/>
          <w:sz w:val="24"/>
          <w:highlight w:val="none"/>
          <w:lang w:val="en-US" w:eastAsia="zh-CN"/>
        </w:rPr>
        <w:t>章</w:t>
      </w:r>
      <w:r>
        <w:rPr>
          <w:rFonts w:hint="eastAsia" w:ascii="宋体" w:hAnsi="宋体" w:eastAsia="宋体" w:cs="宋体"/>
          <w:color w:val="auto"/>
          <w:sz w:val="24"/>
          <w:highlight w:val="none"/>
        </w:rPr>
        <w:t>“投标邀请”中的“投标人资格</w:t>
      </w:r>
      <w:r>
        <w:rPr>
          <w:rFonts w:hint="eastAsia" w:ascii="宋体" w:hAnsi="宋体" w:eastAsia="宋体" w:cs="宋体"/>
          <w:color w:val="auto"/>
          <w:sz w:val="24"/>
          <w:highlight w:val="none"/>
          <w:lang w:val="en-US" w:eastAsia="zh-CN"/>
        </w:rPr>
        <w:t>要求</w:t>
      </w:r>
      <w:r>
        <w:rPr>
          <w:rFonts w:hint="eastAsia" w:ascii="宋体" w:hAnsi="宋体" w:eastAsia="宋体" w:cs="宋体"/>
          <w:color w:val="auto"/>
          <w:sz w:val="24"/>
          <w:highlight w:val="none"/>
        </w:rPr>
        <w:t>”</w:t>
      </w:r>
    </w:p>
    <w:p>
      <w:pPr>
        <w:rPr>
          <w:rFonts w:hint="eastAsia" w:ascii="宋体" w:hAnsi="宋体" w:eastAsia="宋体" w:cs="宋体"/>
          <w:b/>
          <w:color w:val="auto"/>
          <w:szCs w:val="21"/>
          <w:highlight w:val="none"/>
        </w:rPr>
      </w:pPr>
    </w:p>
    <w:p>
      <w:pPr>
        <w:spacing w:before="25" w:after="25"/>
        <w:jc w:val="left"/>
        <w:outlineLvl w:val="0"/>
        <w:rPr>
          <w:rFonts w:hint="eastAsia" w:ascii="宋体" w:hAnsi="宋体" w:eastAsia="宋体" w:cs="宋体"/>
          <w:b/>
          <w:bCs/>
          <w:color w:val="auto"/>
          <w:spacing w:val="10"/>
          <w:kern w:val="0"/>
          <w:sz w:val="28"/>
          <w:szCs w:val="28"/>
          <w:highlight w:val="none"/>
        </w:rPr>
      </w:pPr>
      <w:r>
        <w:rPr>
          <w:rFonts w:hint="eastAsia" w:ascii="宋体" w:hAnsi="宋体" w:eastAsia="宋体" w:cs="宋体"/>
          <w:b/>
          <w:bCs/>
          <w:color w:val="auto"/>
          <w:spacing w:val="10"/>
          <w:kern w:val="0"/>
          <w:sz w:val="24"/>
          <w:szCs w:val="24"/>
          <w:highlight w:val="none"/>
        </w:rPr>
        <w:br w:type="page"/>
      </w:r>
      <w:r>
        <w:rPr>
          <w:rFonts w:hint="eastAsia" w:ascii="宋体" w:hAnsi="宋体" w:eastAsia="宋体" w:cs="宋体"/>
          <w:b/>
          <w:bCs/>
          <w:color w:val="auto"/>
          <w:spacing w:val="10"/>
          <w:kern w:val="0"/>
          <w:sz w:val="28"/>
          <w:szCs w:val="28"/>
          <w:highlight w:val="none"/>
        </w:rPr>
        <w:t>附件二、中标服务费承诺书（格式）</w:t>
      </w:r>
    </w:p>
    <w:p>
      <w:pPr>
        <w:adjustRightInd w:val="0"/>
        <w:snapToGrid w:val="0"/>
        <w:spacing w:line="360" w:lineRule="auto"/>
        <w:rPr>
          <w:rFonts w:hint="eastAsia" w:ascii="宋体" w:hAnsi="宋体" w:eastAsia="宋体" w:cs="宋体"/>
          <w:b/>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本招标文件第六章</w:t>
      </w:r>
      <w:r>
        <w:rPr>
          <w:rFonts w:hint="eastAsia" w:ascii="宋体" w:hAnsi="宋体" w:eastAsia="宋体" w:cs="宋体"/>
          <w:b w:val="0"/>
          <w:bCs/>
          <w:color w:val="auto"/>
          <w:highlight w:val="none"/>
        </w:rPr>
        <w:t>投标文件格式</w:t>
      </w:r>
      <w:r>
        <w:rPr>
          <w:rFonts w:hint="eastAsia" w:ascii="宋体" w:hAnsi="宋体" w:eastAsia="宋体" w:cs="宋体"/>
          <w:b w:val="0"/>
          <w:bCs/>
          <w:color w:val="auto"/>
          <w:highlight w:val="none"/>
          <w:lang w:val="en-US" w:eastAsia="zh-CN"/>
        </w:rPr>
        <w:t>的</w:t>
      </w:r>
      <w:r>
        <w:rPr>
          <w:rFonts w:hint="eastAsia" w:ascii="宋体" w:hAnsi="宋体" w:eastAsia="宋体" w:cs="宋体"/>
          <w:b w:val="0"/>
          <w:bCs/>
          <w:color w:val="auto"/>
          <w:highlight w:val="none"/>
        </w:rPr>
        <w:t>要求</w:t>
      </w:r>
      <w:r>
        <w:rPr>
          <w:rFonts w:hint="eastAsia" w:ascii="宋体" w:hAnsi="宋体" w:eastAsia="宋体" w:cs="宋体"/>
          <w:b w:val="0"/>
          <w:bCs/>
          <w:color w:val="auto"/>
          <w:highlight w:val="none"/>
          <w:lang w:val="en-US" w:eastAsia="zh-CN"/>
        </w:rPr>
        <w:t>中“</w:t>
      </w:r>
      <w:r>
        <w:rPr>
          <w:rFonts w:hint="eastAsia" w:ascii="宋体" w:hAnsi="宋体" w:eastAsia="宋体" w:cs="宋体"/>
          <w:b w:val="0"/>
          <w:bCs/>
          <w:color w:val="auto"/>
          <w:szCs w:val="21"/>
          <w:highlight w:val="none"/>
          <w:lang w:val="en-US" w:eastAsia="zh-CN"/>
        </w:rPr>
        <w:t>格式</w:t>
      </w:r>
      <w:r>
        <w:rPr>
          <w:rFonts w:hint="eastAsia" w:hAnsi="宋体" w:cs="宋体"/>
          <w:b w:val="0"/>
          <w:bCs/>
          <w:color w:val="auto"/>
          <w:szCs w:val="21"/>
          <w:highlight w:val="none"/>
          <w:lang w:val="en-US" w:eastAsia="zh-CN"/>
        </w:rPr>
        <w:t>二十</w:t>
      </w:r>
      <w:r>
        <w:rPr>
          <w:rFonts w:hint="eastAsia" w:ascii="宋体" w:hAnsi="宋体" w:eastAsia="宋体" w:cs="宋体"/>
          <w:b w:val="0"/>
          <w:bCs/>
          <w:color w:val="auto"/>
          <w:szCs w:val="21"/>
          <w:highlight w:val="none"/>
          <w:lang w:val="en-US" w:eastAsia="zh-CN"/>
        </w:rPr>
        <w:t>：采购代理服务费支付承诺书</w:t>
      </w:r>
      <w:r>
        <w:rPr>
          <w:rFonts w:hint="eastAsia" w:ascii="宋体" w:hAnsi="宋体" w:eastAsia="宋体" w:cs="宋体"/>
          <w:b w:val="0"/>
          <w:bCs/>
          <w:color w:val="auto"/>
          <w:highlight w:val="none"/>
          <w:lang w:val="en-US" w:eastAsia="zh-CN"/>
        </w:rPr>
        <w:t>”不适用，请根据以下格式填写</w:t>
      </w:r>
      <w:r>
        <w:rPr>
          <w:rFonts w:hint="eastAsia" w:ascii="宋体" w:hAnsi="宋体" w:eastAsia="宋体" w:cs="宋体"/>
          <w:b w:val="0"/>
          <w:bCs/>
          <w:color w:val="auto"/>
          <w:szCs w:val="21"/>
          <w:highlight w:val="none"/>
          <w:lang w:eastAsia="zh-CN"/>
        </w:rPr>
        <w:t>）</w:t>
      </w:r>
    </w:p>
    <w:p>
      <w:pPr>
        <w:adjustRightInd w:val="0"/>
        <w:snapToGrid w:val="0"/>
        <w:spacing w:line="360" w:lineRule="auto"/>
        <w:rPr>
          <w:rFonts w:hint="eastAsia" w:ascii="宋体" w:hAnsi="宋体" w:eastAsia="宋体" w:cs="宋体"/>
          <w:b/>
          <w:color w:val="auto"/>
          <w:szCs w:val="21"/>
          <w:highlight w:val="none"/>
        </w:rPr>
      </w:pPr>
    </w:p>
    <w:p>
      <w:pPr>
        <w:adjustRightInd w:val="0"/>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国义招标股份有限公司：</w:t>
      </w:r>
    </w:p>
    <w:p>
      <w:pPr>
        <w:adjustRightInd w:val="0"/>
        <w:snapToGrid w:val="0"/>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w:t>
      </w:r>
      <w:r>
        <w:rPr>
          <w:rFonts w:hint="eastAsia" w:ascii="宋体" w:hAnsi="宋体" w:eastAsia="宋体" w:cs="宋体"/>
          <w:color w:val="auto"/>
          <w:szCs w:val="21"/>
          <w:highlight w:val="none"/>
          <w:u w:val="single"/>
        </w:rPr>
        <w:t xml:space="preserve">   （投标人名称）   </w:t>
      </w:r>
      <w:r>
        <w:rPr>
          <w:rFonts w:hint="eastAsia" w:ascii="宋体" w:hAnsi="宋体" w:eastAsia="宋体" w:cs="宋体"/>
          <w:color w:val="auto"/>
          <w:szCs w:val="21"/>
          <w:highlight w:val="none"/>
        </w:rPr>
        <w:t>公司在参加在贵司进行的</w:t>
      </w:r>
      <w:r>
        <w:rPr>
          <w:rFonts w:hint="eastAsia" w:ascii="宋体" w:hAnsi="宋体" w:eastAsia="宋体" w:cs="宋体"/>
          <w:color w:val="auto"/>
          <w:szCs w:val="21"/>
          <w:highlight w:val="none"/>
          <w:u w:val="single"/>
        </w:rPr>
        <w:t xml:space="preserve">   （项目名称）  </w:t>
      </w:r>
      <w:r>
        <w:rPr>
          <w:rFonts w:hint="eastAsia" w:ascii="宋体" w:hAnsi="宋体" w:eastAsia="宋体" w:cs="宋体"/>
          <w:color w:val="auto"/>
          <w:szCs w:val="21"/>
          <w:highlight w:val="none"/>
        </w:rPr>
        <w:t>(项目编号：)招标中如获中标，我司保证在领取“中标通知书”前，按本项目投标人须知相关规定向贵司缴纳 “中标服务费”。</w:t>
      </w:r>
    </w:p>
    <w:p>
      <w:pPr>
        <w:adjustRightInd w:val="0"/>
        <w:snapToGrid w:val="0"/>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如我方违约，愿凭贵方开出的违约通知，按上述承付金额的200%由采购人在支付我司的合同款中代为扣付。</w:t>
      </w:r>
    </w:p>
    <w:p>
      <w:pPr>
        <w:adjustRightInd w:val="0"/>
        <w:snapToGrid w:val="0"/>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另关于我司缴纳中标服务费后开具中标服务费发票的事宜，我司声明如下：</w:t>
      </w:r>
    </w:p>
    <w:p>
      <w:pP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A：</w:t>
      </w:r>
      <w:r>
        <w:rPr>
          <w:rFonts w:hint="eastAsia" w:ascii="宋体" w:hAnsi="宋体" w:eastAsia="宋体" w:cs="宋体"/>
          <w:color w:val="auto"/>
          <w:szCs w:val="21"/>
          <w:highlight w:val="none"/>
        </w:rPr>
        <w:t>如需开具</w:t>
      </w:r>
      <w:r>
        <w:rPr>
          <w:rFonts w:hint="eastAsia" w:hAnsi="宋体" w:cs="宋体"/>
          <w:b/>
          <w:color w:val="auto"/>
          <w:szCs w:val="21"/>
          <w:highlight w:val="none"/>
          <w:u w:val="single"/>
          <w:lang w:eastAsia="zh-CN"/>
        </w:rPr>
        <w:t>普票数电发票</w:t>
      </w:r>
      <w:r>
        <w:rPr>
          <w:rFonts w:hint="eastAsia" w:ascii="宋体" w:hAnsi="宋体" w:eastAsia="宋体" w:cs="宋体"/>
          <w:color w:val="auto"/>
          <w:szCs w:val="21"/>
          <w:highlight w:val="none"/>
        </w:rPr>
        <w:t>，请于下方（ ）打“√”</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）请向我司开具中标费的“</w:t>
      </w:r>
      <w:r>
        <w:rPr>
          <w:rFonts w:hint="eastAsia" w:hAnsi="宋体" w:cs="宋体"/>
          <w:b/>
          <w:color w:val="auto"/>
          <w:szCs w:val="21"/>
          <w:highlight w:val="none"/>
          <w:u w:val="single"/>
          <w:lang w:eastAsia="zh-CN"/>
        </w:rPr>
        <w:t>普票数电发票</w:t>
      </w: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，开票信息如下：</w:t>
      </w:r>
    </w:p>
    <w:p>
      <w:pP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1、</w:t>
      </w:r>
      <w:r>
        <w:rPr>
          <w:rFonts w:hint="eastAsia" w:ascii="宋体" w:hAnsi="宋体" w:eastAsia="宋体" w:cs="宋体"/>
          <w:color w:val="auto"/>
          <w:szCs w:val="21"/>
          <w:highlight w:val="none"/>
        </w:rPr>
        <w:t>我司工商注册名称为：；</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2、纳税人识别号（国税）/或统一社会信用代码：</w:t>
      </w:r>
      <w:r>
        <w:rPr>
          <w:rFonts w:hint="eastAsia" w:ascii="宋体" w:hAnsi="宋体" w:eastAsia="宋体" w:cs="宋体"/>
          <w:color w:val="auto"/>
          <w:szCs w:val="21"/>
          <w:highlight w:val="none"/>
          <w:u w:val="single"/>
        </w:rPr>
        <w:t xml:space="preserve">    （请填写）              </w:t>
      </w:r>
    </w:p>
    <w:p>
      <w:pP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B：</w:t>
      </w:r>
      <w:r>
        <w:rPr>
          <w:rFonts w:hint="eastAsia" w:ascii="宋体" w:hAnsi="宋体" w:eastAsia="宋体" w:cs="宋体"/>
          <w:color w:val="auto"/>
          <w:szCs w:val="21"/>
          <w:highlight w:val="none"/>
        </w:rPr>
        <w:t>如需开具</w:t>
      </w:r>
      <w:r>
        <w:rPr>
          <w:rFonts w:hint="eastAsia" w:hAnsi="宋体" w:cs="宋体"/>
          <w:color w:val="auto"/>
          <w:szCs w:val="21"/>
          <w:highlight w:val="none"/>
          <w:lang w:eastAsia="zh-CN"/>
        </w:rPr>
        <w:t>专用数电发票</w:t>
      </w:r>
      <w:r>
        <w:rPr>
          <w:rFonts w:hint="eastAsia" w:ascii="宋体" w:hAnsi="宋体" w:eastAsia="宋体" w:cs="宋体"/>
          <w:color w:val="auto"/>
          <w:szCs w:val="21"/>
          <w:highlight w:val="none"/>
        </w:rPr>
        <w:t>，请于下方（ ）打“√”,并提供相关资料</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）请向我司开具中标费的“</w:t>
      </w:r>
      <w:r>
        <w:rPr>
          <w:rFonts w:hint="eastAsia" w:hAnsi="宋体" w:cs="宋体"/>
          <w:b/>
          <w:color w:val="auto"/>
          <w:szCs w:val="21"/>
          <w:highlight w:val="none"/>
          <w:u w:val="single"/>
          <w:lang w:eastAsia="zh-CN"/>
        </w:rPr>
        <w:t>专用数电发票</w:t>
      </w: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，开票信息为：</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1、我司工商注册名称：</w:t>
      </w:r>
      <w:r>
        <w:rPr>
          <w:rFonts w:hint="eastAsia" w:ascii="宋体" w:hAnsi="宋体" w:eastAsia="宋体" w:cs="宋体"/>
          <w:color w:val="auto"/>
          <w:szCs w:val="21"/>
          <w:highlight w:val="none"/>
          <w:u w:val="single"/>
        </w:rPr>
        <w:t xml:space="preserve">    （请填写）              </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2、纳税人识别号（国税）/或统一社会信用代码：</w:t>
      </w:r>
      <w:r>
        <w:rPr>
          <w:rFonts w:hint="eastAsia" w:ascii="宋体" w:hAnsi="宋体" w:eastAsia="宋体" w:cs="宋体"/>
          <w:color w:val="auto"/>
          <w:szCs w:val="21"/>
          <w:highlight w:val="none"/>
          <w:u w:val="single"/>
        </w:rPr>
        <w:t xml:space="preserve">    （请填写）              </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3、注册地址：</w:t>
      </w:r>
      <w:r>
        <w:rPr>
          <w:rFonts w:hint="eastAsia" w:ascii="宋体" w:hAnsi="宋体" w:eastAsia="宋体" w:cs="宋体"/>
          <w:color w:val="auto"/>
          <w:szCs w:val="21"/>
          <w:highlight w:val="none"/>
          <w:u w:val="single"/>
        </w:rPr>
        <w:t xml:space="preserve">    （请填写）              </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4、办公电话（固话）：</w:t>
      </w:r>
      <w:r>
        <w:rPr>
          <w:rFonts w:hint="eastAsia" w:ascii="宋体" w:hAnsi="宋体" w:eastAsia="宋体" w:cs="宋体"/>
          <w:color w:val="auto"/>
          <w:szCs w:val="21"/>
          <w:highlight w:val="none"/>
          <w:u w:val="single"/>
        </w:rPr>
        <w:t xml:space="preserve">    （请填写）              </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5、开户银行及账号：</w:t>
      </w:r>
      <w:r>
        <w:rPr>
          <w:rFonts w:hint="eastAsia" w:ascii="宋体" w:hAnsi="宋体" w:eastAsia="宋体" w:cs="宋体"/>
          <w:color w:val="auto"/>
          <w:szCs w:val="21"/>
          <w:highlight w:val="none"/>
          <w:u w:val="single"/>
        </w:rPr>
        <w:t xml:space="preserve">    （请填写）              </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6、一般纳税人资格证书/或加盖了税务局“增值税一般纳税人”条章的国税登记证扫描件/或在所属国税局网站的查询结果截图</w:t>
      </w:r>
      <w:r>
        <w:rPr>
          <w:rFonts w:hint="eastAsia" w:ascii="宋体" w:hAnsi="宋体" w:eastAsia="宋体" w:cs="宋体"/>
          <w:color w:val="auto"/>
          <w:szCs w:val="21"/>
          <w:highlight w:val="none"/>
          <w:u w:val="single"/>
        </w:rPr>
        <w:t>（截图后附）</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中标单位联系人：， 手机</w:t>
      </w:r>
      <w:r>
        <w:rPr>
          <w:rFonts w:hint="eastAsia" w:ascii="宋体" w:hAnsi="宋体" w:eastAsia="宋体" w:cs="宋体"/>
          <w:color w:val="auto"/>
          <w:szCs w:val="21"/>
          <w:highlight w:val="none"/>
          <w:u w:val="single"/>
        </w:rPr>
        <w:t>号：            ;</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单位地址：电话：传真：</w:t>
      </w:r>
      <w:r>
        <w:rPr>
          <w:rFonts w:hint="eastAsia" w:ascii="宋体" w:hAnsi="宋体" w:eastAsia="宋体" w:cs="宋体"/>
          <w:color w:val="auto"/>
          <w:szCs w:val="21"/>
          <w:highlight w:val="none"/>
          <w:u w:val="single"/>
        </w:rPr>
        <w:t xml:space="preserve">        。</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特此声明。</w:t>
      </w: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投标人法定代表人（或法定代表人授权代表）签字：                   </w:t>
      </w:r>
    </w:p>
    <w:p>
      <w:pPr>
        <w:rPr>
          <w:rFonts w:hint="eastAsia" w:ascii="宋体" w:hAnsi="宋体" w:eastAsia="宋体" w:cs="宋体"/>
          <w:color w:val="auto"/>
          <w:szCs w:val="24"/>
          <w:highlight w:val="none"/>
        </w:rPr>
      </w:pPr>
      <w:r>
        <w:rPr>
          <w:rFonts w:hint="eastAsia" w:ascii="宋体" w:hAnsi="宋体" w:eastAsia="宋体" w:cs="宋体"/>
          <w:color w:val="auto"/>
          <w:szCs w:val="21"/>
          <w:highlight w:val="none"/>
        </w:rPr>
        <w:t xml:space="preserve">投标人名称（加盖公章）：                </w:t>
      </w:r>
    </w:p>
    <w:p>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日期：年</w:t>
      </w: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rPr>
        <w:t>日</w:t>
      </w:r>
    </w:p>
    <w:p>
      <w:pPr>
        <w:rPr>
          <w:rFonts w:hint="eastAsia" w:ascii="宋体" w:hAnsi="宋体" w:eastAsia="宋体" w:cs="宋体"/>
          <w:color w:val="auto"/>
          <w:szCs w:val="24"/>
          <w:highlight w:val="none"/>
        </w:rPr>
      </w:pPr>
    </w:p>
    <w:p>
      <w:pPr>
        <w:rPr>
          <w:rFonts w:hint="eastAsia" w:hAnsi="宋体"/>
          <w:color w:val="auto"/>
          <w:highlight w:val="none"/>
        </w:rPr>
      </w:pPr>
    </w:p>
    <w:sectPr>
      <w:footerReference r:id="rId3" w:type="default"/>
      <w:pgSz w:w="11900" w:h="16840"/>
      <w:pgMar w:top="500" w:right="520" w:bottom="280" w:left="900" w:header="0" w:footer="1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华文宋体">
    <w:altName w:val="宋体"/>
    <w:panose1 w:val="02010600040101010101"/>
    <w:charset w:val="86"/>
    <w:family w:val="auto"/>
    <w:pitch w:val="default"/>
    <w:sig w:usb0="00000000" w:usb1="00000000" w:usb2="00000000" w:usb3="00000000" w:csb0="0004009F" w:csb1="DFD70000"/>
  </w:font>
  <w:font w:name="Segoe UI Symbol">
    <w:panose1 w:val="020B0502040204020203"/>
    <w:charset w:val="00"/>
    <w:family w:val="swiss"/>
    <w:pitch w:val="default"/>
    <w:sig w:usb0="8000006F" w:usb1="1200FBEF" w:usb2="0064C000" w:usb3="00000002" w:csb0="00000001" w:csb1="4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insoku w:val="0"/>
      <w:overflowPunct w:val="0"/>
      <w:spacing w:line="14" w:lineRule="auto"/>
      <w:ind w:left="0"/>
      <w:rPr>
        <w:rFonts w:ascii="Times New Roman" w:eastAsia="等线"/>
        <w:sz w:val="20"/>
      </w:rPr>
    </w:pPr>
    <w:r>
      <mc:AlternateContent>
        <mc:Choice Requires="wps">
          <w:drawing>
            <wp:anchor distT="0" distB="0" distL="114300" distR="114300" simplePos="0" relativeHeight="251659264" behindDoc="1" locked="0" layoutInCell="0" allowOverlap="1">
              <wp:simplePos x="0" y="0"/>
              <wp:positionH relativeFrom="page">
                <wp:posOffset>3459480</wp:posOffset>
              </wp:positionH>
              <wp:positionV relativeFrom="page">
                <wp:posOffset>10494645</wp:posOffset>
              </wp:positionV>
              <wp:extent cx="633095" cy="2032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633095" cy="203200"/>
                      </a:xfrm>
                      <a:prstGeom prst="rect">
                        <a:avLst/>
                      </a:prstGeom>
                      <a:noFill/>
                      <a:ln>
                        <a:noFill/>
                      </a:ln>
                    </wps:spPr>
                    <wps:txbx>
                      <w:txbxContent>
                        <w:p>
                          <w:pPr>
                            <w:pStyle w:val="2"/>
                            <w:kinsoku w:val="0"/>
                            <w:overflowPunct w:val="0"/>
                            <w:spacing w:before="2"/>
                            <w:ind w:left="20"/>
                            <w:rPr>
                              <w:sz w:val="24"/>
                              <w:szCs w:val="24"/>
                            </w:rPr>
                          </w:pPr>
                          <w:r>
                            <w:rPr>
                              <w:sz w:val="24"/>
                              <w:szCs w:val="24"/>
                            </w:rPr>
                            <w:t>-</w:t>
                          </w:r>
                          <w:r>
                            <w:rPr>
                              <w:rFonts w:hint="eastAsia"/>
                              <w:sz w:val="24"/>
                              <w:szCs w:val="24"/>
                            </w:rPr>
                            <w:t>第</w:t>
                          </w:r>
                          <w:r>
                            <w:rPr>
                              <w:sz w:val="24"/>
                              <w:szCs w:val="24"/>
                            </w:rPr>
                            <w:fldChar w:fldCharType="begin"/>
                          </w:r>
                          <w:r>
                            <w:rPr>
                              <w:sz w:val="24"/>
                              <w:szCs w:val="24"/>
                            </w:rPr>
                            <w:instrText xml:space="preserve"> PAGE </w:instrText>
                          </w:r>
                          <w:r>
                            <w:rPr>
                              <w:sz w:val="24"/>
                              <w:szCs w:val="24"/>
                            </w:rPr>
                            <w:fldChar w:fldCharType="separate"/>
                          </w:r>
                          <w:r>
                            <w:rPr>
                              <w:sz w:val="24"/>
                              <w:szCs w:val="24"/>
                            </w:rPr>
                            <w:t>29</w:t>
                          </w:r>
                          <w:r>
                            <w:rPr>
                              <w:sz w:val="24"/>
                              <w:szCs w:val="24"/>
                            </w:rPr>
                            <w:fldChar w:fldCharType="end"/>
                          </w:r>
                          <w:r>
                            <w:rPr>
                              <w:rFonts w:hint="eastAsia"/>
                              <w:sz w:val="24"/>
                              <w:szCs w:val="24"/>
                            </w:rPr>
                            <w:t>页</w:t>
                          </w:r>
                          <w:r>
                            <w:rPr>
                              <w:sz w:val="24"/>
                              <w:szCs w:val="24"/>
                            </w:rPr>
                            <w:t>-</w:t>
                          </w:r>
                        </w:p>
                      </w:txbxContent>
                    </wps:txbx>
                    <wps:bodyPr wrap="square" lIns="0" tIns="0" rIns="0" bIns="0" upright="1"/>
                  </wps:wsp>
                </a:graphicData>
              </a:graphic>
            </wp:anchor>
          </w:drawing>
        </mc:Choice>
        <mc:Fallback>
          <w:pict>
            <v:shape id="文本框 2" o:spid="_x0000_s1026" o:spt="202" type="#_x0000_t202" style="position:absolute;left:0pt;margin-left:272.4pt;margin-top:826.35pt;height:16pt;width:49.85pt;mso-position-horizontal-relative:page;mso-position-vertical-relative:page;z-index:-251657216;mso-width-relative:page;mso-height-relative:page;" filled="f" stroked="f" coordsize="21600,21600" o:allowincell="f" o:gfxdata="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ICVD13bAAAADQEAAA8AAAAAAAAAAQAgAAAAIgAAAGRycy9kb3du&#10;cmV2LnhtbFBLAQIUABQAAAAIAIdO4kBbN6CtwwEAAH8DAAAOAAAAAAAAAAEAIAAAACoBAABkcnMv&#10;ZTJvRG9jLnhtbFBLBQYAAAAABgAGAFkBAABfBQAAAAA=&#10;">
              <v:fill on="f" focussize="0,0"/>
              <v:stroke on="f"/>
              <v:imagedata o:title=""/>
              <o:lock v:ext="edit" aspectratio="f"/>
              <v:textbox inset="0mm,0mm,0mm,0mm">
                <w:txbxContent>
                  <w:p>
                    <w:pPr>
                      <w:pStyle w:val="2"/>
                      <w:kinsoku w:val="0"/>
                      <w:overflowPunct w:val="0"/>
                      <w:spacing w:before="2"/>
                      <w:ind w:left="20"/>
                      <w:rPr>
                        <w:sz w:val="24"/>
                        <w:szCs w:val="24"/>
                      </w:rPr>
                    </w:pPr>
                    <w:r>
                      <w:rPr>
                        <w:sz w:val="24"/>
                        <w:szCs w:val="24"/>
                      </w:rPr>
                      <w:t>-</w:t>
                    </w:r>
                    <w:r>
                      <w:rPr>
                        <w:rFonts w:hint="eastAsia"/>
                        <w:sz w:val="24"/>
                        <w:szCs w:val="24"/>
                      </w:rPr>
                      <w:t>第</w:t>
                    </w:r>
                    <w:r>
                      <w:rPr>
                        <w:sz w:val="24"/>
                        <w:szCs w:val="24"/>
                      </w:rPr>
                      <w:fldChar w:fldCharType="begin"/>
                    </w:r>
                    <w:r>
                      <w:rPr>
                        <w:sz w:val="24"/>
                        <w:szCs w:val="24"/>
                      </w:rPr>
                      <w:instrText xml:space="preserve"> PAGE </w:instrText>
                    </w:r>
                    <w:r>
                      <w:rPr>
                        <w:sz w:val="24"/>
                        <w:szCs w:val="24"/>
                      </w:rPr>
                      <w:fldChar w:fldCharType="separate"/>
                    </w:r>
                    <w:r>
                      <w:rPr>
                        <w:sz w:val="24"/>
                        <w:szCs w:val="24"/>
                      </w:rPr>
                      <w:t>29</w:t>
                    </w:r>
                    <w:r>
                      <w:rPr>
                        <w:sz w:val="24"/>
                        <w:szCs w:val="24"/>
                      </w:rPr>
                      <w:fldChar w:fldCharType="end"/>
                    </w:r>
                    <w:r>
                      <w:rPr>
                        <w:rFonts w:hint="eastAsia"/>
                        <w:sz w:val="24"/>
                        <w:szCs w:val="24"/>
                      </w:rPr>
                      <w:t>页</w:t>
                    </w:r>
                    <w:r>
                      <w:rPr>
                        <w:sz w:val="24"/>
                        <w:szCs w:val="24"/>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8B2F56"/>
    <w:multiLevelType w:val="singleLevel"/>
    <w:tmpl w:val="AA8B2F56"/>
    <w:lvl w:ilvl="0" w:tentative="0">
      <w:start w:val="18"/>
      <w:numFmt w:val="decimal"/>
      <w:suff w:val="nothing"/>
      <w:lvlText w:val="%1."/>
      <w:lvlJc w:val="left"/>
      <w:pPr>
        <w:tabs>
          <w:tab w:val="left" w:pos="0"/>
        </w:tabs>
        <w:ind w:left="454" w:leftChars="0" w:hanging="454"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doNotCompress"/>
  <w:doNotValidateAgainstSchema/>
  <w:doNotDemarcateInvalidXml/>
  <w:compat>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lMDBlOTM5ZTdlNWYzYWQ0OWUwNTg4M2EwNGNkYjEifQ=="/>
  </w:docVars>
  <w:rsids>
    <w:rsidRoot w:val="00172A27"/>
    <w:rsid w:val="00014475"/>
    <w:rsid w:val="00025C71"/>
    <w:rsid w:val="00042BC5"/>
    <w:rsid w:val="0005686F"/>
    <w:rsid w:val="000743C4"/>
    <w:rsid w:val="00074AC1"/>
    <w:rsid w:val="00075B80"/>
    <w:rsid w:val="00081D64"/>
    <w:rsid w:val="000B241F"/>
    <w:rsid w:val="000C54D7"/>
    <w:rsid w:val="000D768B"/>
    <w:rsid w:val="000E6780"/>
    <w:rsid w:val="00106E3C"/>
    <w:rsid w:val="00145B3D"/>
    <w:rsid w:val="00162D01"/>
    <w:rsid w:val="001655B7"/>
    <w:rsid w:val="00167FCA"/>
    <w:rsid w:val="0017344F"/>
    <w:rsid w:val="00190F8F"/>
    <w:rsid w:val="00192CF9"/>
    <w:rsid w:val="001C097A"/>
    <w:rsid w:val="001C2E41"/>
    <w:rsid w:val="001C72D2"/>
    <w:rsid w:val="001D43F0"/>
    <w:rsid w:val="001F2B68"/>
    <w:rsid w:val="002009B6"/>
    <w:rsid w:val="00235363"/>
    <w:rsid w:val="00240695"/>
    <w:rsid w:val="0024547E"/>
    <w:rsid w:val="00245ECE"/>
    <w:rsid w:val="0027271F"/>
    <w:rsid w:val="00272855"/>
    <w:rsid w:val="0027321D"/>
    <w:rsid w:val="002843ED"/>
    <w:rsid w:val="00286726"/>
    <w:rsid w:val="00286AF7"/>
    <w:rsid w:val="00293061"/>
    <w:rsid w:val="002A768F"/>
    <w:rsid w:val="002B32A7"/>
    <w:rsid w:val="002B3779"/>
    <w:rsid w:val="002C340F"/>
    <w:rsid w:val="002D66AB"/>
    <w:rsid w:val="002D7E03"/>
    <w:rsid w:val="002F4F34"/>
    <w:rsid w:val="002F70BE"/>
    <w:rsid w:val="0032177B"/>
    <w:rsid w:val="00323217"/>
    <w:rsid w:val="003440BE"/>
    <w:rsid w:val="00350D3E"/>
    <w:rsid w:val="00360044"/>
    <w:rsid w:val="003714C9"/>
    <w:rsid w:val="003716AD"/>
    <w:rsid w:val="003825FB"/>
    <w:rsid w:val="00387C9A"/>
    <w:rsid w:val="003A7EBD"/>
    <w:rsid w:val="003B03AD"/>
    <w:rsid w:val="003E3EC7"/>
    <w:rsid w:val="003F25F8"/>
    <w:rsid w:val="0040118B"/>
    <w:rsid w:val="00422D21"/>
    <w:rsid w:val="00444BCF"/>
    <w:rsid w:val="00462D22"/>
    <w:rsid w:val="00482839"/>
    <w:rsid w:val="00491FBB"/>
    <w:rsid w:val="00492D24"/>
    <w:rsid w:val="004970B6"/>
    <w:rsid w:val="004A1BCB"/>
    <w:rsid w:val="004A5B59"/>
    <w:rsid w:val="004B0112"/>
    <w:rsid w:val="004B06A8"/>
    <w:rsid w:val="004B2567"/>
    <w:rsid w:val="004B2924"/>
    <w:rsid w:val="004B5D7F"/>
    <w:rsid w:val="004C1B53"/>
    <w:rsid w:val="00512AB0"/>
    <w:rsid w:val="00520EA5"/>
    <w:rsid w:val="005304D2"/>
    <w:rsid w:val="00545CCA"/>
    <w:rsid w:val="005629F8"/>
    <w:rsid w:val="0056575C"/>
    <w:rsid w:val="0057305C"/>
    <w:rsid w:val="005873CC"/>
    <w:rsid w:val="00587754"/>
    <w:rsid w:val="005926B4"/>
    <w:rsid w:val="00596787"/>
    <w:rsid w:val="005B110A"/>
    <w:rsid w:val="005B7191"/>
    <w:rsid w:val="00602EF5"/>
    <w:rsid w:val="006035C6"/>
    <w:rsid w:val="006158F9"/>
    <w:rsid w:val="00615A93"/>
    <w:rsid w:val="00617E56"/>
    <w:rsid w:val="00625AE0"/>
    <w:rsid w:val="0063636D"/>
    <w:rsid w:val="00637E8E"/>
    <w:rsid w:val="0065013D"/>
    <w:rsid w:val="00650B2A"/>
    <w:rsid w:val="00653E89"/>
    <w:rsid w:val="00664DB1"/>
    <w:rsid w:val="006A6610"/>
    <w:rsid w:val="006B6E41"/>
    <w:rsid w:val="006C6D53"/>
    <w:rsid w:val="006F5DEA"/>
    <w:rsid w:val="00700584"/>
    <w:rsid w:val="00704E73"/>
    <w:rsid w:val="00706951"/>
    <w:rsid w:val="007268BA"/>
    <w:rsid w:val="007470FC"/>
    <w:rsid w:val="0075488F"/>
    <w:rsid w:val="00754EB6"/>
    <w:rsid w:val="00784299"/>
    <w:rsid w:val="007950A2"/>
    <w:rsid w:val="007975AF"/>
    <w:rsid w:val="007A2F54"/>
    <w:rsid w:val="007B0DF6"/>
    <w:rsid w:val="007C6E25"/>
    <w:rsid w:val="007D02AB"/>
    <w:rsid w:val="007E2656"/>
    <w:rsid w:val="00820D7C"/>
    <w:rsid w:val="00822ADF"/>
    <w:rsid w:val="0082791B"/>
    <w:rsid w:val="00842506"/>
    <w:rsid w:val="00856924"/>
    <w:rsid w:val="00876613"/>
    <w:rsid w:val="008772CF"/>
    <w:rsid w:val="00883075"/>
    <w:rsid w:val="008844A2"/>
    <w:rsid w:val="00886554"/>
    <w:rsid w:val="00892A7A"/>
    <w:rsid w:val="00894004"/>
    <w:rsid w:val="008D00E6"/>
    <w:rsid w:val="009069B9"/>
    <w:rsid w:val="00921528"/>
    <w:rsid w:val="00924AFB"/>
    <w:rsid w:val="00926A75"/>
    <w:rsid w:val="009322E7"/>
    <w:rsid w:val="00945C7D"/>
    <w:rsid w:val="00946530"/>
    <w:rsid w:val="00965A5F"/>
    <w:rsid w:val="00974E8E"/>
    <w:rsid w:val="00980294"/>
    <w:rsid w:val="00982C40"/>
    <w:rsid w:val="00994B88"/>
    <w:rsid w:val="00996114"/>
    <w:rsid w:val="009A4D3A"/>
    <w:rsid w:val="009B149E"/>
    <w:rsid w:val="009B5D1E"/>
    <w:rsid w:val="009E24E4"/>
    <w:rsid w:val="009E2579"/>
    <w:rsid w:val="009E7145"/>
    <w:rsid w:val="00A00CB3"/>
    <w:rsid w:val="00A045B5"/>
    <w:rsid w:val="00A4272E"/>
    <w:rsid w:val="00A66E7D"/>
    <w:rsid w:val="00A8515C"/>
    <w:rsid w:val="00A865F7"/>
    <w:rsid w:val="00AA3F14"/>
    <w:rsid w:val="00AB0BFE"/>
    <w:rsid w:val="00AB17AC"/>
    <w:rsid w:val="00AB4835"/>
    <w:rsid w:val="00AB6B52"/>
    <w:rsid w:val="00AC74A0"/>
    <w:rsid w:val="00AE171E"/>
    <w:rsid w:val="00B63698"/>
    <w:rsid w:val="00B661C7"/>
    <w:rsid w:val="00B74BA9"/>
    <w:rsid w:val="00B8208E"/>
    <w:rsid w:val="00B82B8A"/>
    <w:rsid w:val="00B82FAE"/>
    <w:rsid w:val="00B915F7"/>
    <w:rsid w:val="00B9438E"/>
    <w:rsid w:val="00BC1C37"/>
    <w:rsid w:val="00BC2B5C"/>
    <w:rsid w:val="00BE2053"/>
    <w:rsid w:val="00BF09DC"/>
    <w:rsid w:val="00BF38FF"/>
    <w:rsid w:val="00BF3C7F"/>
    <w:rsid w:val="00C160EB"/>
    <w:rsid w:val="00C25464"/>
    <w:rsid w:val="00C320A0"/>
    <w:rsid w:val="00C341FA"/>
    <w:rsid w:val="00C34FC7"/>
    <w:rsid w:val="00C54EFC"/>
    <w:rsid w:val="00C70ACA"/>
    <w:rsid w:val="00C81383"/>
    <w:rsid w:val="00C82DC9"/>
    <w:rsid w:val="00C863AE"/>
    <w:rsid w:val="00C9557E"/>
    <w:rsid w:val="00CC1DD8"/>
    <w:rsid w:val="00CC3232"/>
    <w:rsid w:val="00D0519B"/>
    <w:rsid w:val="00D05EB4"/>
    <w:rsid w:val="00D11C3D"/>
    <w:rsid w:val="00D25206"/>
    <w:rsid w:val="00D355FB"/>
    <w:rsid w:val="00D41D2C"/>
    <w:rsid w:val="00D4605B"/>
    <w:rsid w:val="00D623AA"/>
    <w:rsid w:val="00D8518F"/>
    <w:rsid w:val="00D96EC7"/>
    <w:rsid w:val="00DA12BF"/>
    <w:rsid w:val="00DA7138"/>
    <w:rsid w:val="00DF248E"/>
    <w:rsid w:val="00DF3222"/>
    <w:rsid w:val="00E07FD2"/>
    <w:rsid w:val="00E31F64"/>
    <w:rsid w:val="00E3728D"/>
    <w:rsid w:val="00E4357B"/>
    <w:rsid w:val="00E47B47"/>
    <w:rsid w:val="00E5166B"/>
    <w:rsid w:val="00E644A0"/>
    <w:rsid w:val="00E87A80"/>
    <w:rsid w:val="00E87CEC"/>
    <w:rsid w:val="00EA1BA6"/>
    <w:rsid w:val="00EA4C58"/>
    <w:rsid w:val="00EB67EC"/>
    <w:rsid w:val="00EE11F9"/>
    <w:rsid w:val="00EE7425"/>
    <w:rsid w:val="00EF6C8D"/>
    <w:rsid w:val="00F00080"/>
    <w:rsid w:val="00F01B03"/>
    <w:rsid w:val="00F03FF4"/>
    <w:rsid w:val="00F06C20"/>
    <w:rsid w:val="00F10699"/>
    <w:rsid w:val="00F1075B"/>
    <w:rsid w:val="00F10E4C"/>
    <w:rsid w:val="00F176CD"/>
    <w:rsid w:val="00F26324"/>
    <w:rsid w:val="00F273C5"/>
    <w:rsid w:val="00F3275E"/>
    <w:rsid w:val="00F4576C"/>
    <w:rsid w:val="00F545AB"/>
    <w:rsid w:val="00F715BA"/>
    <w:rsid w:val="00F8200E"/>
    <w:rsid w:val="00F86DE9"/>
    <w:rsid w:val="00F92A8F"/>
    <w:rsid w:val="00FA6CF1"/>
    <w:rsid w:val="00FC0049"/>
    <w:rsid w:val="00FC376F"/>
    <w:rsid w:val="00FF30E1"/>
    <w:rsid w:val="01506B97"/>
    <w:rsid w:val="015123B9"/>
    <w:rsid w:val="01565C22"/>
    <w:rsid w:val="01DC19EE"/>
    <w:rsid w:val="020739BC"/>
    <w:rsid w:val="024610D3"/>
    <w:rsid w:val="029106BD"/>
    <w:rsid w:val="02C333C5"/>
    <w:rsid w:val="0311468D"/>
    <w:rsid w:val="032632FE"/>
    <w:rsid w:val="037606C3"/>
    <w:rsid w:val="04A309AD"/>
    <w:rsid w:val="04E3586E"/>
    <w:rsid w:val="05297156"/>
    <w:rsid w:val="05481259"/>
    <w:rsid w:val="062760CA"/>
    <w:rsid w:val="06367F91"/>
    <w:rsid w:val="063E7CAE"/>
    <w:rsid w:val="064061DE"/>
    <w:rsid w:val="07897C0E"/>
    <w:rsid w:val="082A1395"/>
    <w:rsid w:val="08B60D54"/>
    <w:rsid w:val="094628A0"/>
    <w:rsid w:val="09826815"/>
    <w:rsid w:val="09D91328"/>
    <w:rsid w:val="0A9B53E8"/>
    <w:rsid w:val="0ABC2331"/>
    <w:rsid w:val="0B3111FA"/>
    <w:rsid w:val="0B45387B"/>
    <w:rsid w:val="0BB57BA4"/>
    <w:rsid w:val="0C0076B8"/>
    <w:rsid w:val="0C6C37E1"/>
    <w:rsid w:val="0C6D48C1"/>
    <w:rsid w:val="0C9615C8"/>
    <w:rsid w:val="0DC3421D"/>
    <w:rsid w:val="0DF76B00"/>
    <w:rsid w:val="0EDA155C"/>
    <w:rsid w:val="0F4F6CEE"/>
    <w:rsid w:val="0F9746D1"/>
    <w:rsid w:val="0F983238"/>
    <w:rsid w:val="0FBD189C"/>
    <w:rsid w:val="0FDE4BDA"/>
    <w:rsid w:val="0FF07241"/>
    <w:rsid w:val="108C5AAE"/>
    <w:rsid w:val="10D97638"/>
    <w:rsid w:val="11655791"/>
    <w:rsid w:val="11B1466E"/>
    <w:rsid w:val="121D4674"/>
    <w:rsid w:val="12954B43"/>
    <w:rsid w:val="12DC670B"/>
    <w:rsid w:val="12F42BA4"/>
    <w:rsid w:val="12F86E3A"/>
    <w:rsid w:val="131D1399"/>
    <w:rsid w:val="13A03879"/>
    <w:rsid w:val="15932B49"/>
    <w:rsid w:val="15A5072F"/>
    <w:rsid w:val="15E05662"/>
    <w:rsid w:val="163E6578"/>
    <w:rsid w:val="16C64858"/>
    <w:rsid w:val="1787048B"/>
    <w:rsid w:val="179C05CE"/>
    <w:rsid w:val="18F14165"/>
    <w:rsid w:val="192C7506"/>
    <w:rsid w:val="193548E0"/>
    <w:rsid w:val="19440BD0"/>
    <w:rsid w:val="1A102318"/>
    <w:rsid w:val="1A206039"/>
    <w:rsid w:val="1B6553C6"/>
    <w:rsid w:val="1BBC4C34"/>
    <w:rsid w:val="1C3C11C6"/>
    <w:rsid w:val="1C7520F8"/>
    <w:rsid w:val="1C892D00"/>
    <w:rsid w:val="1CE20ABD"/>
    <w:rsid w:val="1D0B3468"/>
    <w:rsid w:val="1D1E53EE"/>
    <w:rsid w:val="1D506AA7"/>
    <w:rsid w:val="1DC05620"/>
    <w:rsid w:val="1E470BDB"/>
    <w:rsid w:val="1E7B7EAF"/>
    <w:rsid w:val="1FE401B3"/>
    <w:rsid w:val="20C462AC"/>
    <w:rsid w:val="21B73E88"/>
    <w:rsid w:val="21D80A7B"/>
    <w:rsid w:val="222B693C"/>
    <w:rsid w:val="22A64485"/>
    <w:rsid w:val="23DF4424"/>
    <w:rsid w:val="24667DE3"/>
    <w:rsid w:val="247C0C4C"/>
    <w:rsid w:val="248B721F"/>
    <w:rsid w:val="25DC0A00"/>
    <w:rsid w:val="262E3841"/>
    <w:rsid w:val="26AF2198"/>
    <w:rsid w:val="26B75F6B"/>
    <w:rsid w:val="26E87192"/>
    <w:rsid w:val="27EC2A9F"/>
    <w:rsid w:val="28203CD5"/>
    <w:rsid w:val="287A337D"/>
    <w:rsid w:val="28800981"/>
    <w:rsid w:val="28A14A68"/>
    <w:rsid w:val="28F00B0D"/>
    <w:rsid w:val="298F4F7D"/>
    <w:rsid w:val="29A7551B"/>
    <w:rsid w:val="29B80978"/>
    <w:rsid w:val="2AAD6736"/>
    <w:rsid w:val="2ABA2620"/>
    <w:rsid w:val="2AD00E3A"/>
    <w:rsid w:val="2AE05796"/>
    <w:rsid w:val="2B3F6C91"/>
    <w:rsid w:val="2B9F71B1"/>
    <w:rsid w:val="2BD93B03"/>
    <w:rsid w:val="2CAC0E49"/>
    <w:rsid w:val="2CC101CD"/>
    <w:rsid w:val="2D047A30"/>
    <w:rsid w:val="2D9F4E31"/>
    <w:rsid w:val="306B332E"/>
    <w:rsid w:val="308C5F48"/>
    <w:rsid w:val="30CB2D3F"/>
    <w:rsid w:val="311913D0"/>
    <w:rsid w:val="313E75B5"/>
    <w:rsid w:val="31C45AE8"/>
    <w:rsid w:val="31E17C98"/>
    <w:rsid w:val="32326DEE"/>
    <w:rsid w:val="329A66A2"/>
    <w:rsid w:val="32B71199"/>
    <w:rsid w:val="338962BA"/>
    <w:rsid w:val="33D854F6"/>
    <w:rsid w:val="33DE3C29"/>
    <w:rsid w:val="34010037"/>
    <w:rsid w:val="3412744D"/>
    <w:rsid w:val="3431735D"/>
    <w:rsid w:val="345F5981"/>
    <w:rsid w:val="34664F92"/>
    <w:rsid w:val="35061741"/>
    <w:rsid w:val="354C01C6"/>
    <w:rsid w:val="355D635D"/>
    <w:rsid w:val="358E4C71"/>
    <w:rsid w:val="360F2EB9"/>
    <w:rsid w:val="36887E00"/>
    <w:rsid w:val="36963DEF"/>
    <w:rsid w:val="36D66C33"/>
    <w:rsid w:val="37021294"/>
    <w:rsid w:val="37096D0D"/>
    <w:rsid w:val="370B211A"/>
    <w:rsid w:val="379D6803"/>
    <w:rsid w:val="38194CD8"/>
    <w:rsid w:val="398C14D9"/>
    <w:rsid w:val="39C15F76"/>
    <w:rsid w:val="3A805BBF"/>
    <w:rsid w:val="3AA01842"/>
    <w:rsid w:val="3AC337B4"/>
    <w:rsid w:val="3ACF286E"/>
    <w:rsid w:val="3B3C7214"/>
    <w:rsid w:val="3BCF1BDC"/>
    <w:rsid w:val="3C505CA8"/>
    <w:rsid w:val="3C660B10"/>
    <w:rsid w:val="3C9E7E8F"/>
    <w:rsid w:val="3CE81B00"/>
    <w:rsid w:val="3D5740DE"/>
    <w:rsid w:val="3E5A5EE4"/>
    <w:rsid w:val="3E5F5AA5"/>
    <w:rsid w:val="3E846C23"/>
    <w:rsid w:val="3EBC7BE3"/>
    <w:rsid w:val="3FA76130"/>
    <w:rsid w:val="401E2B51"/>
    <w:rsid w:val="4043501B"/>
    <w:rsid w:val="40F26F47"/>
    <w:rsid w:val="41117688"/>
    <w:rsid w:val="412C237F"/>
    <w:rsid w:val="4155091F"/>
    <w:rsid w:val="41695A0F"/>
    <w:rsid w:val="41BA10CB"/>
    <w:rsid w:val="42303B8B"/>
    <w:rsid w:val="42423FD9"/>
    <w:rsid w:val="43A14604"/>
    <w:rsid w:val="43A33BF5"/>
    <w:rsid w:val="43A538BC"/>
    <w:rsid w:val="447A7099"/>
    <w:rsid w:val="44F7014F"/>
    <w:rsid w:val="453B488F"/>
    <w:rsid w:val="456E692D"/>
    <w:rsid w:val="45F15E70"/>
    <w:rsid w:val="46A64344"/>
    <w:rsid w:val="46D80127"/>
    <w:rsid w:val="489706FC"/>
    <w:rsid w:val="48B733AA"/>
    <w:rsid w:val="48E20A96"/>
    <w:rsid w:val="48F92BE5"/>
    <w:rsid w:val="4A5240A2"/>
    <w:rsid w:val="4A8E7608"/>
    <w:rsid w:val="4AB167DD"/>
    <w:rsid w:val="4B117A90"/>
    <w:rsid w:val="4B75139F"/>
    <w:rsid w:val="4BB34F51"/>
    <w:rsid w:val="4BE50202"/>
    <w:rsid w:val="4CFF0216"/>
    <w:rsid w:val="4D4D3AFB"/>
    <w:rsid w:val="4D683864"/>
    <w:rsid w:val="4D9447B0"/>
    <w:rsid w:val="4DC46C4F"/>
    <w:rsid w:val="4E58201F"/>
    <w:rsid w:val="4FA37272"/>
    <w:rsid w:val="4FD04A87"/>
    <w:rsid w:val="50AE13D1"/>
    <w:rsid w:val="522830D1"/>
    <w:rsid w:val="52D561B8"/>
    <w:rsid w:val="52DC0984"/>
    <w:rsid w:val="548B08B3"/>
    <w:rsid w:val="55242153"/>
    <w:rsid w:val="555F4A28"/>
    <w:rsid w:val="558F57DA"/>
    <w:rsid w:val="55A0038E"/>
    <w:rsid w:val="55DD4A42"/>
    <w:rsid w:val="567F1BCC"/>
    <w:rsid w:val="56AD66DD"/>
    <w:rsid w:val="56D218E5"/>
    <w:rsid w:val="573F39B5"/>
    <w:rsid w:val="57B4119F"/>
    <w:rsid w:val="588A28B9"/>
    <w:rsid w:val="59F40108"/>
    <w:rsid w:val="5A48573D"/>
    <w:rsid w:val="5A9164F8"/>
    <w:rsid w:val="5AB3021C"/>
    <w:rsid w:val="5AFE1DDF"/>
    <w:rsid w:val="5B1C1D31"/>
    <w:rsid w:val="5C2515ED"/>
    <w:rsid w:val="5D2C42B6"/>
    <w:rsid w:val="5DD46E27"/>
    <w:rsid w:val="5E193D09"/>
    <w:rsid w:val="5E997C33"/>
    <w:rsid w:val="5EB007B5"/>
    <w:rsid w:val="5EBC779A"/>
    <w:rsid w:val="60712622"/>
    <w:rsid w:val="61434B1A"/>
    <w:rsid w:val="61632177"/>
    <w:rsid w:val="61903065"/>
    <w:rsid w:val="61C030C6"/>
    <w:rsid w:val="6232236E"/>
    <w:rsid w:val="624C4474"/>
    <w:rsid w:val="62AC3A78"/>
    <w:rsid w:val="63B57AC3"/>
    <w:rsid w:val="64011757"/>
    <w:rsid w:val="6473529E"/>
    <w:rsid w:val="649E1F3D"/>
    <w:rsid w:val="659D6AA4"/>
    <w:rsid w:val="65E0162B"/>
    <w:rsid w:val="65E53E98"/>
    <w:rsid w:val="66424626"/>
    <w:rsid w:val="665971AE"/>
    <w:rsid w:val="667B1BFB"/>
    <w:rsid w:val="67A55BDE"/>
    <w:rsid w:val="67EC2DF8"/>
    <w:rsid w:val="68A8667A"/>
    <w:rsid w:val="692E169F"/>
    <w:rsid w:val="69A37C09"/>
    <w:rsid w:val="69C53AC8"/>
    <w:rsid w:val="6A2B3024"/>
    <w:rsid w:val="6A303659"/>
    <w:rsid w:val="6A4B2016"/>
    <w:rsid w:val="6AC344AB"/>
    <w:rsid w:val="6BA008BF"/>
    <w:rsid w:val="6BA1796A"/>
    <w:rsid w:val="6BA472B9"/>
    <w:rsid w:val="6BD77B3D"/>
    <w:rsid w:val="6C240F7A"/>
    <w:rsid w:val="6C26186D"/>
    <w:rsid w:val="6D185F70"/>
    <w:rsid w:val="6D600186"/>
    <w:rsid w:val="6DAC55BE"/>
    <w:rsid w:val="6EA541AD"/>
    <w:rsid w:val="6F835472"/>
    <w:rsid w:val="6F913D15"/>
    <w:rsid w:val="70A45725"/>
    <w:rsid w:val="710812D5"/>
    <w:rsid w:val="71227648"/>
    <w:rsid w:val="71411F9D"/>
    <w:rsid w:val="73BE4E40"/>
    <w:rsid w:val="743C7D88"/>
    <w:rsid w:val="75E012CE"/>
    <w:rsid w:val="762A69E2"/>
    <w:rsid w:val="76524E83"/>
    <w:rsid w:val="76AC04E9"/>
    <w:rsid w:val="76C60833"/>
    <w:rsid w:val="77F97A47"/>
    <w:rsid w:val="7A2872E0"/>
    <w:rsid w:val="7A6C1EDF"/>
    <w:rsid w:val="7A711B4A"/>
    <w:rsid w:val="7B16294B"/>
    <w:rsid w:val="7C19011C"/>
    <w:rsid w:val="7C331E4E"/>
    <w:rsid w:val="7C934E7B"/>
    <w:rsid w:val="7C9A5431"/>
    <w:rsid w:val="7CCF5DDE"/>
    <w:rsid w:val="7D5738F9"/>
    <w:rsid w:val="7D5F62B6"/>
    <w:rsid w:val="7D707D52"/>
    <w:rsid w:val="7DC279B4"/>
    <w:rsid w:val="7E7D5DDE"/>
    <w:rsid w:val="7E8766DE"/>
    <w:rsid w:val="7EB16339"/>
    <w:rsid w:val="7FEC1F5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iPriority="99" w:semiHidden="0"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adjustRightInd w:val="0"/>
    </w:pPr>
    <w:rPr>
      <w:rFonts w:ascii="宋体" w:hAnsi="Times New Roman" w:eastAsia="宋体" w:cs="宋体"/>
      <w:sz w:val="22"/>
      <w:szCs w:val="22"/>
      <w:lang w:val="en-US" w:eastAsia="zh-CN" w:bidi="ar-SA"/>
    </w:rPr>
  </w:style>
  <w:style w:type="paragraph" w:styleId="3">
    <w:name w:val="heading 1"/>
    <w:basedOn w:val="1"/>
    <w:next w:val="1"/>
    <w:link w:val="51"/>
    <w:qFormat/>
    <w:uiPriority w:val="9"/>
    <w:pPr>
      <w:ind w:left="3144" w:right="3120"/>
      <w:jc w:val="center"/>
      <w:outlineLvl w:val="0"/>
    </w:pPr>
    <w:rPr>
      <w:rFonts w:cs="Times New Roman"/>
      <w:b/>
      <w:bCs/>
      <w:kern w:val="44"/>
      <w:sz w:val="44"/>
      <w:szCs w:val="44"/>
    </w:rPr>
  </w:style>
  <w:style w:type="paragraph" w:styleId="4">
    <w:name w:val="heading 2"/>
    <w:basedOn w:val="1"/>
    <w:next w:val="1"/>
    <w:link w:val="60"/>
    <w:qFormat/>
    <w:uiPriority w:val="9"/>
    <w:pPr>
      <w:ind w:left="3150" w:right="3120"/>
      <w:jc w:val="center"/>
      <w:outlineLvl w:val="1"/>
    </w:pPr>
    <w:rPr>
      <w:rFonts w:ascii="等线 Light" w:hAnsi="等线 Light" w:eastAsia="等线 Light" w:cs="Times New Roman"/>
      <w:b/>
      <w:bCs/>
      <w:sz w:val="32"/>
      <w:szCs w:val="32"/>
    </w:rPr>
  </w:style>
  <w:style w:type="paragraph" w:styleId="5">
    <w:name w:val="heading 3"/>
    <w:basedOn w:val="1"/>
    <w:next w:val="1"/>
    <w:link w:val="56"/>
    <w:qFormat/>
    <w:uiPriority w:val="9"/>
    <w:pPr>
      <w:spacing w:before="48"/>
      <w:ind w:left="3150" w:right="3120"/>
      <w:jc w:val="center"/>
      <w:outlineLvl w:val="2"/>
    </w:pPr>
    <w:rPr>
      <w:rFonts w:cs="Times New Roman"/>
      <w:b/>
      <w:bCs/>
      <w:sz w:val="32"/>
      <w:szCs w:val="32"/>
    </w:rPr>
  </w:style>
  <w:style w:type="paragraph" w:styleId="6">
    <w:name w:val="heading 4"/>
    <w:basedOn w:val="1"/>
    <w:next w:val="1"/>
    <w:link w:val="54"/>
    <w:qFormat/>
    <w:uiPriority w:val="9"/>
    <w:pPr>
      <w:spacing w:before="62"/>
      <w:ind w:left="200"/>
      <w:outlineLvl w:val="3"/>
    </w:pPr>
    <w:rPr>
      <w:rFonts w:ascii="等线 Light" w:hAnsi="等线 Light" w:eastAsia="等线 Light" w:cs="Times New Roman"/>
      <w:b/>
      <w:bCs/>
      <w:sz w:val="28"/>
      <w:szCs w:val="28"/>
    </w:rPr>
  </w:style>
  <w:style w:type="paragraph" w:styleId="7">
    <w:name w:val="heading 5"/>
    <w:basedOn w:val="1"/>
    <w:next w:val="1"/>
    <w:link w:val="62"/>
    <w:qFormat/>
    <w:uiPriority w:val="9"/>
    <w:pPr>
      <w:ind w:left="412" w:hanging="207"/>
      <w:outlineLvl w:val="4"/>
    </w:pPr>
    <w:rPr>
      <w:rFonts w:cs="Times New Roman"/>
      <w:b/>
      <w:bCs/>
      <w:sz w:val="28"/>
      <w:szCs w:val="28"/>
    </w:rPr>
  </w:style>
  <w:style w:type="character" w:default="1" w:styleId="26">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48"/>
    <w:qFormat/>
    <w:uiPriority w:val="99"/>
    <w:pPr>
      <w:ind w:left="590"/>
    </w:pPr>
    <w:rPr>
      <w:rFonts w:cs="Times New Roman"/>
      <w:szCs w:val="20"/>
    </w:rPr>
  </w:style>
  <w:style w:type="paragraph" w:styleId="8">
    <w:name w:val="index 8"/>
    <w:next w:val="1"/>
    <w:qFormat/>
    <w:uiPriority w:val="0"/>
    <w:pPr>
      <w:widowControl w:val="0"/>
      <w:ind w:left="2940"/>
      <w:jc w:val="both"/>
    </w:pPr>
    <w:rPr>
      <w:rFonts w:ascii="方正仿宋_GBK" w:hAnsi="Calibri" w:eastAsia="方正仿宋_GBK" w:cs="宋体"/>
      <w:kern w:val="2"/>
      <w:sz w:val="32"/>
      <w:szCs w:val="28"/>
      <w:lang w:val="en-US" w:eastAsia="zh-CN" w:bidi="ar-SA"/>
    </w:rPr>
  </w:style>
  <w:style w:type="paragraph" w:styleId="9">
    <w:name w:val="Normal Indent"/>
    <w:basedOn w:val="1"/>
    <w:next w:val="10"/>
    <w:qFormat/>
    <w:uiPriority w:val="0"/>
    <w:pPr>
      <w:ind w:firstLine="420"/>
    </w:pPr>
    <w:rPr>
      <w:szCs w:val="21"/>
    </w:r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1">
    <w:name w:val="annotation text"/>
    <w:basedOn w:val="1"/>
    <w:link w:val="53"/>
    <w:unhideWhenUsed/>
    <w:qFormat/>
    <w:uiPriority w:val="99"/>
    <w:rPr>
      <w:rFonts w:cs="Times New Roman"/>
    </w:rPr>
  </w:style>
  <w:style w:type="paragraph" w:styleId="12">
    <w:name w:val="Body Text Indent"/>
    <w:basedOn w:val="1"/>
    <w:next w:val="13"/>
    <w:qFormat/>
    <w:uiPriority w:val="0"/>
    <w:pPr>
      <w:ind w:firstLine="830" w:firstLineChars="352"/>
    </w:pPr>
    <w:rPr>
      <w:rFonts w:ascii="仿宋_GB2312" w:eastAsia="仿宋_GB2312"/>
      <w:sz w:val="32"/>
      <w:szCs w:val="20"/>
    </w:rPr>
  </w:style>
  <w:style w:type="paragraph" w:styleId="13">
    <w:name w:val="envelope return"/>
    <w:basedOn w:val="1"/>
    <w:qFormat/>
    <w:uiPriority w:val="99"/>
    <w:pPr>
      <w:snapToGrid w:val="0"/>
    </w:pPr>
    <w:rPr>
      <w:rFonts w:ascii="Arial" w:hAnsi="Arial"/>
    </w:rPr>
  </w:style>
  <w:style w:type="paragraph" w:styleId="14">
    <w:name w:val="Plain Text"/>
    <w:basedOn w:val="1"/>
    <w:qFormat/>
    <w:uiPriority w:val="0"/>
    <w:rPr>
      <w:rFonts w:ascii="宋体" w:hAnsi="Courier New" w:cs="Courier New"/>
      <w:szCs w:val="21"/>
    </w:rPr>
  </w:style>
  <w:style w:type="paragraph" w:styleId="15">
    <w:name w:val="Balloon Text"/>
    <w:basedOn w:val="1"/>
    <w:link w:val="58"/>
    <w:unhideWhenUsed/>
    <w:qFormat/>
    <w:uiPriority w:val="99"/>
    <w:rPr>
      <w:rFonts w:cs="Times New Roman"/>
      <w:sz w:val="18"/>
      <w:szCs w:val="18"/>
    </w:rPr>
  </w:style>
  <w:style w:type="paragraph" w:styleId="16">
    <w:name w:val="footer"/>
    <w:basedOn w:val="1"/>
    <w:link w:val="64"/>
    <w:unhideWhenUsed/>
    <w:qFormat/>
    <w:uiPriority w:val="0"/>
    <w:pPr>
      <w:tabs>
        <w:tab w:val="center" w:pos="4153"/>
        <w:tab w:val="right" w:pos="8306"/>
      </w:tabs>
      <w:snapToGrid w:val="0"/>
    </w:pPr>
    <w:rPr>
      <w:rFonts w:cs="Times New Roman"/>
      <w:sz w:val="18"/>
      <w:szCs w:val="18"/>
    </w:rPr>
  </w:style>
  <w:style w:type="paragraph" w:styleId="17">
    <w:name w:val="header"/>
    <w:basedOn w:val="1"/>
    <w:link w:val="50"/>
    <w:unhideWhenUsed/>
    <w:qFormat/>
    <w:uiPriority w:val="99"/>
    <w:pPr>
      <w:pBdr>
        <w:bottom w:val="single" w:color="auto" w:sz="6" w:space="1"/>
      </w:pBdr>
      <w:tabs>
        <w:tab w:val="center" w:pos="4153"/>
        <w:tab w:val="right" w:pos="8306"/>
      </w:tabs>
      <w:snapToGrid w:val="0"/>
      <w:jc w:val="center"/>
    </w:pPr>
    <w:rPr>
      <w:rFonts w:cs="Times New Roman"/>
      <w:sz w:val="18"/>
      <w:szCs w:val="18"/>
    </w:rPr>
  </w:style>
  <w:style w:type="paragraph" w:styleId="18">
    <w:name w:val="toc 1"/>
    <w:next w:val="1"/>
    <w:qFormat/>
    <w:uiPriority w:val="39"/>
    <w:pPr>
      <w:widowControl w:val="0"/>
      <w:tabs>
        <w:tab w:val="right" w:pos="8494"/>
      </w:tabs>
      <w:spacing w:before="120" w:after="120"/>
    </w:pPr>
    <w:rPr>
      <w:rFonts w:ascii="宋体" w:hAnsi="宋体" w:eastAsia="黑体" w:cs="黑体"/>
      <w:b/>
      <w:bCs/>
      <w:caps/>
      <w:kern w:val="2"/>
      <w:sz w:val="21"/>
      <w:szCs w:val="21"/>
      <w:lang w:val="en-US" w:eastAsia="zh-CN" w:bidi="ar-SA"/>
    </w:rPr>
  </w:style>
  <w:style w:type="paragraph" w:styleId="19">
    <w:name w:val="Body Text Indent 3"/>
    <w:basedOn w:val="1"/>
    <w:link w:val="59"/>
    <w:unhideWhenUsed/>
    <w:qFormat/>
    <w:uiPriority w:val="99"/>
    <w:pPr>
      <w:spacing w:after="120"/>
      <w:ind w:left="420" w:leftChars="200"/>
    </w:pPr>
    <w:rPr>
      <w:rFonts w:cs="Times New Roman"/>
      <w:sz w:val="16"/>
      <w:szCs w:val="16"/>
    </w:rPr>
  </w:style>
  <w:style w:type="paragraph" w:styleId="20">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21">
    <w:name w:val="annotation subject"/>
    <w:basedOn w:val="11"/>
    <w:next w:val="11"/>
    <w:link w:val="55"/>
    <w:unhideWhenUsed/>
    <w:qFormat/>
    <w:uiPriority w:val="99"/>
    <w:rPr>
      <w:b/>
      <w:bCs/>
    </w:rPr>
  </w:style>
  <w:style w:type="paragraph" w:styleId="22">
    <w:name w:val="Body Text First Indent"/>
    <w:basedOn w:val="2"/>
    <w:link w:val="52"/>
    <w:unhideWhenUsed/>
    <w:qFormat/>
    <w:uiPriority w:val="99"/>
    <w:pPr>
      <w:spacing w:after="120"/>
      <w:ind w:left="0" w:firstLine="420" w:firstLineChars="100"/>
    </w:pPr>
    <w:rPr>
      <w:szCs w:val="22"/>
    </w:rPr>
  </w:style>
  <w:style w:type="paragraph" w:styleId="23">
    <w:name w:val="Body Text First Indent 2"/>
    <w:basedOn w:val="12"/>
    <w:qFormat/>
    <w:uiPriority w:val="0"/>
    <w:pPr>
      <w:spacing w:after="120"/>
      <w:ind w:left="420" w:leftChars="200"/>
    </w:pPr>
    <w:rPr>
      <w:rFonts w:ascii="Calibri" w:hAnsi="Calibri"/>
      <w:sz w:val="21"/>
    </w:rPr>
  </w:style>
  <w:style w:type="table" w:styleId="25">
    <w:name w:val="Table Grid"/>
    <w:basedOn w:val="2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b/>
      <w:bCs/>
    </w:rPr>
  </w:style>
  <w:style w:type="character" w:styleId="28">
    <w:name w:val="page number"/>
    <w:qFormat/>
    <w:uiPriority w:val="0"/>
    <w:rPr>
      <w:rFonts w:cs="Times New Roman"/>
    </w:rPr>
  </w:style>
  <w:style w:type="character" w:styleId="29">
    <w:name w:val="FollowedHyperlink"/>
    <w:basedOn w:val="26"/>
    <w:unhideWhenUsed/>
    <w:qFormat/>
    <w:uiPriority w:val="99"/>
    <w:rPr>
      <w:color w:val="003B70"/>
      <w:u w:val="none"/>
    </w:rPr>
  </w:style>
  <w:style w:type="character" w:styleId="30">
    <w:name w:val="Hyperlink"/>
    <w:basedOn w:val="26"/>
    <w:unhideWhenUsed/>
    <w:qFormat/>
    <w:uiPriority w:val="99"/>
    <w:rPr>
      <w:color w:val="003B70"/>
      <w:u w:val="none"/>
    </w:rPr>
  </w:style>
  <w:style w:type="character" w:styleId="31">
    <w:name w:val="annotation reference"/>
    <w:unhideWhenUsed/>
    <w:qFormat/>
    <w:uiPriority w:val="99"/>
    <w:rPr>
      <w:sz w:val="21"/>
      <w:szCs w:val="21"/>
    </w:rPr>
  </w:style>
  <w:style w:type="paragraph" w:customStyle="1" w:styleId="32">
    <w:name w:val="表格文字"/>
    <w:basedOn w:val="1"/>
    <w:next w:val="1"/>
    <w:qFormat/>
    <w:uiPriority w:val="0"/>
    <w:pPr>
      <w:spacing w:before="25" w:after="25"/>
      <w:jc w:val="left"/>
    </w:pPr>
    <w:rPr>
      <w:bCs/>
      <w:spacing w:val="10"/>
      <w:kern w:val="0"/>
      <w:sz w:val="24"/>
      <w:szCs w:val="20"/>
    </w:rPr>
  </w:style>
  <w:style w:type="paragraph" w:customStyle="1" w:styleId="33">
    <w:name w:val="Heading4"/>
    <w:basedOn w:val="1"/>
    <w:qFormat/>
    <w:uiPriority w:val="0"/>
    <w:pPr>
      <w:keepNext/>
      <w:keepLines/>
      <w:widowControl w:val="0"/>
      <w:suppressLineNumbers w:val="0"/>
      <w:snapToGrid w:val="0"/>
      <w:spacing w:before="200" w:beforeAutospacing="0" w:line="360" w:lineRule="auto"/>
      <w:jc w:val="both"/>
    </w:pPr>
    <w:rPr>
      <w:rFonts w:hint="default" w:ascii="Cambria" w:hAnsi="Cambria" w:eastAsia="宋体" w:cs="Times New Roman"/>
      <w:b/>
      <w:i/>
      <w:color w:val="4F81BD"/>
      <w:kern w:val="0"/>
      <w:sz w:val="20"/>
      <w:szCs w:val="20"/>
      <w:lang w:val="en-US" w:eastAsia="zh-CN" w:bidi="ar"/>
    </w:rPr>
  </w:style>
  <w:style w:type="paragraph" w:customStyle="1" w:styleId="34">
    <w:name w:val="图_0"/>
    <w:basedOn w:val="35"/>
    <w:qFormat/>
    <w:uiPriority w:val="0"/>
    <w:pPr>
      <w:keepNext/>
      <w:adjustRightInd w:val="0"/>
      <w:spacing w:before="60" w:after="60" w:line="300" w:lineRule="auto"/>
      <w:jc w:val="center"/>
      <w:textAlignment w:val="center"/>
    </w:pPr>
    <w:rPr>
      <w:rFonts w:ascii="Times New Roman" w:hAnsi="Times New Roman"/>
      <w:snapToGrid w:val="0"/>
      <w:spacing w:val="20"/>
      <w:kern w:val="0"/>
      <w:sz w:val="24"/>
      <w:szCs w:val="20"/>
    </w:rPr>
  </w:style>
  <w:style w:type="paragraph" w:customStyle="1" w:styleId="3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Table Paragraph"/>
    <w:basedOn w:val="1"/>
    <w:qFormat/>
    <w:uiPriority w:val="1"/>
    <w:rPr>
      <w:sz w:val="24"/>
      <w:szCs w:val="24"/>
    </w:rPr>
  </w:style>
  <w:style w:type="paragraph" w:customStyle="1" w:styleId="37">
    <w:name w:val="_Style 3"/>
    <w:basedOn w:val="1"/>
    <w:next w:val="19"/>
    <w:qFormat/>
    <w:uiPriority w:val="0"/>
    <w:pPr>
      <w:autoSpaceDE/>
      <w:autoSpaceDN/>
      <w:adjustRightInd/>
      <w:ind w:firstLine="420" w:firstLineChars="200"/>
      <w:jc w:val="both"/>
    </w:pPr>
    <w:rPr>
      <w:rFonts w:ascii="Calibri" w:hAnsi="Calibri" w:eastAsia="Calibri" w:cs="Times New Roman"/>
      <w:kern w:val="2"/>
      <w:lang w:eastAsia="en-US"/>
    </w:rPr>
  </w:style>
  <w:style w:type="paragraph" w:customStyle="1" w:styleId="38">
    <w:name w:val="Char Char Char"/>
    <w:basedOn w:val="1"/>
    <w:qFormat/>
    <w:uiPriority w:val="0"/>
    <w:rPr>
      <w:rFonts w:ascii="宋体" w:hAnsi="宋体"/>
      <w:b/>
      <w:sz w:val="28"/>
      <w:szCs w:val="28"/>
    </w:rPr>
  </w:style>
  <w:style w:type="paragraph" w:customStyle="1" w:styleId="39">
    <w:name w:val="正文1"/>
    <w:basedOn w:val="1"/>
    <w:next w:val="40"/>
    <w:qFormat/>
    <w:uiPriority w:val="0"/>
    <w:pPr>
      <w:spacing w:line="360" w:lineRule="auto"/>
    </w:pPr>
    <w:rPr>
      <w:rFonts w:ascii="宋体" w:hAnsi="华文宋体"/>
      <w:kern w:val="20"/>
      <w:sz w:val="24"/>
      <w:szCs w:val="20"/>
    </w:rPr>
  </w:style>
  <w:style w:type="paragraph" w:customStyle="1" w:styleId="40">
    <w:name w:val="普通正文"/>
    <w:basedOn w:val="39"/>
    <w:qFormat/>
    <w:uiPriority w:val="0"/>
    <w:pPr>
      <w:widowControl/>
      <w:spacing w:line="360" w:lineRule="atLeast"/>
      <w:ind w:firstLine="425"/>
    </w:pPr>
    <w:rPr>
      <w:kern w:val="21"/>
    </w:rPr>
  </w:style>
  <w:style w:type="paragraph" w:customStyle="1" w:styleId="41">
    <w:name w:val="TOC2"/>
    <w:basedOn w:val="1"/>
    <w:next w:val="1"/>
    <w:qFormat/>
    <w:uiPriority w:val="0"/>
    <w:pPr>
      <w:ind w:left="420" w:leftChars="200"/>
    </w:pPr>
    <w:rPr>
      <w:rFonts w:ascii="Calibri" w:hAnsi="Calibri" w:eastAsia="仿宋"/>
      <w:sz w:val="24"/>
    </w:rPr>
  </w:style>
  <w:style w:type="paragraph" w:styleId="42">
    <w:name w:val="List Paragraph"/>
    <w:basedOn w:val="1"/>
    <w:qFormat/>
    <w:uiPriority w:val="1"/>
    <w:pPr>
      <w:ind w:left="206" w:firstLine="384"/>
    </w:pPr>
    <w:rPr>
      <w:sz w:val="24"/>
      <w:szCs w:val="24"/>
    </w:rPr>
  </w:style>
  <w:style w:type="paragraph" w:customStyle="1" w:styleId="43">
    <w:name w:val="_Style 40"/>
    <w:unhideWhenUsed/>
    <w:qFormat/>
    <w:uiPriority w:val="99"/>
    <w:rPr>
      <w:rFonts w:ascii="宋体" w:hAnsi="Times New Roman" w:eastAsia="宋体" w:cs="宋体"/>
      <w:sz w:val="22"/>
      <w:szCs w:val="22"/>
      <w:lang w:val="en-US" w:eastAsia="zh-CN" w:bidi="ar-SA"/>
    </w:rPr>
  </w:style>
  <w:style w:type="paragraph" w:customStyle="1" w:styleId="44">
    <w:name w:val="纯文本_0"/>
    <w:basedOn w:val="35"/>
    <w:qFormat/>
    <w:uiPriority w:val="0"/>
    <w:rPr>
      <w:rFonts w:ascii="宋体" w:hAnsi="Courier New"/>
      <w:kern w:val="0"/>
      <w:sz w:val="20"/>
      <w:szCs w:val="21"/>
    </w:rPr>
  </w:style>
  <w:style w:type="paragraph" w:customStyle="1" w:styleId="45">
    <w:name w:val="RZ表格"/>
    <w:qFormat/>
    <w:uiPriority w:val="0"/>
    <w:pPr>
      <w:textAlignment w:val="center"/>
    </w:pPr>
    <w:rPr>
      <w:rFonts w:ascii="Times New Roman" w:hAnsi="Times New Roman" w:eastAsia="宋体" w:cs="Times New Roman"/>
      <w:bCs/>
      <w:sz w:val="22"/>
      <w:szCs w:val="24"/>
      <w:lang w:val="en-US" w:eastAsia="zh-CN" w:bidi="ar-SA"/>
    </w:rPr>
  </w:style>
  <w:style w:type="paragraph" w:customStyle="1" w:styleId="46">
    <w:name w:val="正文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7">
    <w:name w:val="font41"/>
    <w:qFormat/>
    <w:uiPriority w:val="0"/>
    <w:rPr>
      <w:rFonts w:ascii="Calibri" w:hAnsi="Calibri" w:cs="Calibri"/>
      <w:color w:val="000000"/>
      <w:sz w:val="21"/>
      <w:szCs w:val="21"/>
      <w:u w:val="none"/>
    </w:rPr>
  </w:style>
  <w:style w:type="character" w:customStyle="1" w:styleId="48">
    <w:name w:val="正文文本 Char"/>
    <w:link w:val="2"/>
    <w:semiHidden/>
    <w:qFormat/>
    <w:uiPriority w:val="99"/>
    <w:rPr>
      <w:rFonts w:ascii="宋体" w:hAnsi="Times New Roman" w:eastAsia="宋体" w:cs="宋体"/>
      <w:kern w:val="0"/>
      <w:sz w:val="22"/>
    </w:rPr>
  </w:style>
  <w:style w:type="character" w:customStyle="1" w:styleId="49">
    <w:name w:val="_Style 0"/>
    <w:qFormat/>
    <w:uiPriority w:val="0"/>
    <w:rPr>
      <w:i/>
      <w:iCs/>
      <w:color w:val="808080"/>
    </w:rPr>
  </w:style>
  <w:style w:type="character" w:customStyle="1" w:styleId="50">
    <w:name w:val="页眉 Char"/>
    <w:link w:val="17"/>
    <w:qFormat/>
    <w:uiPriority w:val="99"/>
    <w:rPr>
      <w:rFonts w:ascii="宋体" w:hAnsi="Times New Roman" w:eastAsia="宋体" w:cs="宋体"/>
      <w:kern w:val="0"/>
      <w:sz w:val="18"/>
      <w:szCs w:val="18"/>
    </w:rPr>
  </w:style>
  <w:style w:type="character" w:customStyle="1" w:styleId="51">
    <w:name w:val="标题 1 Char"/>
    <w:link w:val="3"/>
    <w:qFormat/>
    <w:uiPriority w:val="9"/>
    <w:rPr>
      <w:rFonts w:ascii="宋体" w:hAnsi="Times New Roman" w:eastAsia="宋体" w:cs="宋体"/>
      <w:b/>
      <w:bCs/>
      <w:kern w:val="44"/>
      <w:sz w:val="44"/>
      <w:szCs w:val="44"/>
    </w:rPr>
  </w:style>
  <w:style w:type="character" w:customStyle="1" w:styleId="52">
    <w:name w:val="正文首行缩进 Char"/>
    <w:link w:val="22"/>
    <w:semiHidden/>
    <w:qFormat/>
    <w:uiPriority w:val="99"/>
    <w:rPr>
      <w:rFonts w:ascii="宋体" w:hAnsi="Times New Roman" w:eastAsia="宋体" w:cs="宋体"/>
      <w:kern w:val="0"/>
      <w:sz w:val="22"/>
      <w:szCs w:val="22"/>
    </w:rPr>
  </w:style>
  <w:style w:type="character" w:customStyle="1" w:styleId="53">
    <w:name w:val="批注文字 Char"/>
    <w:link w:val="11"/>
    <w:qFormat/>
    <w:uiPriority w:val="99"/>
    <w:rPr>
      <w:rFonts w:ascii="宋体" w:hAnsi="Times New Roman" w:eastAsia="宋体" w:cs="宋体"/>
      <w:sz w:val="22"/>
      <w:szCs w:val="22"/>
    </w:rPr>
  </w:style>
  <w:style w:type="character" w:customStyle="1" w:styleId="54">
    <w:name w:val="标题 4 Char"/>
    <w:link w:val="6"/>
    <w:semiHidden/>
    <w:qFormat/>
    <w:uiPriority w:val="9"/>
    <w:rPr>
      <w:rFonts w:ascii="等线 Light" w:hAnsi="等线 Light" w:eastAsia="等线 Light" w:cs="Times New Roman"/>
      <w:b/>
      <w:bCs/>
      <w:kern w:val="0"/>
      <w:sz w:val="28"/>
      <w:szCs w:val="28"/>
    </w:rPr>
  </w:style>
  <w:style w:type="character" w:customStyle="1" w:styleId="55">
    <w:name w:val="批注主题 Char"/>
    <w:link w:val="21"/>
    <w:semiHidden/>
    <w:qFormat/>
    <w:uiPriority w:val="99"/>
    <w:rPr>
      <w:rFonts w:ascii="宋体" w:hAnsi="Times New Roman" w:eastAsia="宋体" w:cs="宋体"/>
      <w:b/>
      <w:bCs/>
      <w:sz w:val="22"/>
      <w:szCs w:val="22"/>
    </w:rPr>
  </w:style>
  <w:style w:type="character" w:customStyle="1" w:styleId="56">
    <w:name w:val="标题 3 Char"/>
    <w:link w:val="5"/>
    <w:semiHidden/>
    <w:qFormat/>
    <w:uiPriority w:val="9"/>
    <w:rPr>
      <w:rFonts w:ascii="宋体" w:hAnsi="Times New Roman" w:eastAsia="宋体" w:cs="宋体"/>
      <w:b/>
      <w:bCs/>
      <w:kern w:val="0"/>
      <w:sz w:val="32"/>
      <w:szCs w:val="32"/>
    </w:rPr>
  </w:style>
  <w:style w:type="character" w:customStyle="1" w:styleId="57">
    <w:name w:val="p141_0"/>
    <w:qFormat/>
    <w:uiPriority w:val="0"/>
    <w:rPr>
      <w:rFonts w:ascii="Calibri" w:hAnsi="Calibri"/>
      <w:sz w:val="21"/>
      <w:szCs w:val="21"/>
    </w:rPr>
  </w:style>
  <w:style w:type="character" w:customStyle="1" w:styleId="58">
    <w:name w:val="批注框文本 Char"/>
    <w:link w:val="15"/>
    <w:semiHidden/>
    <w:qFormat/>
    <w:uiPriority w:val="99"/>
    <w:rPr>
      <w:rFonts w:ascii="宋体" w:hAnsi="Times New Roman" w:eastAsia="宋体" w:cs="宋体"/>
      <w:sz w:val="18"/>
      <w:szCs w:val="18"/>
    </w:rPr>
  </w:style>
  <w:style w:type="character" w:customStyle="1" w:styleId="59">
    <w:name w:val="正文文本缩进 3 Char"/>
    <w:link w:val="19"/>
    <w:semiHidden/>
    <w:qFormat/>
    <w:uiPriority w:val="99"/>
    <w:rPr>
      <w:rFonts w:ascii="宋体" w:hAnsi="Times New Roman" w:eastAsia="宋体" w:cs="宋体"/>
      <w:sz w:val="16"/>
      <w:szCs w:val="16"/>
    </w:rPr>
  </w:style>
  <w:style w:type="character" w:customStyle="1" w:styleId="60">
    <w:name w:val="标题 2 Char"/>
    <w:link w:val="4"/>
    <w:semiHidden/>
    <w:qFormat/>
    <w:uiPriority w:val="9"/>
    <w:rPr>
      <w:rFonts w:ascii="等线 Light" w:hAnsi="等线 Light" w:eastAsia="等线 Light" w:cs="Times New Roman"/>
      <w:b/>
      <w:bCs/>
      <w:kern w:val="0"/>
      <w:sz w:val="32"/>
      <w:szCs w:val="32"/>
    </w:rPr>
  </w:style>
  <w:style w:type="character" w:customStyle="1" w:styleId="61">
    <w:name w:val="正文文本 字符1"/>
    <w:semiHidden/>
    <w:qFormat/>
    <w:uiPriority w:val="99"/>
    <w:rPr>
      <w:rFonts w:ascii="宋体" w:hAnsi="Times New Roman" w:eastAsia="宋体" w:cs="宋体"/>
      <w:kern w:val="0"/>
      <w:sz w:val="22"/>
    </w:rPr>
  </w:style>
  <w:style w:type="character" w:customStyle="1" w:styleId="62">
    <w:name w:val="标题 5 Char"/>
    <w:link w:val="7"/>
    <w:semiHidden/>
    <w:qFormat/>
    <w:uiPriority w:val="9"/>
    <w:rPr>
      <w:rFonts w:ascii="宋体" w:hAnsi="Times New Roman" w:eastAsia="宋体" w:cs="宋体"/>
      <w:b/>
      <w:bCs/>
      <w:kern w:val="0"/>
      <w:sz w:val="28"/>
      <w:szCs w:val="28"/>
    </w:rPr>
  </w:style>
  <w:style w:type="character" w:customStyle="1" w:styleId="63">
    <w:name w:val="不明显强调1"/>
    <w:qFormat/>
    <w:uiPriority w:val="0"/>
    <w:rPr>
      <w:i/>
      <w:iCs/>
      <w:color w:val="808080"/>
    </w:rPr>
  </w:style>
  <w:style w:type="character" w:customStyle="1" w:styleId="64">
    <w:name w:val="页脚 Char"/>
    <w:link w:val="16"/>
    <w:qFormat/>
    <w:uiPriority w:val="0"/>
    <w:rPr>
      <w:rFonts w:ascii="宋体" w:hAnsi="Times New Roman" w:eastAsia="宋体" w:cs="宋体"/>
      <w:kern w:val="0"/>
      <w:sz w:val="18"/>
      <w:szCs w:val="18"/>
    </w:rPr>
  </w:style>
  <w:style w:type="paragraph" w:customStyle="1" w:styleId="65">
    <w:name w:val="首行缩进"/>
    <w:basedOn w:val="1"/>
    <w:qFormat/>
    <w:uiPriority w:val="0"/>
    <w:pPr>
      <w:spacing w:line="360" w:lineRule="auto"/>
      <w:ind w:firstLine="420"/>
    </w:pPr>
    <w:rPr>
      <w:rFonts w:ascii="宋体" w:hAnsi="宋体" w:eastAsia="宋体"/>
    </w:rPr>
  </w:style>
  <w:style w:type="character" w:customStyle="1" w:styleId="66">
    <w:name w:val="NormalCharacter"/>
    <w:qFormat/>
    <w:uiPriority w:val="0"/>
  </w:style>
  <w:style w:type="paragraph" w:customStyle="1" w:styleId="67">
    <w:name w:val="null3"/>
    <w:qFormat/>
    <w:uiPriority w:val="0"/>
    <w:rPr>
      <w:rFonts w:hint="eastAsia" w:ascii="Calibri" w:hAnsi="Calibri" w:eastAsia="宋体" w:cs="Times New Roman"/>
      <w:lang w:val="en-US" w:eastAsia="zh-Hans"/>
    </w:rPr>
  </w:style>
  <w:style w:type="character" w:customStyle="1" w:styleId="68">
    <w:name w:val="font101"/>
    <w:qFormat/>
    <w:uiPriority w:val="0"/>
    <w:rPr>
      <w:rFonts w:hint="eastAsia" w:ascii="宋体" w:hAnsi="宋体" w:eastAsia="宋体" w:cs="宋体"/>
      <w:b/>
      <w:bCs/>
      <w:color w:val="000000"/>
      <w:sz w:val="24"/>
      <w:szCs w:val="24"/>
      <w:u w:val="none"/>
    </w:rPr>
  </w:style>
  <w:style w:type="character" w:customStyle="1" w:styleId="69">
    <w:name w:val="font91"/>
    <w:qFormat/>
    <w:uiPriority w:val="0"/>
    <w:rPr>
      <w:rFonts w:hint="eastAsia" w:ascii="宋体" w:hAnsi="宋体" w:eastAsia="宋体" w:cs="宋体"/>
      <w:color w:val="000000"/>
      <w:sz w:val="22"/>
      <w:szCs w:val="22"/>
      <w:u w:val="none"/>
    </w:rPr>
  </w:style>
  <w:style w:type="character" w:customStyle="1" w:styleId="70">
    <w:name w:val="font112"/>
    <w:qFormat/>
    <w:uiPriority w:val="0"/>
    <w:rPr>
      <w:rFonts w:hint="eastAsia" w:ascii="宋体" w:hAnsi="宋体" w:eastAsia="宋体" w:cs="宋体"/>
      <w:color w:val="000000"/>
      <w:sz w:val="24"/>
      <w:szCs w:val="24"/>
      <w:u w:val="none"/>
    </w:rPr>
  </w:style>
  <w:style w:type="character" w:customStyle="1" w:styleId="71">
    <w:name w:val="font61"/>
    <w:qFormat/>
    <w:uiPriority w:val="0"/>
    <w:rPr>
      <w:rFonts w:hint="default" w:ascii="Times New Roman" w:hAnsi="Times New Roman" w:cs="Times New Roman"/>
      <w:color w:val="000000"/>
      <w:sz w:val="24"/>
      <w:szCs w:val="24"/>
      <w:u w:val="none"/>
    </w:rPr>
  </w:style>
  <w:style w:type="character" w:customStyle="1" w:styleId="72">
    <w:name w:val="font51"/>
    <w:qFormat/>
    <w:uiPriority w:val="0"/>
    <w:rPr>
      <w:rFonts w:hint="default" w:ascii="Times New Roman" w:hAnsi="Times New Roman" w:cs="Times New Roman"/>
      <w:color w:val="000000"/>
      <w:sz w:val="22"/>
      <w:szCs w:val="22"/>
      <w:u w:val="none"/>
    </w:rPr>
  </w:style>
  <w:style w:type="character" w:customStyle="1" w:styleId="73">
    <w:name w:val="font121"/>
    <w:qFormat/>
    <w:uiPriority w:val="0"/>
    <w:rPr>
      <w:rFonts w:hint="eastAsia" w:ascii="宋体" w:hAnsi="宋体" w:eastAsia="宋体" w:cs="宋体"/>
      <w:color w:val="000000"/>
      <w:sz w:val="22"/>
      <w:szCs w:val="22"/>
      <w:u w:val="none"/>
    </w:rPr>
  </w:style>
  <w:style w:type="character" w:customStyle="1" w:styleId="74">
    <w:name w:val="font71"/>
    <w:qFormat/>
    <w:uiPriority w:val="0"/>
    <w:rPr>
      <w:rFonts w:hint="default" w:ascii="Times New Roman" w:hAnsi="Times New Roman" w:cs="Times New Roman"/>
      <w:color w:val="000000"/>
      <w:sz w:val="22"/>
      <w:szCs w:val="22"/>
      <w:u w:val="none"/>
    </w:rPr>
  </w:style>
  <w:style w:type="character" w:customStyle="1" w:styleId="75">
    <w:name w:val="font31"/>
    <w:qFormat/>
    <w:uiPriority w:val="0"/>
    <w:rPr>
      <w:rFonts w:hint="eastAsia" w:ascii="宋体" w:hAnsi="宋体" w:eastAsia="宋体" w:cs="宋体"/>
      <w:color w:val="000000"/>
      <w:sz w:val="22"/>
      <w:szCs w:val="22"/>
      <w:u w:val="none"/>
    </w:rPr>
  </w:style>
  <w:style w:type="paragraph" w:customStyle="1" w:styleId="76">
    <w:name w:val="列出段落1"/>
    <w:qFormat/>
    <w:uiPriority w:val="0"/>
    <w:pPr>
      <w:widowControl w:val="0"/>
      <w:autoSpaceDE w:val="0"/>
      <w:autoSpaceDN w:val="0"/>
      <w:adjustRightInd w:val="0"/>
      <w:spacing w:beforeLines="100" w:line="360" w:lineRule="auto"/>
      <w:ind w:left="425" w:firstLine="420" w:firstLineChars="200"/>
    </w:pPr>
    <w:rPr>
      <w:rFonts w:ascii="Calibri" w:hAnsi="Calibri" w:eastAsia="宋体" w:cs="宋体"/>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9732</Words>
  <Characters>9965</Characters>
  <Lines>634</Lines>
  <Paragraphs>178</Paragraphs>
  <TotalTime>0</TotalTime>
  <ScaleCrop>false</ScaleCrop>
  <LinksUpToDate>false</LinksUpToDate>
  <CharactersWithSpaces>10421</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2022-02-21T07:40:00Z</dcterms:created>
  <dc:creator>国义</dc:creator>
  <cp:lastModifiedBy>郑发权</cp:lastModifiedBy>
  <cp:lastPrinted>2023-10-26T07:49:00Z</cp:lastPrinted>
  <dcterms:modified xsi:type="dcterms:W3CDTF">2026-03-19T02:17:37Z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wkhtmltopdf 0.12.5</vt:lpwstr>
  </property>
  <property fmtid="{D5CDD505-2E9C-101B-9397-08002B2CF9AE}" pid="3" name="KSOProductBuildVer">
    <vt:lpwstr>2052-11.8.6.11020</vt:lpwstr>
  </property>
  <property fmtid="{D5CDD505-2E9C-101B-9397-08002B2CF9AE}" pid="4" name="ICV">
    <vt:lpwstr>8A9E50C9F5F04FD49D57D2EB981F388E_13</vt:lpwstr>
  </property>
  <property fmtid="{D5CDD505-2E9C-101B-9397-08002B2CF9AE}" pid="5" name="KSOTemplateDocerSaveRecord">
    <vt:lpwstr>eyJoZGlkIjoiYmMxODA1MDVkNjBiOThlYzIwYmE4NWU4MmQyM2FjZDciLCJ1c2VySWQiOiIzMzMxNjExNzQifQ==</vt:lpwstr>
  </property>
</Properties>
</file>