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59AAA">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jc w:val="center"/>
        <w:textAlignment w:val="baseline"/>
        <w:rPr>
          <w:rFonts w:hint="eastAsia" w:ascii="新宋体" w:hAnsi="新宋体" w:eastAsia="新宋体" w:cs="新宋体"/>
          <w:b/>
          <w:bCs/>
          <w:color w:val="auto"/>
          <w:sz w:val="32"/>
          <w:szCs w:val="32"/>
          <w:highlight w:val="none"/>
          <w:lang w:val="en-US" w:eastAsia="zh-CN"/>
        </w:rPr>
      </w:pPr>
      <w:bookmarkStart w:id="0" w:name="_GoBack"/>
      <w:r>
        <w:rPr>
          <w:rFonts w:hint="eastAsia" w:ascii="新宋体" w:hAnsi="新宋体" w:eastAsia="新宋体" w:cs="新宋体"/>
          <w:b/>
          <w:bCs/>
          <w:color w:val="auto"/>
          <w:spacing w:val="1"/>
          <w:sz w:val="32"/>
          <w:szCs w:val="32"/>
          <w:highlight w:val="none"/>
          <w:lang w:val="en-US" w:eastAsia="zh-CN"/>
        </w:rPr>
        <w:t>招租需求</w:t>
      </w:r>
    </w:p>
    <w:p w14:paraId="6169FE38">
      <w:pPr>
        <w:keepNext w:val="0"/>
        <w:keepLines w:val="0"/>
        <w:pageBreakBefore w:val="0"/>
        <w:widowControl/>
        <w:numPr>
          <w:ilvl w:val="0"/>
          <w:numId w:val="0"/>
        </w:numPr>
        <w:wordWrap w:val="0"/>
        <w:overflowPunct/>
        <w:topLinePunct w:val="0"/>
        <w:autoSpaceDE w:val="0"/>
        <w:autoSpaceDN w:val="0"/>
        <w:bidi w:val="0"/>
        <w:adjustRightInd/>
        <w:snapToGrid/>
        <w:spacing w:line="560" w:lineRule="exact"/>
        <w:ind w:left="0" w:right="0" w:rightChars="0" w:firstLine="0" w:firstLineChars="0"/>
        <w:textAlignment w:val="auto"/>
        <w:rPr>
          <w:rFonts w:hint="default" w:ascii="新宋体" w:hAnsi="新宋体" w:eastAsia="新宋体" w:cs="新宋体"/>
          <w:color w:val="auto"/>
          <w:spacing w:val="-4"/>
          <w:sz w:val="24"/>
          <w:szCs w:val="24"/>
          <w:highlight w:val="none"/>
          <w:lang w:val="en-US" w:eastAsia="zh-CN"/>
        </w:rPr>
      </w:pPr>
      <w:r>
        <w:rPr>
          <w:rFonts w:hint="eastAsia" w:ascii="新宋体" w:hAnsi="新宋体" w:eastAsia="新宋体" w:cs="新宋体"/>
          <w:color w:val="auto"/>
          <w:spacing w:val="-4"/>
          <w:sz w:val="24"/>
          <w:szCs w:val="24"/>
          <w:highlight w:val="none"/>
          <w:lang w:val="en-US" w:eastAsia="zh-CN"/>
        </w:rPr>
        <w:t>说明：</w:t>
      </w:r>
    </w:p>
    <w:p w14:paraId="0FE14AF3">
      <w:pPr>
        <w:pageBreakBefore w:val="0"/>
        <w:widowControl/>
        <w:kinsoku/>
        <w:wordWrap w:val="0"/>
        <w:overflowPunct/>
        <w:topLinePunct w:val="0"/>
        <w:autoSpaceDE/>
        <w:autoSpaceDN/>
        <w:bidi w:val="0"/>
        <w:adjustRightInd/>
        <w:snapToGrid/>
        <w:spacing w:line="560" w:lineRule="exact"/>
        <w:ind w:left="0" w:right="0" w:firstLine="0" w:firstLineChars="0"/>
        <w:textAlignment w:val="auto"/>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lang w:val="zh-CN"/>
        </w:rPr>
        <w:t>带“★”的为重要的</w:t>
      </w:r>
      <w:r>
        <w:rPr>
          <w:rFonts w:hint="eastAsia" w:ascii="宋体" w:hAnsi="宋体" w:cs="宋体"/>
          <w:color w:val="auto"/>
          <w:sz w:val="24"/>
          <w:highlight w:val="none"/>
        </w:rPr>
        <w:t>服务</w:t>
      </w:r>
      <w:r>
        <w:rPr>
          <w:rFonts w:hint="eastAsia" w:ascii="宋体" w:hAnsi="宋体" w:cs="宋体"/>
          <w:color w:val="auto"/>
          <w:sz w:val="24"/>
          <w:highlight w:val="none"/>
          <w:lang w:val="zh-CN"/>
        </w:rPr>
        <w:t>条款</w:t>
      </w:r>
      <w:r>
        <w:rPr>
          <w:rFonts w:hint="eastAsia" w:ascii="宋体" w:hAnsi="宋体" w:cs="宋体"/>
          <w:color w:val="auto"/>
          <w:sz w:val="24"/>
          <w:highlight w:val="none"/>
        </w:rPr>
        <w:t>要求</w:t>
      </w:r>
      <w:r>
        <w:rPr>
          <w:rFonts w:hint="eastAsia" w:ascii="宋体" w:hAnsi="宋体" w:cs="宋体"/>
          <w:color w:val="auto"/>
          <w:sz w:val="24"/>
          <w:highlight w:val="none"/>
          <w:lang w:val="zh-CN"/>
        </w:rPr>
        <w:t>，对其中的任何不满足都将导致</w:t>
      </w:r>
      <w:r>
        <w:rPr>
          <w:rFonts w:hint="eastAsia" w:ascii="宋体" w:hAnsi="宋体" w:cs="宋体"/>
          <w:color w:val="auto"/>
          <w:sz w:val="24"/>
          <w:highlight w:val="none"/>
        </w:rPr>
        <w:t>响应</w:t>
      </w:r>
      <w:r>
        <w:rPr>
          <w:rFonts w:hint="eastAsia" w:ascii="宋体" w:hAnsi="宋体" w:cs="宋体"/>
          <w:color w:val="auto"/>
          <w:sz w:val="24"/>
          <w:highlight w:val="none"/>
          <w:lang w:val="zh-CN"/>
        </w:rPr>
        <w:t>无效。</w:t>
      </w:r>
    </w:p>
    <w:p w14:paraId="4F70FCBB">
      <w:pPr>
        <w:pageBreakBefore w:val="0"/>
        <w:widowControl/>
        <w:kinsoku/>
        <w:wordWrap w:val="0"/>
        <w:overflowPunct/>
        <w:topLinePunct w:val="0"/>
        <w:autoSpaceDE/>
        <w:autoSpaceDN/>
        <w:bidi w:val="0"/>
        <w:adjustRightInd/>
        <w:snapToGrid/>
        <w:spacing w:line="560" w:lineRule="exact"/>
        <w:ind w:left="0" w:right="0" w:firstLine="0" w:firstLineChars="0"/>
        <w:textAlignment w:val="auto"/>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lang w:val="zh-CN"/>
        </w:rPr>
        <w:t>本项目有明确标明“适用于包组”或“【包组】”或“（包组）”或其他明确说明的内容，则适用于对应包组。若无任何标明或明确说明的，则适用所有包组。</w:t>
      </w:r>
    </w:p>
    <w:p w14:paraId="73959818">
      <w:pPr>
        <w:keepNext w:val="0"/>
        <w:keepLines w:val="0"/>
        <w:pageBreakBefore w:val="0"/>
        <w:widowControl/>
        <w:wordWrap w:val="0"/>
        <w:overflowPunct/>
        <w:topLinePunct w:val="0"/>
        <w:autoSpaceDE w:val="0"/>
        <w:autoSpaceDN w:val="0"/>
        <w:bidi w:val="0"/>
        <w:adjustRightInd/>
        <w:snapToGrid/>
        <w:spacing w:line="560" w:lineRule="exact"/>
        <w:ind w:left="0" w:right="0" w:firstLine="0" w:firstLineChars="0"/>
        <w:textAlignment w:val="auto"/>
        <w:rPr>
          <w:rFonts w:hint="eastAsia" w:ascii="宋体" w:hAnsi="宋体" w:eastAsia="宋体" w:cs="宋体"/>
          <w:color w:val="auto"/>
          <w:sz w:val="24"/>
          <w:szCs w:val="24"/>
          <w:highlight w:val="none"/>
        </w:rPr>
      </w:pPr>
      <w:r>
        <w:rPr>
          <w:rFonts w:hint="eastAsia" w:ascii="宋体" w:hAnsi="宋体" w:cs="宋体"/>
          <w:color w:val="auto"/>
          <w:sz w:val="24"/>
          <w:highlight w:val="none"/>
          <w:lang w:val="en-US" w:eastAsia="zh-CN"/>
        </w:rPr>
        <w:t>3.意向承租方须对本项目（有划分包组的，则以包组为单位）进行整体投标响应，任何只针对其中一部分内容的投标响应都被视为无效投标响应。</w:t>
      </w:r>
    </w:p>
    <w:p w14:paraId="5D38FBED">
      <w:pPr>
        <w:pStyle w:val="4"/>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rFonts w:hint="eastAsia" w:ascii="新宋体" w:hAnsi="新宋体" w:eastAsia="新宋体" w:cs="新宋体"/>
          <w:b/>
          <w:bCs/>
          <w:color w:val="auto"/>
          <w:spacing w:val="-4"/>
          <w:sz w:val="24"/>
          <w:szCs w:val="24"/>
          <w:highlight w:val="none"/>
          <w:lang w:eastAsia="zh-CN"/>
        </w:rPr>
      </w:pPr>
      <w:r>
        <w:rPr>
          <w:rFonts w:hint="eastAsia" w:ascii="新宋体" w:hAnsi="新宋体" w:eastAsia="新宋体" w:cs="新宋体"/>
          <w:b/>
          <w:bCs/>
          <w:color w:val="auto"/>
          <w:spacing w:val="-4"/>
          <w:sz w:val="24"/>
          <w:szCs w:val="24"/>
          <w:highlight w:val="none"/>
        </w:rPr>
        <w:t>项目概况</w:t>
      </w:r>
    </w:p>
    <w:p w14:paraId="77D4E8E4">
      <w:pPr>
        <w:keepNext w:val="0"/>
        <w:keepLines w:val="0"/>
        <w:pageBreakBefore w:val="0"/>
        <w:widowControl/>
        <w:numPr>
          <w:ilvl w:val="0"/>
          <w:numId w:val="2"/>
        </w:numPr>
        <w:kinsoku/>
        <w:wordWrap w:val="0"/>
        <w:overflowPunct/>
        <w:topLinePunct w:val="0"/>
        <w:autoSpaceDE/>
        <w:autoSpaceDN/>
        <w:bidi w:val="0"/>
        <w:adjustRightInd/>
        <w:snapToGrid/>
        <w:spacing w:line="560" w:lineRule="exact"/>
        <w:ind w:left="0" w:leftChars="0" w:right="0" w:firstLine="0" w:firstLineChars="0"/>
        <w:textAlignment w:val="auto"/>
        <w:rPr>
          <w:rFonts w:hint="eastAsia" w:ascii="宋体" w:hAnsi="宋体" w:cs="宋体"/>
          <w:color w:val="auto"/>
          <w:sz w:val="24"/>
          <w:highlight w:val="none"/>
          <w:lang w:val="zh-CN"/>
        </w:rPr>
      </w:pPr>
      <w:r>
        <w:rPr>
          <w:rFonts w:hint="eastAsia" w:ascii="宋体" w:hAnsi="宋体" w:cs="宋体"/>
          <w:color w:val="auto"/>
          <w:sz w:val="24"/>
          <w:highlight w:val="none"/>
          <w:lang w:val="zh-CN"/>
        </w:rPr>
        <w:t>广州医科大学附属妇女儿童医疗中心食堂对外公开招租。本次招租分为2个</w:t>
      </w:r>
      <w:r>
        <w:rPr>
          <w:rFonts w:hint="eastAsia" w:ascii="宋体" w:hAnsi="宋体" w:eastAsia="宋体" w:cs="宋体"/>
          <w:color w:val="auto"/>
          <w:sz w:val="24"/>
          <w:highlight w:val="none"/>
          <w:lang w:val="en-US" w:eastAsia="zh-CN"/>
        </w:rPr>
        <w:t>包组</w:t>
      </w:r>
      <w:r>
        <w:rPr>
          <w:rFonts w:hint="eastAsia" w:ascii="宋体" w:hAnsi="宋体" w:cs="宋体"/>
          <w:color w:val="auto"/>
          <w:sz w:val="24"/>
          <w:highlight w:val="none"/>
          <w:lang w:val="zh-CN"/>
        </w:rPr>
        <w:t>（包组1：</w:t>
      </w:r>
      <w:r>
        <w:rPr>
          <w:rFonts w:hint="eastAsia" w:ascii="宋体" w:hAnsi="宋体" w:eastAsia="宋体" w:cs="宋体"/>
          <w:color w:val="auto"/>
          <w:sz w:val="24"/>
          <w:highlight w:val="none"/>
          <w:lang w:val="en-US" w:eastAsia="zh-CN"/>
        </w:rPr>
        <w:t xml:space="preserve"> 城中院区，</w:t>
      </w:r>
      <w:r>
        <w:rPr>
          <w:rFonts w:hint="eastAsia" w:ascii="宋体" w:hAnsi="宋体" w:cs="宋体"/>
          <w:color w:val="auto"/>
          <w:sz w:val="24"/>
          <w:highlight w:val="none"/>
          <w:lang w:val="zh-CN"/>
        </w:rPr>
        <w:t>包含珠江新城院区、儿童医院(分院)、妇婴医院(分院)职工食堂；包组2：</w:t>
      </w:r>
      <w:r>
        <w:rPr>
          <w:rFonts w:hint="eastAsia" w:ascii="宋体" w:hAnsi="宋体" w:eastAsia="宋体" w:cs="宋体"/>
          <w:color w:val="auto"/>
          <w:sz w:val="24"/>
          <w:highlight w:val="none"/>
          <w:lang w:val="en-US" w:eastAsia="zh-CN"/>
        </w:rPr>
        <w:t>东部院区，</w:t>
      </w:r>
      <w:r>
        <w:rPr>
          <w:rFonts w:hint="eastAsia" w:ascii="宋体" w:hAnsi="宋体" w:cs="宋体"/>
          <w:color w:val="auto"/>
          <w:sz w:val="24"/>
          <w:highlight w:val="none"/>
          <w:lang w:val="zh-CN"/>
        </w:rPr>
        <w:t>包含增城</w:t>
      </w:r>
      <w:r>
        <w:rPr>
          <w:rFonts w:hint="eastAsia" w:ascii="宋体" w:hAnsi="宋体" w:eastAsia="宋体" w:cs="宋体"/>
          <w:color w:val="auto"/>
          <w:sz w:val="24"/>
          <w:highlight w:val="none"/>
          <w:lang w:val="en-US" w:eastAsia="zh-CN"/>
        </w:rPr>
        <w:t>医院</w:t>
      </w:r>
      <w:r>
        <w:rPr>
          <w:rFonts w:hint="eastAsia" w:ascii="宋体" w:hAnsi="宋体" w:cs="宋体"/>
          <w:color w:val="auto"/>
          <w:sz w:val="24"/>
          <w:highlight w:val="none"/>
          <w:lang w:val="zh-CN"/>
        </w:rPr>
        <w:t>（</w:t>
      </w:r>
      <w:r>
        <w:rPr>
          <w:rFonts w:hint="eastAsia" w:ascii="宋体" w:hAnsi="宋体" w:eastAsia="宋体" w:cs="宋体"/>
          <w:color w:val="auto"/>
          <w:sz w:val="24"/>
          <w:highlight w:val="none"/>
          <w:lang w:val="en-US" w:eastAsia="zh-CN"/>
        </w:rPr>
        <w:t>分院</w:t>
      </w:r>
      <w:r>
        <w:rPr>
          <w:rFonts w:hint="eastAsia" w:ascii="宋体" w:hAnsi="宋体" w:cs="宋体"/>
          <w:color w:val="auto"/>
          <w:sz w:val="24"/>
          <w:highlight w:val="none"/>
          <w:lang w:val="zh-CN"/>
        </w:rPr>
        <w:t>）职工食堂，意向承租方可选择单个包组投标响应，也可选择多个包组投标响应。</w:t>
      </w:r>
    </w:p>
    <w:p w14:paraId="7CBBD8E6">
      <w:pPr>
        <w:keepNext w:val="0"/>
        <w:keepLines w:val="0"/>
        <w:pageBreakBefore w:val="0"/>
        <w:widowControl/>
        <w:numPr>
          <w:ilvl w:val="0"/>
          <w:numId w:val="2"/>
        </w:numPr>
        <w:kinsoku/>
        <w:wordWrap w:val="0"/>
        <w:overflowPunct/>
        <w:topLinePunct w:val="0"/>
        <w:autoSpaceDE/>
        <w:autoSpaceDN/>
        <w:bidi w:val="0"/>
        <w:adjustRightInd/>
        <w:snapToGrid/>
        <w:spacing w:line="560" w:lineRule="exact"/>
        <w:ind w:left="0" w:leftChars="0" w:right="0" w:firstLine="0" w:firstLineChars="0"/>
        <w:textAlignment w:val="auto"/>
        <w:rPr>
          <w:rFonts w:hint="eastAsia" w:ascii="宋体" w:hAnsi="宋体" w:cs="宋体"/>
          <w:color w:val="auto"/>
          <w:sz w:val="24"/>
          <w:highlight w:val="none"/>
          <w:lang w:val="zh-CN"/>
        </w:rPr>
      </w:pPr>
      <w:r>
        <w:rPr>
          <w:rFonts w:hint="eastAsia" w:ascii="宋体" w:hAnsi="宋体" w:cs="宋体"/>
          <w:color w:val="auto"/>
          <w:sz w:val="24"/>
          <w:highlight w:val="none"/>
          <w:lang w:val="zh-CN"/>
        </w:rPr>
        <w:t>服务对象：招租方管理范围内的员工、规培生、研究生、进修生、实习生、合作单位员工、住院患者及住院患者家属等。</w:t>
      </w:r>
    </w:p>
    <w:p w14:paraId="27604F90">
      <w:pPr>
        <w:keepNext w:val="0"/>
        <w:keepLines w:val="0"/>
        <w:pageBreakBefore w:val="0"/>
        <w:widowControl/>
        <w:numPr>
          <w:ilvl w:val="0"/>
          <w:numId w:val="2"/>
        </w:numPr>
        <w:kinsoku/>
        <w:wordWrap w:val="0"/>
        <w:overflowPunct/>
        <w:topLinePunct w:val="0"/>
        <w:autoSpaceDE/>
        <w:autoSpaceDN/>
        <w:bidi w:val="0"/>
        <w:adjustRightInd/>
        <w:snapToGrid/>
        <w:spacing w:line="560" w:lineRule="exact"/>
        <w:ind w:left="0" w:leftChars="0" w:right="0" w:firstLine="0" w:firstLineChars="0"/>
        <w:textAlignment w:val="auto"/>
        <w:rPr>
          <w:rFonts w:hint="eastAsia" w:ascii="宋体" w:hAnsi="宋体" w:cs="宋体"/>
          <w:color w:val="auto"/>
          <w:sz w:val="24"/>
          <w:highlight w:val="none"/>
          <w:lang w:val="zh-CN"/>
        </w:rPr>
      </w:pPr>
      <w:r>
        <w:rPr>
          <w:rFonts w:hint="eastAsia" w:ascii="宋体" w:hAnsi="宋体" w:cs="宋体"/>
          <w:color w:val="auto"/>
          <w:sz w:val="24"/>
          <w:highlight w:val="none"/>
          <w:lang w:val="zh-CN"/>
        </w:rPr>
        <w:t>服务项目：职工早、午、晚堂食， 职工</w:t>
      </w:r>
      <w:r>
        <w:rPr>
          <w:rFonts w:hint="eastAsia" w:ascii="宋体" w:hAnsi="宋体" w:eastAsia="宋体" w:cs="宋体"/>
          <w:color w:val="auto"/>
          <w:sz w:val="24"/>
          <w:highlight w:val="none"/>
          <w:lang w:val="en-US" w:eastAsia="zh-CN"/>
        </w:rPr>
        <w:t>早、</w:t>
      </w:r>
      <w:r>
        <w:rPr>
          <w:rFonts w:hint="eastAsia" w:ascii="宋体" w:hAnsi="宋体" w:cs="宋体"/>
          <w:color w:val="auto"/>
          <w:sz w:val="24"/>
          <w:highlight w:val="none"/>
          <w:lang w:val="zh-CN"/>
        </w:rPr>
        <w:t>午、晚配送餐，职工午、晚过时餐，医院层面接待餐、工作餐、茶歇的供餐服务，并根据职工需求，提供围餐、自助餐、庆功宴、生日宴、部门聚餐及美食节活动等餐饮服务。</w:t>
      </w:r>
    </w:p>
    <w:p w14:paraId="2F8351F4">
      <w:pPr>
        <w:keepNext w:val="0"/>
        <w:keepLines w:val="0"/>
        <w:pageBreakBefore w:val="0"/>
        <w:widowControl/>
        <w:numPr>
          <w:ilvl w:val="0"/>
          <w:numId w:val="2"/>
        </w:numPr>
        <w:kinsoku/>
        <w:wordWrap w:val="0"/>
        <w:overflowPunct/>
        <w:topLinePunct w:val="0"/>
        <w:autoSpaceDE/>
        <w:autoSpaceDN/>
        <w:bidi w:val="0"/>
        <w:adjustRightInd/>
        <w:snapToGrid/>
        <w:spacing w:line="560" w:lineRule="exact"/>
        <w:ind w:left="0" w:leftChars="0" w:right="0" w:firstLine="0" w:firstLineChars="0"/>
        <w:textAlignment w:val="auto"/>
        <w:rPr>
          <w:rFonts w:hint="default" w:ascii="新宋体" w:hAnsi="新宋体" w:eastAsia="新宋体" w:cs="新宋体"/>
          <w:b/>
          <w:bCs/>
          <w:color w:val="auto"/>
          <w:spacing w:val="-4"/>
          <w:sz w:val="24"/>
          <w:szCs w:val="24"/>
          <w:highlight w:val="none"/>
          <w:lang w:val="en-US" w:eastAsia="zh-CN"/>
        </w:rPr>
      </w:pPr>
      <w:r>
        <w:rPr>
          <w:rFonts w:hint="eastAsia" w:ascii="新宋体" w:hAnsi="新宋体" w:eastAsia="新宋体" w:cs="新宋体"/>
          <w:color w:val="auto"/>
          <w:spacing w:val="17"/>
          <w:sz w:val="24"/>
          <w:szCs w:val="24"/>
          <w:highlight w:val="none"/>
          <w:lang w:val="en-US" w:eastAsia="zh-CN"/>
        </w:rPr>
        <w:t>珠江新城院区职工食堂，位于广州市天河区金穗路9号：</w:t>
      </w:r>
    </w:p>
    <w:p w14:paraId="35586624">
      <w:pPr>
        <w:keepNext w:val="0"/>
        <w:keepLines w:val="0"/>
        <w:pageBreakBefore w:val="0"/>
        <w:widowControl/>
        <w:numPr>
          <w:ilvl w:val="0"/>
          <w:numId w:val="3"/>
        </w:numPr>
        <w:kinsoku/>
        <w:wordWrap w:val="0"/>
        <w:overflowPunct/>
        <w:topLinePunct w:val="0"/>
        <w:autoSpaceDE/>
        <w:autoSpaceDN/>
        <w:bidi w:val="0"/>
        <w:adjustRightInd/>
        <w:snapToGrid/>
        <w:spacing w:line="560" w:lineRule="exact"/>
        <w:ind w:left="0" w:leftChars="0" w:right="0" w:firstLine="0" w:firstLineChars="0"/>
        <w:textAlignment w:val="auto"/>
        <w:rPr>
          <w:rFonts w:hint="eastAsia" w:ascii="新宋体" w:hAnsi="新宋体" w:eastAsia="新宋体" w:cs="新宋体"/>
          <w:b w:val="0"/>
          <w:bCs w:val="0"/>
          <w:color w:val="auto"/>
          <w:spacing w:val="-4"/>
          <w:sz w:val="24"/>
          <w:szCs w:val="24"/>
          <w:highlight w:val="none"/>
          <w:lang w:val="en-US" w:eastAsia="zh-CN"/>
        </w:rPr>
      </w:pPr>
      <w:r>
        <w:rPr>
          <w:rFonts w:hint="eastAsia" w:ascii="新宋体" w:hAnsi="新宋体" w:eastAsia="新宋体" w:cs="新宋体"/>
          <w:color w:val="auto"/>
          <w:spacing w:val="17"/>
          <w:sz w:val="24"/>
          <w:szCs w:val="24"/>
          <w:highlight w:val="none"/>
        </w:rPr>
        <w:t>职工约2</w:t>
      </w:r>
      <w:r>
        <w:rPr>
          <w:rFonts w:hint="eastAsia" w:ascii="新宋体" w:hAnsi="新宋体" w:eastAsia="新宋体" w:cs="新宋体"/>
          <w:color w:val="auto"/>
          <w:spacing w:val="17"/>
          <w:sz w:val="24"/>
          <w:szCs w:val="24"/>
          <w:highlight w:val="none"/>
          <w:lang w:val="en-US" w:eastAsia="zh-CN"/>
        </w:rPr>
        <w:t>10</w:t>
      </w:r>
      <w:r>
        <w:rPr>
          <w:rFonts w:hint="eastAsia" w:ascii="新宋体" w:hAnsi="新宋体" w:eastAsia="新宋体" w:cs="新宋体"/>
          <w:color w:val="auto"/>
          <w:spacing w:val="17"/>
          <w:sz w:val="24"/>
          <w:szCs w:val="24"/>
          <w:highlight w:val="none"/>
        </w:rPr>
        <w:t>0人，患者床位约</w:t>
      </w:r>
      <w:r>
        <w:rPr>
          <w:rFonts w:hint="eastAsia" w:ascii="新宋体" w:hAnsi="新宋体" w:eastAsia="新宋体" w:cs="新宋体"/>
          <w:color w:val="auto"/>
          <w:spacing w:val="17"/>
          <w:sz w:val="24"/>
          <w:szCs w:val="24"/>
          <w:highlight w:val="none"/>
          <w:lang w:val="en-US" w:eastAsia="zh-CN"/>
        </w:rPr>
        <w:t>700</w:t>
      </w:r>
      <w:r>
        <w:rPr>
          <w:rFonts w:hint="eastAsia" w:ascii="新宋体" w:hAnsi="新宋体" w:eastAsia="新宋体" w:cs="新宋体"/>
          <w:color w:val="auto"/>
          <w:spacing w:val="17"/>
          <w:sz w:val="24"/>
          <w:szCs w:val="24"/>
          <w:highlight w:val="none"/>
        </w:rPr>
        <w:t>张</w:t>
      </w:r>
      <w:r>
        <w:rPr>
          <w:rFonts w:hint="eastAsia" w:ascii="新宋体" w:hAnsi="新宋体" w:eastAsia="新宋体" w:cs="新宋体"/>
          <w:color w:val="auto"/>
          <w:spacing w:val="17"/>
          <w:sz w:val="24"/>
          <w:szCs w:val="24"/>
          <w:highlight w:val="none"/>
          <w:lang w:eastAsia="zh-CN"/>
        </w:rPr>
        <w:t>，</w:t>
      </w:r>
      <w:r>
        <w:rPr>
          <w:rFonts w:ascii="宋体" w:hAnsi="宋体" w:eastAsia="宋体" w:cs="宋体"/>
          <w:color w:val="auto"/>
          <w:spacing w:val="-4"/>
          <w:sz w:val="24"/>
          <w:szCs w:val="24"/>
          <w:highlight w:val="none"/>
        </w:rPr>
        <w:t>日均用餐人次约为</w:t>
      </w:r>
      <w:r>
        <w:rPr>
          <w:rFonts w:ascii="宋体" w:hAnsi="宋体" w:eastAsia="宋体" w:cs="宋体"/>
          <w:color w:val="auto"/>
          <w:spacing w:val="-41"/>
          <w:sz w:val="24"/>
          <w:szCs w:val="24"/>
          <w:highlight w:val="none"/>
        </w:rPr>
        <w:t xml:space="preserve"> </w:t>
      </w:r>
      <w:r>
        <w:rPr>
          <w:rFonts w:hint="eastAsia" w:ascii="宋体" w:hAnsi="宋体" w:eastAsia="宋体" w:cs="宋体"/>
          <w:color w:val="auto"/>
          <w:spacing w:val="-4"/>
          <w:sz w:val="24"/>
          <w:szCs w:val="24"/>
          <w:highlight w:val="none"/>
          <w:lang w:val="en-US" w:eastAsia="zh-CN"/>
        </w:rPr>
        <w:t>3</w:t>
      </w:r>
      <w:r>
        <w:rPr>
          <w:rFonts w:ascii="宋体" w:hAnsi="宋体" w:eastAsia="宋体" w:cs="宋体"/>
          <w:color w:val="auto"/>
          <w:spacing w:val="-4"/>
          <w:sz w:val="24"/>
          <w:szCs w:val="24"/>
          <w:highlight w:val="none"/>
        </w:rPr>
        <w:t>500</w:t>
      </w:r>
      <w:r>
        <w:rPr>
          <w:rFonts w:ascii="宋体" w:hAnsi="宋体" w:eastAsia="宋体" w:cs="宋体"/>
          <w:color w:val="auto"/>
          <w:spacing w:val="-49"/>
          <w:sz w:val="24"/>
          <w:szCs w:val="24"/>
          <w:highlight w:val="none"/>
        </w:rPr>
        <w:t xml:space="preserve"> </w:t>
      </w:r>
      <w:r>
        <w:rPr>
          <w:rFonts w:ascii="宋体" w:hAnsi="宋体" w:eastAsia="宋体" w:cs="宋体"/>
          <w:color w:val="auto"/>
          <w:spacing w:val="-4"/>
          <w:sz w:val="24"/>
          <w:szCs w:val="24"/>
          <w:highlight w:val="none"/>
        </w:rPr>
        <w:t>人次</w:t>
      </w:r>
      <w:r>
        <w:rPr>
          <w:rFonts w:hint="eastAsia" w:ascii="新宋体" w:hAnsi="新宋体" w:eastAsia="新宋体" w:cs="新宋体"/>
          <w:color w:val="auto"/>
          <w:spacing w:val="17"/>
          <w:sz w:val="24"/>
          <w:szCs w:val="24"/>
          <w:highlight w:val="none"/>
          <w:lang w:eastAsia="zh-CN"/>
        </w:rPr>
        <w:t>。</w:t>
      </w:r>
    </w:p>
    <w:p w14:paraId="39DD7DF5">
      <w:pPr>
        <w:keepNext w:val="0"/>
        <w:keepLines w:val="0"/>
        <w:pageBreakBefore w:val="0"/>
        <w:widowControl/>
        <w:numPr>
          <w:ilvl w:val="0"/>
          <w:numId w:val="3"/>
        </w:numPr>
        <w:kinsoku/>
        <w:wordWrap w:val="0"/>
        <w:overflowPunct/>
        <w:topLinePunct w:val="0"/>
        <w:autoSpaceDE/>
        <w:autoSpaceDN/>
        <w:bidi w:val="0"/>
        <w:adjustRightInd/>
        <w:snapToGrid/>
        <w:spacing w:line="560" w:lineRule="exact"/>
        <w:ind w:left="0" w:leftChars="0" w:right="0" w:firstLine="0" w:firstLineChars="0"/>
        <w:textAlignment w:val="auto"/>
        <w:rPr>
          <w:rFonts w:hint="eastAsia" w:ascii="新宋体" w:hAnsi="新宋体" w:eastAsia="新宋体" w:cs="新宋体"/>
          <w:b w:val="0"/>
          <w:bCs w:val="0"/>
          <w:color w:val="auto"/>
          <w:spacing w:val="-4"/>
          <w:sz w:val="24"/>
          <w:szCs w:val="24"/>
          <w:highlight w:val="none"/>
          <w:lang w:eastAsia="zh-CN"/>
        </w:rPr>
      </w:pPr>
      <w:r>
        <w:rPr>
          <w:rFonts w:hint="eastAsia" w:ascii="新宋体" w:hAnsi="新宋体" w:eastAsia="新宋体" w:cs="新宋体"/>
          <w:b w:val="0"/>
          <w:bCs w:val="0"/>
          <w:color w:val="auto"/>
          <w:spacing w:val="-4"/>
          <w:sz w:val="24"/>
          <w:szCs w:val="24"/>
          <w:highlight w:val="none"/>
          <w:lang w:eastAsia="zh-CN"/>
        </w:rPr>
        <w:t>职工餐厅：</w:t>
      </w:r>
      <w:r>
        <w:rPr>
          <w:rFonts w:hint="eastAsia" w:ascii="新宋体" w:hAnsi="新宋体" w:eastAsia="新宋体" w:cs="新宋体"/>
          <w:color w:val="auto"/>
          <w:spacing w:val="17"/>
          <w:sz w:val="24"/>
          <w:szCs w:val="24"/>
          <w:highlight w:val="none"/>
          <w:lang w:val="en-US" w:eastAsia="zh-CN"/>
        </w:rPr>
        <w:t>住院部负一楼</w:t>
      </w:r>
      <w:r>
        <w:rPr>
          <w:rFonts w:hint="eastAsia" w:ascii="新宋体" w:hAnsi="新宋体" w:eastAsia="新宋体" w:cs="新宋体"/>
          <w:color w:val="auto"/>
          <w:spacing w:val="17"/>
          <w:sz w:val="24"/>
          <w:szCs w:val="24"/>
          <w:highlight w:val="none"/>
        </w:rPr>
        <w:t>，</w:t>
      </w:r>
      <w:r>
        <w:rPr>
          <w:rFonts w:hint="eastAsia" w:ascii="新宋体" w:hAnsi="新宋体" w:eastAsia="新宋体" w:cs="新宋体"/>
          <w:b w:val="0"/>
          <w:bCs w:val="0"/>
          <w:color w:val="auto"/>
          <w:spacing w:val="-4"/>
          <w:sz w:val="24"/>
          <w:szCs w:val="24"/>
          <w:highlight w:val="none"/>
          <w:lang w:eastAsia="zh-CN"/>
        </w:rPr>
        <w:t>总面积约</w:t>
      </w:r>
      <w:r>
        <w:rPr>
          <w:rFonts w:hint="eastAsia" w:ascii="新宋体" w:hAnsi="新宋体" w:eastAsia="新宋体" w:cs="新宋体"/>
          <w:b w:val="0"/>
          <w:bCs w:val="0"/>
          <w:color w:val="auto"/>
          <w:spacing w:val="-4"/>
          <w:sz w:val="24"/>
          <w:szCs w:val="24"/>
          <w:highlight w:val="none"/>
          <w:lang w:val="en-US" w:eastAsia="zh-CN"/>
        </w:rPr>
        <w:t>960</w:t>
      </w:r>
      <w:r>
        <w:rPr>
          <w:rFonts w:ascii="宋体" w:hAnsi="宋体" w:eastAsia="宋体" w:cs="宋体"/>
          <w:b w:val="0"/>
          <w:bCs w:val="0"/>
          <w:color w:val="auto"/>
          <w:spacing w:val="-4"/>
          <w:sz w:val="24"/>
          <w:szCs w:val="24"/>
          <w:highlight w:val="none"/>
        </w:rPr>
        <w:t>m</w:t>
      </w:r>
      <w:r>
        <w:rPr>
          <w:rFonts w:ascii="宋体" w:hAnsi="宋体" w:eastAsia="宋体" w:cs="宋体"/>
          <w:b w:val="0"/>
          <w:bCs w:val="0"/>
          <w:color w:val="auto"/>
          <w:spacing w:val="-4"/>
          <w:position w:val="11"/>
          <w:sz w:val="12"/>
          <w:szCs w:val="12"/>
          <w:highlight w:val="none"/>
        </w:rPr>
        <w:t>2</w:t>
      </w:r>
      <w:r>
        <w:rPr>
          <w:rFonts w:hint="eastAsia" w:ascii="新宋体" w:hAnsi="新宋体" w:eastAsia="新宋体" w:cs="新宋体"/>
          <w:b w:val="0"/>
          <w:bCs w:val="0"/>
          <w:color w:val="auto"/>
          <w:spacing w:val="-4"/>
          <w:sz w:val="24"/>
          <w:szCs w:val="24"/>
          <w:highlight w:val="none"/>
          <w:lang w:eastAsia="zh-CN"/>
        </w:rPr>
        <w:t>。</w:t>
      </w:r>
    </w:p>
    <w:p w14:paraId="0C3F67A7">
      <w:pPr>
        <w:keepNext w:val="0"/>
        <w:keepLines w:val="0"/>
        <w:pageBreakBefore w:val="0"/>
        <w:widowControl/>
        <w:numPr>
          <w:ilvl w:val="0"/>
          <w:numId w:val="3"/>
        </w:numPr>
        <w:kinsoku/>
        <w:wordWrap w:val="0"/>
        <w:overflowPunct/>
        <w:topLinePunct w:val="0"/>
        <w:autoSpaceDE/>
        <w:autoSpaceDN/>
        <w:bidi w:val="0"/>
        <w:adjustRightInd/>
        <w:snapToGrid/>
        <w:spacing w:line="560" w:lineRule="exact"/>
        <w:ind w:left="0" w:leftChars="0" w:right="0" w:firstLine="0" w:firstLineChars="0"/>
        <w:textAlignment w:val="auto"/>
        <w:rPr>
          <w:rFonts w:hint="eastAsia" w:ascii="新宋体" w:hAnsi="新宋体" w:eastAsia="新宋体" w:cs="新宋体"/>
          <w:b w:val="0"/>
          <w:bCs w:val="0"/>
          <w:color w:val="auto"/>
          <w:spacing w:val="-4"/>
          <w:sz w:val="24"/>
          <w:szCs w:val="24"/>
          <w:highlight w:val="none"/>
          <w:lang w:eastAsia="zh-CN"/>
        </w:rPr>
      </w:pPr>
      <w:r>
        <w:rPr>
          <w:rFonts w:hint="eastAsia" w:ascii="新宋体" w:hAnsi="新宋体" w:eastAsia="新宋体" w:cs="新宋体"/>
          <w:b w:val="0"/>
          <w:bCs w:val="0"/>
          <w:color w:val="auto"/>
          <w:spacing w:val="-4"/>
          <w:sz w:val="24"/>
          <w:szCs w:val="24"/>
          <w:highlight w:val="none"/>
          <w:lang w:val="en-US" w:eastAsia="zh-CN"/>
        </w:rPr>
        <w:t>水吧</w:t>
      </w:r>
      <w:r>
        <w:rPr>
          <w:rFonts w:hint="eastAsia" w:ascii="新宋体" w:hAnsi="新宋体" w:eastAsia="新宋体" w:cs="新宋体"/>
          <w:b w:val="0"/>
          <w:bCs w:val="0"/>
          <w:color w:val="auto"/>
          <w:spacing w:val="-4"/>
          <w:sz w:val="24"/>
          <w:szCs w:val="24"/>
          <w:highlight w:val="none"/>
          <w:lang w:eastAsia="zh-CN"/>
        </w:rPr>
        <w:t>：</w:t>
      </w:r>
      <w:r>
        <w:rPr>
          <w:rFonts w:hint="eastAsia" w:ascii="新宋体" w:hAnsi="新宋体" w:eastAsia="新宋体" w:cs="新宋体"/>
          <w:color w:val="auto"/>
          <w:spacing w:val="17"/>
          <w:sz w:val="24"/>
          <w:szCs w:val="24"/>
          <w:highlight w:val="none"/>
          <w:lang w:val="en-US" w:eastAsia="zh-CN"/>
        </w:rPr>
        <w:t>住院部负一楼</w:t>
      </w:r>
      <w:r>
        <w:rPr>
          <w:rFonts w:hint="eastAsia" w:ascii="新宋体" w:hAnsi="新宋体" w:eastAsia="新宋体" w:cs="新宋体"/>
          <w:color w:val="auto"/>
          <w:spacing w:val="17"/>
          <w:sz w:val="24"/>
          <w:szCs w:val="24"/>
          <w:highlight w:val="none"/>
        </w:rPr>
        <w:t>，</w:t>
      </w:r>
      <w:r>
        <w:rPr>
          <w:rFonts w:hint="eastAsia" w:ascii="新宋体" w:hAnsi="新宋体" w:eastAsia="新宋体" w:cs="新宋体"/>
          <w:b w:val="0"/>
          <w:bCs w:val="0"/>
          <w:color w:val="auto"/>
          <w:spacing w:val="-4"/>
          <w:sz w:val="24"/>
          <w:szCs w:val="24"/>
          <w:highlight w:val="none"/>
          <w:lang w:eastAsia="zh-CN"/>
        </w:rPr>
        <w:t>面积约</w:t>
      </w:r>
      <w:r>
        <w:rPr>
          <w:rFonts w:hint="eastAsia" w:ascii="新宋体" w:hAnsi="新宋体" w:eastAsia="新宋体" w:cs="新宋体"/>
          <w:b w:val="0"/>
          <w:bCs w:val="0"/>
          <w:color w:val="auto"/>
          <w:spacing w:val="-4"/>
          <w:sz w:val="24"/>
          <w:szCs w:val="24"/>
          <w:highlight w:val="none"/>
          <w:lang w:val="en-US" w:eastAsia="zh-CN"/>
        </w:rPr>
        <w:t>60</w:t>
      </w:r>
      <w:r>
        <w:rPr>
          <w:rFonts w:ascii="宋体" w:hAnsi="宋体" w:eastAsia="宋体" w:cs="宋体"/>
          <w:b w:val="0"/>
          <w:bCs w:val="0"/>
          <w:color w:val="auto"/>
          <w:spacing w:val="-4"/>
          <w:sz w:val="24"/>
          <w:szCs w:val="24"/>
          <w:highlight w:val="none"/>
        </w:rPr>
        <w:t>m</w:t>
      </w:r>
      <w:r>
        <w:rPr>
          <w:rFonts w:ascii="宋体" w:hAnsi="宋体" w:eastAsia="宋体" w:cs="宋体"/>
          <w:b w:val="0"/>
          <w:bCs w:val="0"/>
          <w:color w:val="auto"/>
          <w:spacing w:val="-4"/>
          <w:position w:val="11"/>
          <w:sz w:val="12"/>
          <w:szCs w:val="12"/>
          <w:highlight w:val="none"/>
        </w:rPr>
        <w:t>2</w:t>
      </w:r>
      <w:r>
        <w:rPr>
          <w:rFonts w:ascii="宋体" w:hAnsi="宋体" w:eastAsia="宋体" w:cs="宋体"/>
          <w:b w:val="0"/>
          <w:bCs w:val="0"/>
          <w:color w:val="auto"/>
          <w:spacing w:val="-31"/>
          <w:position w:val="11"/>
          <w:sz w:val="12"/>
          <w:szCs w:val="12"/>
          <w:highlight w:val="none"/>
        </w:rPr>
        <w:t xml:space="preserve"> </w:t>
      </w:r>
      <w:r>
        <w:rPr>
          <w:rFonts w:hint="eastAsia" w:ascii="新宋体" w:hAnsi="新宋体" w:eastAsia="新宋体" w:cs="新宋体"/>
          <w:b w:val="0"/>
          <w:bCs w:val="0"/>
          <w:color w:val="auto"/>
          <w:spacing w:val="-4"/>
          <w:sz w:val="24"/>
          <w:szCs w:val="24"/>
          <w:highlight w:val="none"/>
          <w:lang w:eastAsia="zh-CN"/>
        </w:rPr>
        <w:t>，</w:t>
      </w:r>
      <w:r>
        <w:rPr>
          <w:rFonts w:hint="eastAsia" w:ascii="新宋体" w:hAnsi="新宋体" w:eastAsia="新宋体" w:cs="新宋体"/>
          <w:b w:val="0"/>
          <w:bCs w:val="0"/>
          <w:color w:val="auto"/>
          <w:spacing w:val="-4"/>
          <w:sz w:val="24"/>
          <w:szCs w:val="24"/>
          <w:highlight w:val="none"/>
          <w:lang w:val="en-US" w:eastAsia="zh-CN"/>
        </w:rPr>
        <w:t>室内环境，</w:t>
      </w:r>
      <w:r>
        <w:rPr>
          <w:rFonts w:hint="eastAsia" w:ascii="新宋体" w:hAnsi="新宋体" w:eastAsia="新宋体" w:cs="新宋体"/>
          <w:b w:val="0"/>
          <w:bCs w:val="0"/>
          <w:color w:val="auto"/>
          <w:spacing w:val="-4"/>
          <w:sz w:val="24"/>
          <w:szCs w:val="24"/>
          <w:highlight w:val="none"/>
          <w:lang w:eastAsia="zh-CN"/>
        </w:rPr>
        <w:t>24 小时空调环境。</w:t>
      </w:r>
    </w:p>
    <w:p w14:paraId="2935F294">
      <w:pPr>
        <w:keepNext w:val="0"/>
        <w:keepLines w:val="0"/>
        <w:pageBreakBefore w:val="0"/>
        <w:widowControl/>
        <w:numPr>
          <w:ilvl w:val="0"/>
          <w:numId w:val="2"/>
        </w:numPr>
        <w:kinsoku/>
        <w:wordWrap w:val="0"/>
        <w:overflowPunct/>
        <w:topLinePunct w:val="0"/>
        <w:autoSpaceDE/>
        <w:autoSpaceDN/>
        <w:bidi w:val="0"/>
        <w:adjustRightInd/>
        <w:snapToGrid/>
        <w:spacing w:line="560" w:lineRule="exact"/>
        <w:ind w:left="0" w:leftChars="0" w:right="0" w:firstLine="0" w:firstLineChars="0"/>
        <w:textAlignment w:val="auto"/>
        <w:rPr>
          <w:rFonts w:hint="eastAsia" w:ascii="新宋体" w:hAnsi="新宋体" w:eastAsia="新宋体" w:cs="新宋体"/>
          <w:b/>
          <w:bCs/>
          <w:color w:val="auto"/>
          <w:spacing w:val="-4"/>
          <w:sz w:val="24"/>
          <w:szCs w:val="24"/>
          <w:highlight w:val="none"/>
          <w:lang w:eastAsia="zh-CN"/>
        </w:rPr>
      </w:pPr>
      <w:r>
        <w:rPr>
          <w:rFonts w:hint="eastAsia" w:ascii="宋体" w:hAnsi="宋体" w:cs="宋体"/>
          <w:color w:val="auto"/>
          <w:sz w:val="24"/>
          <w:highlight w:val="none"/>
          <w:lang w:val="zh-CN"/>
        </w:rPr>
        <w:t>儿童医院(分院</w:t>
      </w:r>
      <w:r>
        <w:rPr>
          <w:rFonts w:hint="eastAsia" w:ascii="宋体" w:hAnsi="宋体" w:cs="宋体"/>
          <w:b w:val="0"/>
          <w:bCs w:val="0"/>
          <w:color w:val="auto"/>
          <w:sz w:val="24"/>
          <w:highlight w:val="none"/>
          <w:lang w:val="zh-CN"/>
        </w:rPr>
        <w:t>)</w:t>
      </w:r>
      <w:r>
        <w:rPr>
          <w:rFonts w:hint="eastAsia" w:ascii="新宋体" w:hAnsi="新宋体" w:eastAsia="新宋体" w:cs="新宋体"/>
          <w:b w:val="0"/>
          <w:bCs w:val="0"/>
          <w:color w:val="auto"/>
          <w:spacing w:val="-4"/>
          <w:sz w:val="24"/>
          <w:szCs w:val="24"/>
          <w:highlight w:val="none"/>
          <w:lang w:eastAsia="zh-CN"/>
        </w:rPr>
        <w:t>，</w:t>
      </w:r>
      <w:r>
        <w:rPr>
          <w:rFonts w:hint="eastAsia" w:ascii="新宋体" w:hAnsi="新宋体" w:eastAsia="新宋体" w:cs="新宋体"/>
          <w:b w:val="0"/>
          <w:bCs w:val="0"/>
          <w:color w:val="auto"/>
          <w:spacing w:val="17"/>
          <w:sz w:val="24"/>
          <w:szCs w:val="24"/>
          <w:highlight w:val="none"/>
          <w:lang w:val="en-US" w:eastAsia="zh-CN"/>
        </w:rPr>
        <w:t>位</w:t>
      </w:r>
      <w:r>
        <w:rPr>
          <w:rFonts w:hint="eastAsia" w:ascii="新宋体" w:hAnsi="新宋体" w:eastAsia="新宋体" w:cs="新宋体"/>
          <w:color w:val="auto"/>
          <w:spacing w:val="17"/>
          <w:sz w:val="24"/>
          <w:szCs w:val="24"/>
          <w:highlight w:val="none"/>
          <w:lang w:val="en-US" w:eastAsia="zh-CN"/>
        </w:rPr>
        <w:t>于广州市越秀区人民中路318号：</w:t>
      </w:r>
    </w:p>
    <w:p w14:paraId="35A235C2">
      <w:pPr>
        <w:keepNext w:val="0"/>
        <w:keepLines w:val="0"/>
        <w:pageBreakBefore w:val="0"/>
        <w:widowControl/>
        <w:numPr>
          <w:ilvl w:val="0"/>
          <w:numId w:val="4"/>
        </w:numPr>
        <w:kinsoku/>
        <w:wordWrap w:val="0"/>
        <w:overflowPunct/>
        <w:topLinePunct w:val="0"/>
        <w:autoSpaceDE/>
        <w:autoSpaceDN/>
        <w:bidi w:val="0"/>
        <w:adjustRightInd/>
        <w:snapToGrid/>
        <w:spacing w:line="560" w:lineRule="exact"/>
        <w:ind w:left="0" w:leftChars="0" w:right="0" w:firstLine="0" w:firstLineChars="0"/>
        <w:textAlignment w:val="auto"/>
        <w:rPr>
          <w:rFonts w:hint="eastAsia" w:ascii="新宋体" w:hAnsi="新宋体" w:eastAsia="新宋体" w:cs="新宋体"/>
          <w:b/>
          <w:bCs/>
          <w:color w:val="auto"/>
          <w:spacing w:val="-4"/>
          <w:sz w:val="24"/>
          <w:szCs w:val="24"/>
          <w:highlight w:val="none"/>
          <w:lang w:eastAsia="zh-CN"/>
        </w:rPr>
      </w:pPr>
      <w:r>
        <w:rPr>
          <w:rFonts w:hint="eastAsia" w:ascii="新宋体" w:hAnsi="新宋体" w:eastAsia="新宋体" w:cs="新宋体"/>
          <w:b w:val="0"/>
          <w:bCs w:val="0"/>
          <w:color w:val="auto"/>
          <w:spacing w:val="17"/>
          <w:sz w:val="24"/>
          <w:szCs w:val="24"/>
          <w:highlight w:val="none"/>
        </w:rPr>
        <w:t>职工约</w:t>
      </w:r>
      <w:r>
        <w:rPr>
          <w:rFonts w:hint="eastAsia" w:ascii="新宋体" w:hAnsi="新宋体" w:eastAsia="新宋体" w:cs="新宋体"/>
          <w:b w:val="0"/>
          <w:bCs w:val="0"/>
          <w:color w:val="auto"/>
          <w:spacing w:val="17"/>
          <w:sz w:val="24"/>
          <w:szCs w:val="24"/>
          <w:highlight w:val="none"/>
          <w:lang w:val="en-US" w:eastAsia="zh-CN"/>
        </w:rPr>
        <w:t>1000</w:t>
      </w:r>
      <w:r>
        <w:rPr>
          <w:rFonts w:hint="eastAsia" w:ascii="新宋体" w:hAnsi="新宋体" w:eastAsia="新宋体" w:cs="新宋体"/>
          <w:b w:val="0"/>
          <w:bCs w:val="0"/>
          <w:color w:val="auto"/>
          <w:spacing w:val="17"/>
          <w:sz w:val="24"/>
          <w:szCs w:val="24"/>
          <w:highlight w:val="none"/>
        </w:rPr>
        <w:t>人，患者床位约</w:t>
      </w:r>
      <w:r>
        <w:rPr>
          <w:rFonts w:hint="eastAsia" w:ascii="新宋体" w:hAnsi="新宋体" w:eastAsia="新宋体" w:cs="新宋体"/>
          <w:b w:val="0"/>
          <w:bCs w:val="0"/>
          <w:color w:val="auto"/>
          <w:spacing w:val="17"/>
          <w:sz w:val="24"/>
          <w:szCs w:val="24"/>
          <w:highlight w:val="none"/>
          <w:lang w:val="en-US" w:eastAsia="zh-CN"/>
        </w:rPr>
        <w:t>600</w:t>
      </w:r>
      <w:r>
        <w:rPr>
          <w:rFonts w:hint="eastAsia" w:ascii="新宋体" w:hAnsi="新宋体" w:eastAsia="新宋体" w:cs="新宋体"/>
          <w:b w:val="0"/>
          <w:bCs w:val="0"/>
          <w:color w:val="auto"/>
          <w:spacing w:val="17"/>
          <w:sz w:val="24"/>
          <w:szCs w:val="24"/>
          <w:highlight w:val="none"/>
        </w:rPr>
        <w:t>张</w:t>
      </w:r>
      <w:r>
        <w:rPr>
          <w:rFonts w:hint="eastAsia" w:ascii="新宋体" w:hAnsi="新宋体" w:eastAsia="新宋体" w:cs="新宋体"/>
          <w:b w:val="0"/>
          <w:bCs w:val="0"/>
          <w:color w:val="auto"/>
          <w:spacing w:val="17"/>
          <w:sz w:val="24"/>
          <w:szCs w:val="24"/>
          <w:highlight w:val="none"/>
          <w:lang w:eastAsia="zh-CN"/>
        </w:rPr>
        <w:t>，</w:t>
      </w:r>
      <w:r>
        <w:rPr>
          <w:rFonts w:ascii="宋体" w:hAnsi="宋体" w:eastAsia="宋体" w:cs="宋体"/>
          <w:color w:val="auto"/>
          <w:spacing w:val="-4"/>
          <w:sz w:val="24"/>
          <w:szCs w:val="24"/>
          <w:highlight w:val="none"/>
        </w:rPr>
        <w:t>日均用餐人次约为</w:t>
      </w:r>
      <w:r>
        <w:rPr>
          <w:rFonts w:hint="eastAsia" w:ascii="新宋体" w:hAnsi="新宋体" w:eastAsia="新宋体" w:cs="新宋体"/>
          <w:color w:val="auto"/>
          <w:spacing w:val="17"/>
          <w:sz w:val="24"/>
          <w:szCs w:val="24"/>
          <w:highlight w:val="none"/>
          <w:lang w:val="en-US" w:eastAsia="zh-CN"/>
        </w:rPr>
        <w:t>2100</w:t>
      </w:r>
      <w:r>
        <w:rPr>
          <w:rFonts w:ascii="宋体" w:hAnsi="宋体" w:eastAsia="宋体" w:cs="宋体"/>
          <w:color w:val="auto"/>
          <w:spacing w:val="-4"/>
          <w:sz w:val="24"/>
          <w:szCs w:val="24"/>
          <w:highlight w:val="none"/>
        </w:rPr>
        <w:t>人次</w:t>
      </w:r>
      <w:r>
        <w:rPr>
          <w:rFonts w:hint="eastAsia" w:ascii="宋体" w:hAnsi="宋体" w:eastAsia="宋体" w:cs="宋体"/>
          <w:color w:val="auto"/>
          <w:spacing w:val="-4"/>
          <w:sz w:val="24"/>
          <w:szCs w:val="24"/>
          <w:highlight w:val="none"/>
          <w:lang w:eastAsia="zh-CN"/>
        </w:rPr>
        <w:t>。</w:t>
      </w:r>
    </w:p>
    <w:p w14:paraId="0B24A920">
      <w:pPr>
        <w:keepNext w:val="0"/>
        <w:keepLines w:val="0"/>
        <w:pageBreakBefore w:val="0"/>
        <w:widowControl/>
        <w:numPr>
          <w:ilvl w:val="0"/>
          <w:numId w:val="4"/>
        </w:numPr>
        <w:kinsoku/>
        <w:wordWrap w:val="0"/>
        <w:overflowPunct/>
        <w:topLinePunct w:val="0"/>
        <w:autoSpaceDE/>
        <w:autoSpaceDN/>
        <w:bidi w:val="0"/>
        <w:adjustRightInd/>
        <w:snapToGrid/>
        <w:spacing w:line="560" w:lineRule="exact"/>
        <w:ind w:left="0" w:leftChars="0" w:right="0" w:firstLine="0" w:firstLineChars="0"/>
        <w:textAlignment w:val="auto"/>
        <w:rPr>
          <w:rFonts w:hint="eastAsia" w:ascii="新宋体" w:hAnsi="新宋体" w:eastAsia="新宋体" w:cs="新宋体"/>
          <w:b/>
          <w:bCs/>
          <w:color w:val="auto"/>
          <w:spacing w:val="-4"/>
          <w:sz w:val="24"/>
          <w:szCs w:val="24"/>
          <w:highlight w:val="none"/>
          <w:lang w:eastAsia="zh-CN"/>
        </w:rPr>
      </w:pPr>
      <w:r>
        <w:rPr>
          <w:rFonts w:hint="eastAsia" w:ascii="新宋体" w:hAnsi="新宋体" w:eastAsia="新宋体" w:cs="新宋体"/>
          <w:b w:val="0"/>
          <w:bCs w:val="0"/>
          <w:color w:val="auto"/>
          <w:spacing w:val="-4"/>
          <w:sz w:val="24"/>
          <w:szCs w:val="24"/>
          <w:highlight w:val="none"/>
          <w:lang w:eastAsia="zh-CN"/>
        </w:rPr>
        <w:t>职工餐厅：</w:t>
      </w:r>
      <w:r>
        <w:rPr>
          <w:rFonts w:hint="eastAsia" w:ascii="新宋体" w:hAnsi="新宋体" w:eastAsia="新宋体" w:cs="新宋体"/>
          <w:color w:val="auto"/>
          <w:spacing w:val="17"/>
          <w:sz w:val="24"/>
          <w:szCs w:val="24"/>
          <w:highlight w:val="none"/>
          <w:lang w:val="en-US" w:eastAsia="zh-CN"/>
        </w:rPr>
        <w:t>3号楼1楼，</w:t>
      </w:r>
      <w:r>
        <w:rPr>
          <w:rFonts w:hint="eastAsia" w:ascii="新宋体" w:hAnsi="新宋体" w:eastAsia="新宋体" w:cs="新宋体"/>
          <w:color w:val="auto"/>
          <w:spacing w:val="17"/>
          <w:sz w:val="24"/>
          <w:szCs w:val="24"/>
          <w:highlight w:val="none"/>
        </w:rPr>
        <w:t>建筑面积</w:t>
      </w:r>
      <w:r>
        <w:rPr>
          <w:rFonts w:hint="eastAsia" w:ascii="新宋体" w:hAnsi="新宋体" w:eastAsia="新宋体" w:cs="新宋体"/>
          <w:color w:val="auto"/>
          <w:spacing w:val="17"/>
          <w:sz w:val="24"/>
          <w:szCs w:val="24"/>
          <w:highlight w:val="none"/>
          <w:lang w:val="en-US" w:eastAsia="zh-CN"/>
        </w:rPr>
        <w:t>约500</w:t>
      </w:r>
      <w:r>
        <w:rPr>
          <w:rFonts w:hint="eastAsia" w:ascii="新宋体" w:hAnsi="新宋体" w:eastAsia="新宋体" w:cs="新宋体"/>
          <w:color w:val="auto"/>
          <w:spacing w:val="17"/>
          <w:sz w:val="24"/>
          <w:szCs w:val="24"/>
          <w:highlight w:val="none"/>
        </w:rPr>
        <w:t>平方米</w:t>
      </w:r>
      <w:r>
        <w:rPr>
          <w:rFonts w:hint="eastAsia" w:ascii="新宋体" w:hAnsi="新宋体" w:eastAsia="新宋体" w:cs="新宋体"/>
          <w:color w:val="auto"/>
          <w:spacing w:val="17"/>
          <w:sz w:val="24"/>
          <w:szCs w:val="24"/>
          <w:highlight w:val="none"/>
          <w:lang w:eastAsia="zh-CN"/>
        </w:rPr>
        <w:t>。</w:t>
      </w:r>
    </w:p>
    <w:p w14:paraId="1B640848">
      <w:pPr>
        <w:pageBreakBefore w:val="0"/>
        <w:widowControl/>
        <w:numPr>
          <w:ilvl w:val="0"/>
          <w:numId w:val="2"/>
        </w:numPr>
        <w:kinsoku/>
        <w:wordWrap w:val="0"/>
        <w:overflowPunct/>
        <w:topLinePunct w:val="0"/>
        <w:autoSpaceDE/>
        <w:autoSpaceDN/>
        <w:bidi w:val="0"/>
        <w:adjustRightInd/>
        <w:snapToGrid/>
        <w:spacing w:line="560" w:lineRule="exact"/>
        <w:ind w:left="425" w:leftChars="0" w:right="0" w:hanging="425" w:firstLineChars="0"/>
        <w:textAlignment w:val="auto"/>
        <w:rPr>
          <w:rFonts w:hint="eastAsia" w:ascii="新宋体" w:hAnsi="新宋体" w:eastAsia="新宋体" w:cs="新宋体"/>
          <w:color w:val="auto"/>
          <w:spacing w:val="17"/>
          <w:sz w:val="24"/>
          <w:szCs w:val="24"/>
          <w:highlight w:val="none"/>
          <w:lang w:val="en-US" w:eastAsia="zh-CN"/>
        </w:rPr>
      </w:pPr>
      <w:r>
        <w:rPr>
          <w:rFonts w:hint="eastAsia" w:ascii="新宋体" w:hAnsi="新宋体" w:eastAsia="新宋体" w:cs="新宋体"/>
          <w:color w:val="auto"/>
          <w:spacing w:val="17"/>
          <w:sz w:val="24"/>
          <w:szCs w:val="24"/>
          <w:highlight w:val="none"/>
          <w:lang w:val="en-US" w:eastAsia="zh-CN"/>
        </w:rPr>
        <w:t>妇婴医院（分院），位于广州市越秀区人民中路402号：</w:t>
      </w:r>
    </w:p>
    <w:p w14:paraId="072DB158">
      <w:pPr>
        <w:keepNext w:val="0"/>
        <w:keepLines w:val="0"/>
        <w:pageBreakBefore w:val="0"/>
        <w:widowControl/>
        <w:numPr>
          <w:ilvl w:val="0"/>
          <w:numId w:val="5"/>
        </w:numPr>
        <w:kinsoku/>
        <w:wordWrap w:val="0"/>
        <w:overflowPunct/>
        <w:topLinePunct w:val="0"/>
        <w:autoSpaceDE/>
        <w:autoSpaceDN/>
        <w:bidi w:val="0"/>
        <w:adjustRightInd/>
        <w:snapToGrid/>
        <w:spacing w:line="560" w:lineRule="exact"/>
        <w:ind w:left="0" w:leftChars="0" w:right="0" w:firstLine="0" w:firstLineChars="0"/>
        <w:textAlignment w:val="auto"/>
        <w:rPr>
          <w:rFonts w:hint="eastAsia" w:ascii="新宋体" w:hAnsi="新宋体" w:eastAsia="新宋体" w:cs="新宋体"/>
          <w:b w:val="0"/>
          <w:bCs w:val="0"/>
          <w:color w:val="auto"/>
          <w:spacing w:val="-4"/>
          <w:sz w:val="24"/>
          <w:szCs w:val="24"/>
          <w:highlight w:val="none"/>
          <w:lang w:val="en-US" w:eastAsia="zh-CN"/>
        </w:rPr>
      </w:pPr>
      <w:r>
        <w:rPr>
          <w:rFonts w:hint="eastAsia" w:ascii="新宋体" w:hAnsi="新宋体" w:eastAsia="新宋体" w:cs="新宋体"/>
          <w:color w:val="auto"/>
          <w:spacing w:val="17"/>
          <w:sz w:val="24"/>
          <w:szCs w:val="24"/>
          <w:highlight w:val="none"/>
        </w:rPr>
        <w:t>职工约</w:t>
      </w:r>
      <w:r>
        <w:rPr>
          <w:rFonts w:hint="eastAsia" w:ascii="新宋体" w:hAnsi="新宋体" w:eastAsia="新宋体" w:cs="新宋体"/>
          <w:color w:val="auto"/>
          <w:spacing w:val="17"/>
          <w:sz w:val="24"/>
          <w:szCs w:val="24"/>
          <w:highlight w:val="none"/>
          <w:lang w:val="en-US" w:eastAsia="zh-CN"/>
        </w:rPr>
        <w:t>400</w:t>
      </w:r>
      <w:r>
        <w:rPr>
          <w:rFonts w:hint="eastAsia" w:ascii="新宋体" w:hAnsi="新宋体" w:eastAsia="新宋体" w:cs="新宋体"/>
          <w:color w:val="auto"/>
          <w:spacing w:val="17"/>
          <w:sz w:val="24"/>
          <w:szCs w:val="24"/>
          <w:highlight w:val="none"/>
        </w:rPr>
        <w:t>人，患者床位约</w:t>
      </w:r>
      <w:r>
        <w:rPr>
          <w:rFonts w:hint="eastAsia" w:ascii="新宋体" w:hAnsi="新宋体" w:eastAsia="新宋体" w:cs="新宋体"/>
          <w:color w:val="auto"/>
          <w:spacing w:val="17"/>
          <w:sz w:val="24"/>
          <w:szCs w:val="24"/>
          <w:highlight w:val="none"/>
          <w:lang w:val="en-US" w:eastAsia="zh-CN"/>
        </w:rPr>
        <w:t>250</w:t>
      </w:r>
      <w:r>
        <w:rPr>
          <w:rFonts w:hint="eastAsia" w:ascii="新宋体" w:hAnsi="新宋体" w:eastAsia="新宋体" w:cs="新宋体"/>
          <w:color w:val="auto"/>
          <w:spacing w:val="17"/>
          <w:sz w:val="24"/>
          <w:szCs w:val="24"/>
          <w:highlight w:val="none"/>
        </w:rPr>
        <w:t>张</w:t>
      </w:r>
      <w:r>
        <w:rPr>
          <w:rFonts w:hint="eastAsia" w:ascii="新宋体" w:hAnsi="新宋体" w:eastAsia="新宋体" w:cs="新宋体"/>
          <w:color w:val="auto"/>
          <w:spacing w:val="17"/>
          <w:sz w:val="24"/>
          <w:szCs w:val="24"/>
          <w:highlight w:val="none"/>
          <w:lang w:eastAsia="zh-CN"/>
        </w:rPr>
        <w:t>，</w:t>
      </w:r>
      <w:r>
        <w:rPr>
          <w:rFonts w:ascii="宋体" w:hAnsi="宋体" w:eastAsia="宋体" w:cs="宋体"/>
          <w:color w:val="auto"/>
          <w:spacing w:val="-4"/>
          <w:sz w:val="24"/>
          <w:szCs w:val="24"/>
          <w:highlight w:val="none"/>
        </w:rPr>
        <w:t>日均用餐人次约为</w:t>
      </w:r>
      <w:r>
        <w:rPr>
          <w:rFonts w:hint="eastAsia" w:ascii="新宋体" w:hAnsi="新宋体" w:eastAsia="新宋体" w:cs="新宋体"/>
          <w:color w:val="auto"/>
          <w:spacing w:val="17"/>
          <w:sz w:val="24"/>
          <w:szCs w:val="24"/>
          <w:highlight w:val="none"/>
          <w:lang w:val="en-US" w:eastAsia="zh-CN"/>
        </w:rPr>
        <w:t>1100人</w:t>
      </w:r>
      <w:r>
        <w:rPr>
          <w:rFonts w:ascii="宋体" w:hAnsi="宋体" w:eastAsia="宋体" w:cs="宋体"/>
          <w:color w:val="auto"/>
          <w:spacing w:val="-4"/>
          <w:sz w:val="24"/>
          <w:szCs w:val="24"/>
          <w:highlight w:val="none"/>
        </w:rPr>
        <w:t>次</w:t>
      </w:r>
      <w:r>
        <w:rPr>
          <w:rFonts w:hint="eastAsia" w:ascii="宋体" w:hAnsi="宋体" w:eastAsia="宋体" w:cs="宋体"/>
          <w:color w:val="auto"/>
          <w:spacing w:val="-4"/>
          <w:sz w:val="24"/>
          <w:szCs w:val="24"/>
          <w:highlight w:val="none"/>
          <w:lang w:eastAsia="zh-CN"/>
        </w:rPr>
        <w:t>。</w:t>
      </w:r>
    </w:p>
    <w:p w14:paraId="69A3283D">
      <w:pPr>
        <w:keepNext w:val="0"/>
        <w:keepLines w:val="0"/>
        <w:pageBreakBefore w:val="0"/>
        <w:widowControl/>
        <w:numPr>
          <w:ilvl w:val="0"/>
          <w:numId w:val="5"/>
        </w:numPr>
        <w:kinsoku/>
        <w:wordWrap w:val="0"/>
        <w:overflowPunct/>
        <w:topLinePunct w:val="0"/>
        <w:autoSpaceDE/>
        <w:autoSpaceDN/>
        <w:bidi w:val="0"/>
        <w:adjustRightInd/>
        <w:snapToGrid/>
        <w:spacing w:line="560" w:lineRule="exact"/>
        <w:ind w:left="0" w:leftChars="0" w:right="0" w:firstLine="0" w:firstLineChars="0"/>
        <w:textAlignment w:val="auto"/>
        <w:rPr>
          <w:rFonts w:hint="eastAsia" w:ascii="新宋体" w:hAnsi="新宋体" w:eastAsia="新宋体" w:cs="新宋体"/>
          <w:b/>
          <w:bCs/>
          <w:color w:val="auto"/>
          <w:spacing w:val="-4"/>
          <w:sz w:val="24"/>
          <w:szCs w:val="24"/>
          <w:highlight w:val="none"/>
          <w:lang w:eastAsia="zh-CN"/>
        </w:rPr>
      </w:pPr>
      <w:r>
        <w:rPr>
          <w:rFonts w:hint="eastAsia" w:ascii="新宋体" w:hAnsi="新宋体" w:eastAsia="新宋体" w:cs="新宋体"/>
          <w:b w:val="0"/>
          <w:bCs w:val="0"/>
          <w:color w:val="auto"/>
          <w:spacing w:val="-4"/>
          <w:sz w:val="24"/>
          <w:szCs w:val="24"/>
          <w:highlight w:val="none"/>
          <w:lang w:eastAsia="zh-CN"/>
        </w:rPr>
        <w:t>职工餐厅：</w:t>
      </w:r>
      <w:r>
        <w:rPr>
          <w:rFonts w:hint="eastAsia" w:ascii="新宋体" w:hAnsi="新宋体" w:eastAsia="新宋体" w:cs="新宋体"/>
          <w:color w:val="auto"/>
          <w:spacing w:val="17"/>
          <w:sz w:val="24"/>
          <w:szCs w:val="24"/>
          <w:highlight w:val="none"/>
          <w:lang w:val="en-US" w:eastAsia="zh-CN"/>
        </w:rPr>
        <w:t>1楼，</w:t>
      </w:r>
      <w:r>
        <w:rPr>
          <w:rFonts w:hint="eastAsia" w:ascii="新宋体" w:hAnsi="新宋体" w:eastAsia="新宋体" w:cs="新宋体"/>
          <w:color w:val="auto"/>
          <w:spacing w:val="17"/>
          <w:sz w:val="24"/>
          <w:szCs w:val="24"/>
          <w:highlight w:val="none"/>
        </w:rPr>
        <w:t>建筑面积</w:t>
      </w:r>
      <w:r>
        <w:rPr>
          <w:rFonts w:hint="eastAsia" w:ascii="新宋体" w:hAnsi="新宋体" w:eastAsia="新宋体" w:cs="新宋体"/>
          <w:color w:val="auto"/>
          <w:spacing w:val="17"/>
          <w:sz w:val="24"/>
          <w:szCs w:val="24"/>
          <w:highlight w:val="none"/>
          <w:lang w:val="en-US" w:eastAsia="zh-CN"/>
        </w:rPr>
        <w:t>约180</w:t>
      </w:r>
      <w:r>
        <w:rPr>
          <w:rFonts w:hint="eastAsia" w:ascii="新宋体" w:hAnsi="新宋体" w:eastAsia="新宋体" w:cs="新宋体"/>
          <w:color w:val="auto"/>
          <w:spacing w:val="17"/>
          <w:sz w:val="24"/>
          <w:szCs w:val="24"/>
          <w:highlight w:val="none"/>
        </w:rPr>
        <w:t>平方米</w:t>
      </w:r>
      <w:r>
        <w:rPr>
          <w:rFonts w:hint="eastAsia" w:ascii="新宋体" w:hAnsi="新宋体" w:eastAsia="新宋体" w:cs="新宋体"/>
          <w:color w:val="auto"/>
          <w:spacing w:val="17"/>
          <w:sz w:val="24"/>
          <w:szCs w:val="24"/>
          <w:highlight w:val="none"/>
          <w:lang w:eastAsia="zh-CN"/>
        </w:rPr>
        <w:t>。</w:t>
      </w:r>
    </w:p>
    <w:p w14:paraId="014749B2">
      <w:pPr>
        <w:pageBreakBefore w:val="0"/>
        <w:widowControl/>
        <w:numPr>
          <w:ilvl w:val="0"/>
          <w:numId w:val="2"/>
        </w:numPr>
        <w:kinsoku/>
        <w:wordWrap w:val="0"/>
        <w:overflowPunct/>
        <w:topLinePunct w:val="0"/>
        <w:autoSpaceDE/>
        <w:autoSpaceDN/>
        <w:bidi w:val="0"/>
        <w:adjustRightInd/>
        <w:snapToGrid/>
        <w:spacing w:line="560" w:lineRule="exact"/>
        <w:ind w:left="425" w:leftChars="0" w:right="0" w:hanging="425" w:firstLineChars="0"/>
        <w:textAlignment w:val="auto"/>
        <w:rPr>
          <w:rFonts w:hint="eastAsia" w:ascii="新宋体" w:hAnsi="新宋体" w:eastAsia="新宋体" w:cs="新宋体"/>
          <w:color w:val="auto"/>
          <w:spacing w:val="17"/>
          <w:sz w:val="24"/>
          <w:szCs w:val="24"/>
          <w:highlight w:val="none"/>
          <w:lang w:val="en-US" w:eastAsia="zh-CN"/>
        </w:rPr>
      </w:pPr>
      <w:r>
        <w:rPr>
          <w:rFonts w:hint="eastAsia" w:ascii="新宋体" w:hAnsi="新宋体" w:eastAsia="新宋体" w:cs="新宋体"/>
          <w:color w:val="auto"/>
          <w:spacing w:val="17"/>
          <w:sz w:val="24"/>
          <w:szCs w:val="24"/>
          <w:highlight w:val="none"/>
          <w:lang w:val="en-US" w:eastAsia="zh-CN"/>
        </w:rPr>
        <w:t>增城医院(分院)，位于广州市增城区增城大道293号：</w:t>
      </w:r>
    </w:p>
    <w:p w14:paraId="187FABF5">
      <w:pPr>
        <w:keepNext w:val="0"/>
        <w:keepLines w:val="0"/>
        <w:pageBreakBefore w:val="0"/>
        <w:widowControl/>
        <w:numPr>
          <w:ilvl w:val="0"/>
          <w:numId w:val="6"/>
        </w:numPr>
        <w:kinsoku/>
        <w:wordWrap w:val="0"/>
        <w:overflowPunct/>
        <w:topLinePunct w:val="0"/>
        <w:autoSpaceDE/>
        <w:autoSpaceDN/>
        <w:bidi w:val="0"/>
        <w:adjustRightInd/>
        <w:snapToGrid/>
        <w:spacing w:line="560" w:lineRule="exact"/>
        <w:ind w:left="0" w:leftChars="0" w:right="0" w:firstLine="0" w:firstLineChars="0"/>
        <w:textAlignment w:val="auto"/>
        <w:rPr>
          <w:rFonts w:hint="eastAsia" w:ascii="新宋体" w:hAnsi="新宋体" w:eastAsia="新宋体" w:cs="新宋体"/>
          <w:b w:val="0"/>
          <w:bCs w:val="0"/>
          <w:color w:val="auto"/>
          <w:spacing w:val="-4"/>
          <w:sz w:val="24"/>
          <w:szCs w:val="24"/>
          <w:highlight w:val="none"/>
          <w:lang w:val="en-US" w:eastAsia="zh-CN"/>
        </w:rPr>
      </w:pPr>
      <w:r>
        <w:rPr>
          <w:rFonts w:hint="eastAsia" w:ascii="新宋体" w:hAnsi="新宋体" w:eastAsia="新宋体" w:cs="新宋体"/>
          <w:b w:val="0"/>
          <w:bCs w:val="0"/>
          <w:color w:val="auto"/>
          <w:spacing w:val="17"/>
          <w:sz w:val="24"/>
          <w:szCs w:val="24"/>
          <w:highlight w:val="none"/>
          <w:lang w:eastAsia="zh-CN"/>
        </w:rPr>
        <w:t>职工约1500人，患者床位约1000张，</w:t>
      </w:r>
      <w:r>
        <w:rPr>
          <w:rFonts w:ascii="宋体" w:hAnsi="宋体" w:eastAsia="宋体" w:cs="宋体"/>
          <w:color w:val="auto"/>
          <w:spacing w:val="-4"/>
          <w:sz w:val="24"/>
          <w:szCs w:val="24"/>
          <w:highlight w:val="none"/>
        </w:rPr>
        <w:t>日均用餐人次约为</w:t>
      </w:r>
      <w:r>
        <w:rPr>
          <w:rFonts w:hint="eastAsia" w:ascii="新宋体" w:hAnsi="新宋体" w:eastAsia="新宋体" w:cs="新宋体"/>
          <w:color w:val="auto"/>
          <w:spacing w:val="17"/>
          <w:sz w:val="24"/>
          <w:szCs w:val="24"/>
          <w:highlight w:val="none"/>
          <w:lang w:val="en-US" w:eastAsia="zh-CN"/>
        </w:rPr>
        <w:t>2800人</w:t>
      </w:r>
      <w:r>
        <w:rPr>
          <w:rFonts w:ascii="宋体" w:hAnsi="宋体" w:eastAsia="宋体" w:cs="宋体"/>
          <w:color w:val="auto"/>
          <w:spacing w:val="-4"/>
          <w:sz w:val="24"/>
          <w:szCs w:val="24"/>
          <w:highlight w:val="none"/>
        </w:rPr>
        <w:t>次</w:t>
      </w:r>
      <w:r>
        <w:rPr>
          <w:rFonts w:hint="eastAsia" w:ascii="宋体" w:hAnsi="宋体" w:eastAsia="宋体" w:cs="宋体"/>
          <w:color w:val="auto"/>
          <w:spacing w:val="-4"/>
          <w:sz w:val="24"/>
          <w:szCs w:val="24"/>
          <w:highlight w:val="none"/>
          <w:lang w:eastAsia="zh-CN"/>
        </w:rPr>
        <w:t>。</w:t>
      </w:r>
      <w:r>
        <w:rPr>
          <w:rFonts w:hint="eastAsia" w:ascii="新宋体" w:hAnsi="新宋体" w:eastAsia="新宋体" w:cs="新宋体"/>
          <w:b w:val="0"/>
          <w:bCs w:val="0"/>
          <w:color w:val="auto"/>
          <w:spacing w:val="17"/>
          <w:sz w:val="24"/>
          <w:szCs w:val="24"/>
          <w:highlight w:val="none"/>
          <w:lang w:eastAsia="zh-CN"/>
        </w:rPr>
        <w:t>。</w:t>
      </w:r>
    </w:p>
    <w:p w14:paraId="2E2207D8">
      <w:pPr>
        <w:keepNext w:val="0"/>
        <w:keepLines w:val="0"/>
        <w:pageBreakBefore w:val="0"/>
        <w:widowControl/>
        <w:numPr>
          <w:ilvl w:val="0"/>
          <w:numId w:val="6"/>
        </w:numPr>
        <w:shd w:val="clear"/>
        <w:kinsoku/>
        <w:wordWrap w:val="0"/>
        <w:overflowPunct/>
        <w:topLinePunct w:val="0"/>
        <w:autoSpaceDE/>
        <w:autoSpaceDN/>
        <w:bidi w:val="0"/>
        <w:adjustRightInd/>
        <w:snapToGrid/>
        <w:spacing w:line="560" w:lineRule="exact"/>
        <w:ind w:left="0" w:leftChars="0" w:right="0" w:firstLine="0" w:firstLineChars="0"/>
        <w:textAlignment w:val="auto"/>
        <w:rPr>
          <w:rFonts w:hint="eastAsia" w:ascii="新宋体" w:hAnsi="新宋体" w:eastAsia="新宋体" w:cs="新宋体"/>
          <w:b/>
          <w:bCs/>
          <w:color w:val="auto"/>
          <w:spacing w:val="-4"/>
          <w:sz w:val="24"/>
          <w:szCs w:val="24"/>
          <w:highlight w:val="none"/>
          <w:lang w:eastAsia="zh-CN"/>
        </w:rPr>
      </w:pPr>
      <w:r>
        <w:rPr>
          <w:rFonts w:hint="eastAsia" w:ascii="新宋体" w:hAnsi="新宋体" w:eastAsia="新宋体" w:cs="新宋体"/>
          <w:b w:val="0"/>
          <w:bCs w:val="0"/>
          <w:color w:val="auto"/>
          <w:spacing w:val="-4"/>
          <w:sz w:val="24"/>
          <w:szCs w:val="24"/>
          <w:highlight w:val="none"/>
          <w:lang w:eastAsia="zh-CN"/>
        </w:rPr>
        <w:t>职工餐厅：</w:t>
      </w:r>
      <w:r>
        <w:rPr>
          <w:rFonts w:hint="eastAsia" w:ascii="新宋体" w:hAnsi="新宋体" w:eastAsia="新宋体" w:cs="新宋体"/>
          <w:b w:val="0"/>
          <w:bCs w:val="0"/>
          <w:color w:val="auto"/>
          <w:spacing w:val="17"/>
          <w:sz w:val="24"/>
          <w:szCs w:val="24"/>
          <w:highlight w:val="none"/>
          <w:lang w:eastAsia="zh-CN"/>
        </w:rPr>
        <w:t>1楼和负1楼，建筑面积</w:t>
      </w:r>
      <w:r>
        <w:rPr>
          <w:rFonts w:hint="eastAsia" w:ascii="新宋体" w:hAnsi="新宋体" w:eastAsia="新宋体" w:cs="新宋体"/>
          <w:b w:val="0"/>
          <w:bCs w:val="0"/>
          <w:color w:val="auto"/>
          <w:spacing w:val="17"/>
          <w:sz w:val="24"/>
          <w:szCs w:val="24"/>
          <w:highlight w:val="none"/>
          <w:lang w:val="en-US" w:eastAsia="zh-CN"/>
        </w:rPr>
        <w:t>总计</w:t>
      </w:r>
      <w:r>
        <w:rPr>
          <w:rFonts w:hint="eastAsia" w:ascii="新宋体" w:hAnsi="新宋体" w:eastAsia="新宋体" w:cs="新宋体"/>
          <w:b w:val="0"/>
          <w:bCs w:val="0"/>
          <w:color w:val="auto"/>
          <w:spacing w:val="17"/>
          <w:sz w:val="24"/>
          <w:szCs w:val="24"/>
          <w:highlight w:val="none"/>
          <w:lang w:eastAsia="zh-CN"/>
        </w:rPr>
        <w:t>约2000平方米。</w:t>
      </w:r>
    </w:p>
    <w:p w14:paraId="2B359031">
      <w:pPr>
        <w:pStyle w:val="4"/>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rFonts w:hint="eastAsia" w:ascii="宋体" w:hAnsi="宋体" w:eastAsia="Arial" w:cs="宋体"/>
          <w:b/>
          <w:bCs/>
          <w:snapToGrid w:val="0"/>
          <w:color w:val="auto"/>
          <w:kern w:val="0"/>
          <w:sz w:val="24"/>
          <w:szCs w:val="24"/>
          <w:highlight w:val="none"/>
          <w:lang w:val="en-US" w:eastAsia="en-US" w:bidi="ar-SA"/>
        </w:rPr>
      </w:pPr>
      <w:r>
        <w:rPr>
          <w:rFonts w:hint="eastAsia" w:ascii="宋体" w:hAnsi="宋体" w:eastAsia="Arial" w:cs="宋体"/>
          <w:b/>
          <w:bCs/>
          <w:snapToGrid w:val="0"/>
          <w:color w:val="auto"/>
          <w:kern w:val="0"/>
          <w:sz w:val="24"/>
          <w:szCs w:val="24"/>
          <w:highlight w:val="none"/>
          <w:lang w:val="en-US" w:eastAsia="zh-CN" w:bidi="ar-SA"/>
        </w:rPr>
        <w:t>招租</w:t>
      </w:r>
      <w:r>
        <w:rPr>
          <w:rFonts w:hint="eastAsia" w:ascii="宋体" w:hAnsi="宋体" w:eastAsia="Arial" w:cs="宋体"/>
          <w:b/>
          <w:bCs/>
          <w:snapToGrid w:val="0"/>
          <w:color w:val="auto"/>
          <w:kern w:val="0"/>
          <w:sz w:val="24"/>
          <w:szCs w:val="24"/>
          <w:highlight w:val="none"/>
          <w:lang w:val="en-US" w:eastAsia="en-US" w:bidi="ar-SA"/>
        </w:rPr>
        <w:t>要求</w:t>
      </w:r>
    </w:p>
    <w:p w14:paraId="695DC248">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5"/>
          <w:sz w:val="24"/>
          <w:szCs w:val="24"/>
          <w:highlight w:val="none"/>
        </w:rPr>
      </w:pPr>
      <w:r>
        <w:rPr>
          <w:rFonts w:hint="eastAsia" w:ascii="新宋体" w:hAnsi="新宋体" w:eastAsia="新宋体" w:cs="新宋体"/>
          <w:color w:val="auto"/>
          <w:sz w:val="24"/>
          <w:szCs w:val="24"/>
          <w:highlight w:val="none"/>
          <w:lang w:eastAsia="zh-CN"/>
        </w:rPr>
        <w:t>为招租方管理范围内的员工、规培生、研究生、进修生、实习生、合作单位员工、住院患者及住院患者家属等人员提供膳食支持(包括但不限于早餐、午餐、晚餐、夜宵、接待餐等)和全年不间断的饮食及送餐服务。</w:t>
      </w:r>
    </w:p>
    <w:p w14:paraId="60CA551A">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eastAsia" w:ascii="新宋体" w:hAnsi="新宋体" w:eastAsia="新宋体" w:cs="新宋体"/>
          <w:color w:val="auto"/>
          <w:spacing w:val="15"/>
          <w:sz w:val="24"/>
          <w:szCs w:val="24"/>
          <w:highlight w:val="none"/>
        </w:rPr>
        <w:t>按</w:t>
      </w:r>
      <w:r>
        <w:rPr>
          <w:rFonts w:hint="eastAsia" w:ascii="新宋体" w:hAnsi="新宋体" w:eastAsia="新宋体" w:cs="新宋体"/>
          <w:color w:val="auto"/>
          <w:spacing w:val="15"/>
          <w:sz w:val="24"/>
          <w:szCs w:val="24"/>
          <w:highlight w:val="none"/>
          <w:lang w:eastAsia="zh-CN"/>
        </w:rPr>
        <w:t>招租</w:t>
      </w:r>
      <w:r>
        <w:rPr>
          <w:rFonts w:hint="eastAsia" w:ascii="新宋体" w:hAnsi="新宋体" w:eastAsia="新宋体" w:cs="新宋体"/>
          <w:color w:val="auto"/>
          <w:spacing w:val="15"/>
          <w:sz w:val="24"/>
          <w:szCs w:val="24"/>
          <w:highlight w:val="none"/>
        </w:rPr>
        <w:t>方需求提供接待餐和围餐服务，接待能力范围为30人</w:t>
      </w:r>
      <w:r>
        <w:rPr>
          <w:rFonts w:hint="eastAsia" w:ascii="新宋体" w:hAnsi="新宋体" w:eastAsia="新宋体" w:cs="新宋体"/>
          <w:color w:val="auto"/>
          <w:spacing w:val="15"/>
          <w:sz w:val="24"/>
          <w:szCs w:val="24"/>
          <w:highlight w:val="none"/>
          <w:lang w:eastAsia="zh-CN"/>
        </w:rPr>
        <w:t>及</w:t>
      </w:r>
      <w:r>
        <w:rPr>
          <w:rFonts w:hint="eastAsia" w:ascii="新宋体" w:hAnsi="新宋体" w:eastAsia="新宋体" w:cs="新宋体"/>
          <w:color w:val="auto"/>
          <w:spacing w:val="15"/>
          <w:sz w:val="24"/>
          <w:szCs w:val="24"/>
          <w:highlight w:val="none"/>
        </w:rPr>
        <w:t>以上。</w:t>
      </w:r>
    </w:p>
    <w:p w14:paraId="1FFCB7B0">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5"/>
          <w:sz w:val="24"/>
          <w:szCs w:val="24"/>
          <w:highlight w:val="none"/>
        </w:rPr>
      </w:pPr>
      <w:r>
        <w:rPr>
          <w:rFonts w:hint="eastAsia" w:ascii="新宋体" w:hAnsi="新宋体" w:eastAsia="新宋体" w:cs="新宋体"/>
          <w:color w:val="auto"/>
          <w:spacing w:val="15"/>
          <w:sz w:val="24"/>
          <w:szCs w:val="24"/>
          <w:highlight w:val="none"/>
        </w:rPr>
        <w:t>为手术室</w:t>
      </w:r>
      <w:r>
        <w:rPr>
          <w:rFonts w:hint="eastAsia" w:ascii="新宋体" w:hAnsi="新宋体" w:eastAsia="新宋体" w:cs="新宋体"/>
          <w:color w:val="auto"/>
          <w:spacing w:val="15"/>
          <w:sz w:val="24"/>
          <w:szCs w:val="24"/>
          <w:highlight w:val="none"/>
          <w:lang w:eastAsia="zh-CN"/>
        </w:rPr>
        <w:t>、</w:t>
      </w:r>
      <w:r>
        <w:rPr>
          <w:rFonts w:hint="eastAsia" w:ascii="新宋体" w:hAnsi="新宋体" w:eastAsia="新宋体" w:cs="新宋体"/>
          <w:color w:val="auto"/>
          <w:spacing w:val="15"/>
          <w:sz w:val="24"/>
          <w:szCs w:val="24"/>
          <w:highlight w:val="none"/>
          <w:lang w:val="en-US" w:eastAsia="zh-CN"/>
        </w:rPr>
        <w:t>急诊科等科室</w:t>
      </w:r>
      <w:r>
        <w:rPr>
          <w:rFonts w:hint="eastAsia" w:ascii="新宋体" w:hAnsi="新宋体" w:eastAsia="新宋体" w:cs="新宋体"/>
          <w:color w:val="auto"/>
          <w:spacing w:val="15"/>
          <w:sz w:val="24"/>
          <w:szCs w:val="24"/>
          <w:highlight w:val="none"/>
        </w:rPr>
        <w:t>医护人员提供超时用餐服务。</w:t>
      </w:r>
    </w:p>
    <w:p w14:paraId="66B7D905">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rFonts w:hint="eastAsia" w:ascii="新宋体" w:hAnsi="新宋体" w:eastAsia="新宋体" w:cs="新宋体"/>
          <w:color w:val="auto"/>
          <w:spacing w:val="17"/>
          <w:sz w:val="24"/>
          <w:szCs w:val="24"/>
          <w:highlight w:val="none"/>
        </w:rPr>
      </w:pPr>
      <w:r>
        <w:rPr>
          <w:rFonts w:hint="eastAsia" w:ascii="新宋体" w:hAnsi="新宋体" w:eastAsia="新宋体" w:cs="新宋体"/>
          <w:color w:val="auto"/>
          <w:spacing w:val="15"/>
          <w:sz w:val="24"/>
          <w:szCs w:val="24"/>
          <w:highlight w:val="none"/>
        </w:rPr>
        <w:t>设立食堂小卖部售卖点及可移动餐车。承租方须守法经营，不得经营法律、法规禁止的商品或食品。遵守医院管理规定，不得经营易燃易爆、化学危险品及国家规定的相关危险物品；不得经营烟草、酒精饮品、保健品、市级或以上政府部门所规定的食品安全风险较高的食品等商品或餐品。</w:t>
      </w:r>
    </w:p>
    <w:p w14:paraId="101B4BA5">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rFonts w:hint="eastAsia" w:ascii="新宋体" w:hAnsi="新宋体" w:eastAsia="新宋体" w:cs="新宋体"/>
          <w:color w:val="auto"/>
          <w:spacing w:val="17"/>
          <w:sz w:val="24"/>
          <w:szCs w:val="24"/>
          <w:highlight w:val="none"/>
        </w:rPr>
      </w:pPr>
      <w:r>
        <w:rPr>
          <w:rFonts w:hint="eastAsia" w:ascii="新宋体" w:hAnsi="新宋体" w:eastAsia="新宋体" w:cs="新宋体"/>
          <w:color w:val="auto"/>
          <w:spacing w:val="17"/>
          <w:sz w:val="24"/>
          <w:szCs w:val="24"/>
          <w:highlight w:val="none"/>
          <w:lang w:val="en-US" w:eastAsia="zh-CN"/>
        </w:rPr>
        <w:t>承租方须按招租方要求完成招租方采购的临床科室所需物资（包括但不限于婴室配方奶粉、特殊奶粉）的到货验收、进出仓、发放等全流程管理工作。</w:t>
      </w:r>
    </w:p>
    <w:p w14:paraId="7D93E22F">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rFonts w:hint="eastAsia" w:ascii="新宋体" w:hAnsi="新宋体" w:eastAsia="新宋体" w:cs="新宋体"/>
          <w:color w:val="auto"/>
          <w:spacing w:val="15"/>
          <w:sz w:val="24"/>
          <w:szCs w:val="24"/>
          <w:highlight w:val="none"/>
        </w:rPr>
      </w:pPr>
      <w:r>
        <w:rPr>
          <w:rFonts w:hint="eastAsia" w:ascii="新宋体" w:hAnsi="新宋体" w:eastAsia="新宋体" w:cs="新宋体"/>
          <w:color w:val="auto"/>
          <w:spacing w:val="15"/>
          <w:sz w:val="24"/>
          <w:szCs w:val="24"/>
          <w:highlight w:val="none"/>
          <w:lang w:val="zh-CN"/>
        </w:rPr>
        <w:t>★</w:t>
      </w:r>
      <w:r>
        <w:rPr>
          <w:rFonts w:hint="eastAsia" w:ascii="新宋体" w:hAnsi="新宋体" w:eastAsia="新宋体" w:cs="新宋体"/>
          <w:color w:val="auto"/>
          <w:spacing w:val="15"/>
          <w:sz w:val="24"/>
          <w:szCs w:val="24"/>
          <w:highlight w:val="none"/>
          <w:lang w:val="en-US" w:eastAsia="zh-CN"/>
        </w:rPr>
        <w:t>如出租方有需求，</w:t>
      </w:r>
      <w:r>
        <w:rPr>
          <w:rFonts w:hint="eastAsia" w:ascii="新宋体" w:hAnsi="新宋体" w:eastAsia="新宋体" w:cs="新宋体"/>
          <w:color w:val="auto"/>
          <w:spacing w:val="15"/>
          <w:sz w:val="24"/>
          <w:szCs w:val="24"/>
          <w:highlight w:val="none"/>
        </w:rPr>
        <w:t>承租方</w:t>
      </w:r>
      <w:r>
        <w:rPr>
          <w:rFonts w:hint="eastAsia" w:ascii="新宋体" w:hAnsi="新宋体" w:eastAsia="新宋体" w:cs="新宋体"/>
          <w:color w:val="auto"/>
          <w:spacing w:val="15"/>
          <w:sz w:val="24"/>
          <w:szCs w:val="24"/>
          <w:highlight w:val="none"/>
          <w:lang w:val="en-US" w:eastAsia="zh-CN"/>
        </w:rPr>
        <w:t>须</w:t>
      </w:r>
      <w:r>
        <w:rPr>
          <w:rFonts w:hint="eastAsia" w:ascii="新宋体" w:hAnsi="新宋体" w:eastAsia="新宋体" w:cs="新宋体"/>
          <w:color w:val="auto"/>
          <w:spacing w:val="15"/>
          <w:sz w:val="24"/>
          <w:szCs w:val="24"/>
          <w:highlight w:val="none"/>
        </w:rPr>
        <w:t>协助</w:t>
      </w:r>
      <w:r>
        <w:rPr>
          <w:rFonts w:hint="eastAsia" w:ascii="新宋体" w:hAnsi="新宋体" w:eastAsia="新宋体" w:cs="新宋体"/>
          <w:color w:val="auto"/>
          <w:spacing w:val="15"/>
          <w:sz w:val="24"/>
          <w:szCs w:val="24"/>
          <w:highlight w:val="none"/>
          <w:lang w:eastAsia="zh-CN"/>
        </w:rPr>
        <w:t>招租</w:t>
      </w:r>
      <w:r>
        <w:rPr>
          <w:rFonts w:hint="eastAsia" w:ascii="新宋体" w:hAnsi="新宋体" w:eastAsia="新宋体" w:cs="新宋体"/>
          <w:color w:val="auto"/>
          <w:spacing w:val="15"/>
          <w:sz w:val="24"/>
          <w:szCs w:val="24"/>
          <w:highlight w:val="none"/>
        </w:rPr>
        <w:t>方完成扶贫采购任务。为响应国家、广东省及广州市政府采购脱贫地区农副产品相关政策要求，承租方须按照招租方要求，</w:t>
      </w:r>
      <w:r>
        <w:rPr>
          <w:rFonts w:hint="eastAsia" w:ascii="新宋体" w:hAnsi="新宋体" w:eastAsia="新宋体" w:cs="新宋体"/>
          <w:color w:val="auto"/>
          <w:spacing w:val="15"/>
          <w:sz w:val="24"/>
          <w:szCs w:val="24"/>
          <w:highlight w:val="none"/>
          <w:lang w:val="en-US" w:eastAsia="zh-CN"/>
        </w:rPr>
        <w:t>无条件配合</w:t>
      </w:r>
      <w:r>
        <w:rPr>
          <w:rFonts w:hint="eastAsia" w:ascii="新宋体" w:hAnsi="新宋体" w:eastAsia="新宋体" w:cs="新宋体"/>
          <w:color w:val="auto"/>
          <w:spacing w:val="15"/>
          <w:sz w:val="24"/>
          <w:szCs w:val="24"/>
          <w:highlight w:val="none"/>
        </w:rPr>
        <w:t>完成</w:t>
      </w:r>
      <w:r>
        <w:rPr>
          <w:rFonts w:hint="eastAsia" w:ascii="新宋体" w:hAnsi="新宋体" w:eastAsia="新宋体" w:cs="新宋体"/>
          <w:color w:val="auto"/>
          <w:spacing w:val="15"/>
          <w:sz w:val="24"/>
          <w:szCs w:val="24"/>
          <w:highlight w:val="none"/>
          <w:lang w:val="en-US" w:eastAsia="zh-CN"/>
        </w:rPr>
        <w:t>招租方</w:t>
      </w:r>
      <w:r>
        <w:rPr>
          <w:rFonts w:hint="eastAsia" w:ascii="新宋体" w:hAnsi="新宋体" w:eastAsia="新宋体" w:cs="新宋体"/>
          <w:color w:val="auto"/>
          <w:spacing w:val="15"/>
          <w:sz w:val="24"/>
          <w:szCs w:val="24"/>
          <w:highlight w:val="none"/>
        </w:rPr>
        <w:t>在脱贫地区农副产品网络销售平台（即“832平台”）的采购工作。本次采购产生的全部款项及相关费用</w:t>
      </w:r>
      <w:r>
        <w:rPr>
          <w:rFonts w:hint="eastAsia" w:ascii="新宋体" w:hAnsi="新宋体" w:eastAsia="新宋体" w:cs="新宋体"/>
          <w:color w:val="auto"/>
          <w:spacing w:val="15"/>
          <w:sz w:val="24"/>
          <w:szCs w:val="24"/>
          <w:highlight w:val="none"/>
          <w:lang w:eastAsia="zh-CN"/>
        </w:rPr>
        <w:t>（</w:t>
      </w:r>
      <w:r>
        <w:rPr>
          <w:rFonts w:hint="eastAsia" w:ascii="新宋体" w:hAnsi="新宋体" w:eastAsia="新宋体" w:cs="新宋体"/>
          <w:color w:val="auto"/>
          <w:spacing w:val="15"/>
          <w:sz w:val="24"/>
          <w:szCs w:val="24"/>
          <w:highlight w:val="none"/>
          <w:lang w:val="en-US" w:eastAsia="zh-CN"/>
        </w:rPr>
        <w:t>含税费</w:t>
      </w:r>
      <w:r>
        <w:rPr>
          <w:rFonts w:hint="eastAsia" w:ascii="新宋体" w:hAnsi="新宋体" w:eastAsia="新宋体" w:cs="新宋体"/>
          <w:color w:val="auto"/>
          <w:spacing w:val="15"/>
          <w:sz w:val="24"/>
          <w:szCs w:val="24"/>
          <w:highlight w:val="none"/>
          <w:lang w:eastAsia="zh-CN"/>
        </w:rPr>
        <w:t>）</w:t>
      </w:r>
      <w:r>
        <w:rPr>
          <w:rFonts w:hint="eastAsia" w:ascii="新宋体" w:hAnsi="新宋体" w:eastAsia="新宋体" w:cs="新宋体"/>
          <w:color w:val="auto"/>
          <w:spacing w:val="15"/>
          <w:sz w:val="24"/>
          <w:szCs w:val="24"/>
          <w:highlight w:val="none"/>
        </w:rPr>
        <w:t>均由承租方全额承担</w:t>
      </w:r>
      <w:r>
        <w:rPr>
          <w:rFonts w:hint="eastAsia" w:ascii="新宋体" w:hAnsi="新宋体" w:eastAsia="新宋体" w:cs="新宋体"/>
          <w:color w:val="auto"/>
          <w:spacing w:val="15"/>
          <w:sz w:val="24"/>
          <w:szCs w:val="24"/>
          <w:highlight w:val="none"/>
          <w:lang w:eastAsia="zh-CN"/>
        </w:rPr>
        <w:t>，</w:t>
      </w:r>
      <w:r>
        <w:rPr>
          <w:rFonts w:hint="eastAsia" w:ascii="新宋体" w:hAnsi="新宋体" w:eastAsia="新宋体" w:cs="新宋体"/>
          <w:color w:val="auto"/>
          <w:spacing w:val="15"/>
          <w:sz w:val="24"/>
          <w:szCs w:val="24"/>
          <w:highlight w:val="none"/>
          <w:lang w:val="en-US" w:eastAsia="zh-CN"/>
        </w:rPr>
        <w:t>所采购产品归属于承租方所有</w:t>
      </w:r>
      <w:r>
        <w:rPr>
          <w:rFonts w:hint="eastAsia" w:ascii="新宋体" w:hAnsi="新宋体" w:eastAsia="新宋体" w:cs="新宋体"/>
          <w:color w:val="auto"/>
          <w:spacing w:val="15"/>
          <w:sz w:val="24"/>
          <w:szCs w:val="24"/>
          <w:highlight w:val="none"/>
        </w:rPr>
        <w:t>。承租方应当通过</w:t>
      </w:r>
      <w:r>
        <w:rPr>
          <w:rFonts w:hint="eastAsia" w:ascii="新宋体" w:hAnsi="新宋体" w:eastAsia="新宋体" w:cs="新宋体"/>
          <w:color w:val="auto"/>
          <w:spacing w:val="15"/>
          <w:sz w:val="24"/>
          <w:szCs w:val="24"/>
          <w:highlight w:val="none"/>
          <w:lang w:eastAsia="zh-CN"/>
        </w:rPr>
        <w:t>“</w:t>
      </w:r>
      <w:r>
        <w:rPr>
          <w:rFonts w:hint="eastAsia" w:ascii="新宋体" w:hAnsi="新宋体" w:eastAsia="新宋体" w:cs="新宋体"/>
          <w:color w:val="auto"/>
          <w:spacing w:val="15"/>
          <w:sz w:val="24"/>
          <w:szCs w:val="24"/>
          <w:highlight w:val="none"/>
        </w:rPr>
        <w:t>832平台</w:t>
      </w:r>
      <w:r>
        <w:rPr>
          <w:rFonts w:hint="eastAsia" w:ascii="新宋体" w:hAnsi="新宋体" w:eastAsia="新宋体" w:cs="新宋体"/>
          <w:color w:val="auto"/>
          <w:spacing w:val="15"/>
          <w:sz w:val="24"/>
          <w:szCs w:val="24"/>
          <w:highlight w:val="none"/>
          <w:lang w:eastAsia="zh-CN"/>
        </w:rPr>
        <w:t>”</w:t>
      </w:r>
      <w:r>
        <w:rPr>
          <w:rFonts w:hint="eastAsia" w:ascii="新宋体" w:hAnsi="新宋体" w:eastAsia="新宋体" w:cs="新宋体"/>
          <w:color w:val="auto"/>
          <w:spacing w:val="15"/>
          <w:sz w:val="24"/>
          <w:szCs w:val="24"/>
          <w:highlight w:val="none"/>
        </w:rPr>
        <w:t>官方线上渠道</w:t>
      </w:r>
      <w:r>
        <w:rPr>
          <w:rFonts w:hint="eastAsia" w:ascii="新宋体" w:hAnsi="新宋体" w:eastAsia="新宋体" w:cs="新宋体"/>
          <w:color w:val="auto"/>
          <w:spacing w:val="15"/>
          <w:sz w:val="24"/>
          <w:szCs w:val="24"/>
          <w:highlight w:val="none"/>
          <w:lang w:eastAsia="zh-CN"/>
        </w:rPr>
        <w:t>，</w:t>
      </w:r>
      <w:r>
        <w:rPr>
          <w:rFonts w:hint="eastAsia" w:ascii="新宋体" w:hAnsi="新宋体" w:eastAsia="新宋体" w:cs="新宋体"/>
          <w:color w:val="auto"/>
          <w:spacing w:val="15"/>
          <w:sz w:val="24"/>
          <w:szCs w:val="24"/>
          <w:highlight w:val="none"/>
          <w:lang w:val="en-US" w:eastAsia="zh-CN"/>
        </w:rPr>
        <w:t>在政策指定期限内</w:t>
      </w:r>
      <w:r>
        <w:rPr>
          <w:rFonts w:hint="eastAsia" w:ascii="新宋体" w:hAnsi="新宋体" w:eastAsia="新宋体" w:cs="新宋体"/>
          <w:color w:val="auto"/>
          <w:spacing w:val="15"/>
          <w:sz w:val="24"/>
          <w:szCs w:val="24"/>
          <w:highlight w:val="none"/>
        </w:rPr>
        <w:t>完成采购资金支付。具体采购品类、数量、金额及采购方式，由双方协商确定，且须满足招租方落实相关政策任务的考核要求。</w:t>
      </w:r>
    </w:p>
    <w:p w14:paraId="1C8A7227">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5"/>
          <w:sz w:val="24"/>
          <w:szCs w:val="24"/>
          <w:highlight w:val="none"/>
        </w:rPr>
      </w:pPr>
      <w:r>
        <w:rPr>
          <w:rFonts w:hint="eastAsia" w:ascii="新宋体" w:hAnsi="新宋体" w:eastAsia="新宋体" w:cs="新宋体"/>
          <w:color w:val="auto"/>
          <w:spacing w:val="15"/>
          <w:sz w:val="24"/>
          <w:szCs w:val="24"/>
          <w:highlight w:val="none"/>
        </w:rPr>
        <w:t>承租方至少每季度举办一次美食节活动，方案（含价格）需提前交由</w:t>
      </w:r>
      <w:r>
        <w:rPr>
          <w:rFonts w:hint="eastAsia" w:ascii="新宋体" w:hAnsi="新宋体" w:eastAsia="新宋体" w:cs="新宋体"/>
          <w:color w:val="auto"/>
          <w:spacing w:val="15"/>
          <w:sz w:val="24"/>
          <w:szCs w:val="24"/>
          <w:highlight w:val="none"/>
          <w:lang w:eastAsia="zh-CN"/>
        </w:rPr>
        <w:t>招租</w:t>
      </w:r>
      <w:r>
        <w:rPr>
          <w:rFonts w:hint="eastAsia" w:ascii="新宋体" w:hAnsi="新宋体" w:eastAsia="新宋体" w:cs="新宋体"/>
          <w:color w:val="auto"/>
          <w:spacing w:val="15"/>
          <w:sz w:val="24"/>
          <w:szCs w:val="24"/>
          <w:highlight w:val="none"/>
        </w:rPr>
        <w:t>方审核并经书面确认后方可实施，所售卖食品均由消费者自行支付，价格不得高于周边餐饮价格。</w:t>
      </w:r>
    </w:p>
    <w:p w14:paraId="4EFA4F74">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5"/>
          <w:sz w:val="24"/>
          <w:szCs w:val="24"/>
          <w:highlight w:val="none"/>
        </w:rPr>
        <w:t>特殊节假日（护士节、医师节按</w:t>
      </w:r>
      <w:r>
        <w:rPr>
          <w:rFonts w:hint="eastAsia" w:ascii="新宋体" w:hAnsi="新宋体" w:eastAsia="新宋体" w:cs="新宋体"/>
          <w:color w:val="auto"/>
          <w:spacing w:val="15"/>
          <w:sz w:val="24"/>
          <w:szCs w:val="24"/>
          <w:highlight w:val="none"/>
          <w:lang w:eastAsia="zh-CN"/>
        </w:rPr>
        <w:t>招租</w:t>
      </w:r>
      <w:r>
        <w:rPr>
          <w:rFonts w:hint="eastAsia" w:ascii="新宋体" w:hAnsi="新宋体" w:eastAsia="新宋体" w:cs="新宋体"/>
          <w:color w:val="auto"/>
          <w:spacing w:val="15"/>
          <w:sz w:val="24"/>
          <w:szCs w:val="24"/>
          <w:highlight w:val="none"/>
        </w:rPr>
        <w:t>方提供各科室名单配送蛋糕；确保足够数量的应节食品供堂食用餐人员享用，如：端午节提供粽子、中秋节提供月饼、元宵节提供汤圆等）开展增值服务。相关费用由承租方承担，</w:t>
      </w:r>
      <w:r>
        <w:rPr>
          <w:rFonts w:hint="eastAsia" w:ascii="新宋体" w:hAnsi="新宋体" w:eastAsia="新宋体" w:cs="新宋体"/>
          <w:color w:val="auto"/>
          <w:spacing w:val="15"/>
          <w:sz w:val="24"/>
          <w:szCs w:val="24"/>
          <w:highlight w:val="none"/>
          <w:lang w:eastAsia="zh-CN"/>
        </w:rPr>
        <w:t>招租</w:t>
      </w:r>
      <w:r>
        <w:rPr>
          <w:rFonts w:hint="eastAsia" w:ascii="新宋体" w:hAnsi="新宋体" w:eastAsia="新宋体" w:cs="新宋体"/>
          <w:color w:val="auto"/>
          <w:spacing w:val="15"/>
          <w:sz w:val="24"/>
          <w:szCs w:val="24"/>
          <w:highlight w:val="none"/>
        </w:rPr>
        <w:t>方不另行支付费用。</w:t>
      </w:r>
    </w:p>
    <w:p w14:paraId="4B9A99C5">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eastAsia" w:ascii="新宋体" w:hAnsi="新宋体" w:eastAsia="新宋体" w:cs="新宋体"/>
          <w:color w:val="auto"/>
          <w:spacing w:val="13"/>
          <w:sz w:val="24"/>
          <w:szCs w:val="24"/>
          <w:highlight w:val="none"/>
        </w:rPr>
        <w:t>每季度举行一次新品品鉴会，提供不少于10个品类、并收集客户品尝意见。</w:t>
      </w:r>
    </w:p>
    <w:p w14:paraId="771A2EBB">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z w:val="24"/>
          <w:szCs w:val="24"/>
          <w:highlight w:val="none"/>
        </w:rPr>
      </w:pPr>
      <w:r>
        <w:rPr>
          <w:rFonts w:hint="eastAsia" w:ascii="新宋体" w:hAnsi="新宋体" w:eastAsia="新宋体" w:cs="新宋体"/>
          <w:color w:val="auto"/>
          <w:spacing w:val="20"/>
          <w:sz w:val="24"/>
          <w:szCs w:val="24"/>
          <w:highlight w:val="none"/>
        </w:rPr>
        <w:t>承租方需提前根据现场踏勘的情况给出</w:t>
      </w:r>
      <w:r>
        <w:rPr>
          <w:rFonts w:hint="eastAsia" w:ascii="新宋体" w:hAnsi="新宋体" w:eastAsia="新宋体" w:cs="新宋体"/>
          <w:color w:val="auto"/>
          <w:spacing w:val="20"/>
          <w:sz w:val="24"/>
          <w:szCs w:val="24"/>
          <w:highlight w:val="none"/>
          <w:lang w:val="en-US" w:eastAsia="zh-CN"/>
        </w:rPr>
        <w:t>升级优化改造</w:t>
      </w:r>
      <w:r>
        <w:rPr>
          <w:rFonts w:hint="eastAsia" w:ascii="新宋体" w:hAnsi="新宋体" w:eastAsia="新宋体" w:cs="新宋体"/>
          <w:color w:val="auto"/>
          <w:spacing w:val="20"/>
          <w:sz w:val="24"/>
          <w:szCs w:val="24"/>
          <w:highlight w:val="none"/>
        </w:rPr>
        <w:t>方案，包括</w:t>
      </w:r>
      <w:r>
        <w:rPr>
          <w:rFonts w:hint="eastAsia" w:ascii="新宋体" w:hAnsi="新宋体" w:eastAsia="新宋体" w:cs="新宋体"/>
          <w:color w:val="auto"/>
          <w:spacing w:val="20"/>
          <w:sz w:val="24"/>
          <w:szCs w:val="24"/>
          <w:highlight w:val="none"/>
          <w:lang w:val="en-US" w:eastAsia="zh-CN"/>
        </w:rPr>
        <w:t>但不限于</w:t>
      </w:r>
      <w:r>
        <w:rPr>
          <w:rFonts w:hint="eastAsia" w:ascii="新宋体" w:hAnsi="新宋体" w:eastAsia="新宋体" w:cs="新宋体"/>
          <w:color w:val="auto"/>
          <w:spacing w:val="20"/>
          <w:sz w:val="24"/>
          <w:szCs w:val="24"/>
          <w:highlight w:val="none"/>
        </w:rPr>
        <w:t>食堂内部环境、设备设施、订餐系统等</w:t>
      </w:r>
      <w:r>
        <w:rPr>
          <w:rFonts w:hint="eastAsia" w:ascii="新宋体" w:hAnsi="新宋体" w:eastAsia="新宋体" w:cs="新宋体"/>
          <w:color w:val="auto"/>
          <w:spacing w:val="20"/>
          <w:sz w:val="24"/>
          <w:szCs w:val="24"/>
          <w:highlight w:val="none"/>
          <w:lang w:eastAsia="zh-CN"/>
        </w:rPr>
        <w:t>，</w:t>
      </w:r>
      <w:r>
        <w:rPr>
          <w:rFonts w:hint="eastAsia" w:ascii="新宋体" w:hAnsi="新宋体" w:eastAsia="新宋体" w:cs="新宋体"/>
          <w:color w:val="auto"/>
          <w:spacing w:val="20"/>
          <w:sz w:val="24"/>
          <w:szCs w:val="24"/>
          <w:highlight w:val="none"/>
        </w:rPr>
        <w:t>报经</w:t>
      </w:r>
      <w:r>
        <w:rPr>
          <w:rFonts w:hint="eastAsia" w:ascii="新宋体" w:hAnsi="新宋体" w:eastAsia="新宋体" w:cs="新宋体"/>
          <w:color w:val="auto"/>
          <w:spacing w:val="20"/>
          <w:sz w:val="24"/>
          <w:szCs w:val="24"/>
          <w:highlight w:val="none"/>
          <w:lang w:val="en-US" w:eastAsia="zh-CN"/>
        </w:rPr>
        <w:t>招租方</w:t>
      </w:r>
      <w:r>
        <w:rPr>
          <w:rFonts w:hint="eastAsia" w:ascii="新宋体" w:hAnsi="新宋体" w:eastAsia="新宋体" w:cs="新宋体"/>
          <w:color w:val="auto"/>
          <w:spacing w:val="20"/>
          <w:sz w:val="24"/>
          <w:szCs w:val="24"/>
          <w:highlight w:val="none"/>
        </w:rPr>
        <w:t>审批后方可实施</w:t>
      </w:r>
      <w:r>
        <w:rPr>
          <w:rFonts w:hint="eastAsia" w:ascii="新宋体" w:hAnsi="新宋体" w:eastAsia="新宋体" w:cs="新宋体"/>
          <w:color w:val="auto"/>
          <w:spacing w:val="20"/>
          <w:sz w:val="24"/>
          <w:szCs w:val="24"/>
          <w:highlight w:val="none"/>
          <w:lang w:eastAsia="zh-CN"/>
        </w:rPr>
        <w:t>，在</w:t>
      </w:r>
      <w:r>
        <w:rPr>
          <w:rFonts w:hint="eastAsia" w:ascii="新宋体" w:hAnsi="新宋体" w:eastAsia="新宋体" w:cs="新宋体"/>
          <w:color w:val="auto"/>
          <w:spacing w:val="17"/>
          <w:sz w:val="24"/>
          <w:szCs w:val="24"/>
          <w:highlight w:val="none"/>
        </w:rPr>
        <w:t>优化期内保证</w:t>
      </w:r>
      <w:r>
        <w:rPr>
          <w:rFonts w:hint="eastAsia" w:ascii="新宋体" w:hAnsi="新宋体" w:eastAsia="新宋体" w:cs="新宋体"/>
          <w:color w:val="auto"/>
          <w:spacing w:val="17"/>
          <w:sz w:val="24"/>
          <w:szCs w:val="24"/>
          <w:highlight w:val="none"/>
          <w:lang w:val="en-US" w:eastAsia="zh-CN"/>
        </w:rPr>
        <w:t>招租方</w:t>
      </w:r>
      <w:r>
        <w:rPr>
          <w:rFonts w:hint="eastAsia" w:ascii="新宋体" w:hAnsi="新宋体" w:eastAsia="新宋体" w:cs="新宋体"/>
          <w:color w:val="auto"/>
          <w:spacing w:val="17"/>
          <w:sz w:val="24"/>
          <w:szCs w:val="24"/>
          <w:highlight w:val="none"/>
        </w:rPr>
        <w:t>的正常的餐饮服务，</w:t>
      </w:r>
      <w:r>
        <w:rPr>
          <w:rFonts w:hint="eastAsia" w:ascii="新宋体" w:hAnsi="新宋体" w:eastAsia="新宋体" w:cs="新宋体"/>
          <w:color w:val="auto"/>
          <w:spacing w:val="17"/>
          <w:sz w:val="24"/>
          <w:szCs w:val="24"/>
          <w:highlight w:val="none"/>
          <w:lang w:val="en-US" w:eastAsia="zh-CN"/>
        </w:rPr>
        <w:t>承租方</w:t>
      </w:r>
      <w:r>
        <w:rPr>
          <w:rFonts w:hint="eastAsia" w:ascii="新宋体" w:hAnsi="新宋体" w:eastAsia="新宋体" w:cs="新宋体"/>
          <w:color w:val="auto"/>
          <w:spacing w:val="17"/>
          <w:sz w:val="24"/>
          <w:szCs w:val="24"/>
          <w:highlight w:val="none"/>
        </w:rPr>
        <w:t>须针对食堂升级优化方案制定优化期间的供餐保障方案，须充分考虑保障供餐的重点难点，明确可能出现的因优化影响供餐的因素（例如设备设施更换、停水、停电、噪音）以及对应的解决措施</w:t>
      </w:r>
      <w:r>
        <w:rPr>
          <w:rFonts w:hint="eastAsia" w:ascii="新宋体" w:hAnsi="新宋体" w:eastAsia="新宋体" w:cs="新宋体"/>
          <w:color w:val="auto"/>
          <w:spacing w:val="17"/>
          <w:sz w:val="24"/>
          <w:szCs w:val="24"/>
          <w:highlight w:val="none"/>
          <w:lang w:eastAsia="zh-CN"/>
        </w:rPr>
        <w:t>。</w:t>
      </w:r>
      <w:r>
        <w:rPr>
          <w:rFonts w:hint="eastAsia" w:ascii="新宋体" w:hAnsi="新宋体" w:eastAsia="新宋体" w:cs="新宋体"/>
          <w:color w:val="auto"/>
          <w:spacing w:val="20"/>
          <w:sz w:val="24"/>
          <w:szCs w:val="24"/>
          <w:highlight w:val="none"/>
          <w:lang w:val="en-US" w:eastAsia="zh-CN"/>
        </w:rPr>
        <w:t>改造</w:t>
      </w:r>
      <w:r>
        <w:rPr>
          <w:rFonts w:hint="eastAsia" w:ascii="新宋体" w:hAnsi="新宋体" w:eastAsia="新宋体" w:cs="新宋体"/>
          <w:color w:val="auto"/>
          <w:spacing w:val="20"/>
          <w:sz w:val="24"/>
          <w:szCs w:val="24"/>
          <w:highlight w:val="none"/>
        </w:rPr>
        <w:t>要求如下：</w:t>
      </w:r>
    </w:p>
    <w:p w14:paraId="1AF0FFAF">
      <w:pPr>
        <w:pStyle w:val="4"/>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rFonts w:hint="eastAsia" w:ascii="新宋体" w:hAnsi="新宋体" w:eastAsia="新宋体" w:cs="新宋体"/>
          <w:color w:val="auto"/>
          <w:spacing w:val="17"/>
          <w:sz w:val="24"/>
          <w:szCs w:val="24"/>
          <w:highlight w:val="none"/>
        </w:rPr>
      </w:pPr>
      <w:r>
        <w:rPr>
          <w:rFonts w:hint="eastAsia" w:ascii="新宋体" w:hAnsi="新宋体" w:eastAsia="新宋体" w:cs="新宋体"/>
          <w:color w:val="auto"/>
          <w:spacing w:val="17"/>
          <w:sz w:val="24"/>
          <w:szCs w:val="24"/>
          <w:highlight w:val="none"/>
        </w:rPr>
        <w:t>改造资金</w:t>
      </w:r>
      <w:r>
        <w:rPr>
          <w:rFonts w:hint="eastAsia" w:ascii="新宋体" w:hAnsi="新宋体" w:eastAsia="新宋体" w:cs="新宋体"/>
          <w:color w:val="auto"/>
          <w:spacing w:val="17"/>
          <w:sz w:val="24"/>
          <w:szCs w:val="24"/>
          <w:highlight w:val="none"/>
          <w:lang w:eastAsia="zh-CN"/>
        </w:rPr>
        <w:t>：</w:t>
      </w:r>
      <w:r>
        <w:rPr>
          <w:rFonts w:hint="eastAsia" w:ascii="新宋体" w:hAnsi="新宋体" w:eastAsia="新宋体" w:cs="新宋体"/>
          <w:color w:val="auto"/>
          <w:spacing w:val="17"/>
          <w:sz w:val="24"/>
          <w:szCs w:val="24"/>
          <w:highlight w:val="none"/>
          <w:lang w:val="en-US" w:eastAsia="zh-CN"/>
        </w:rPr>
        <w:t>包组1，</w:t>
      </w:r>
      <w:r>
        <w:rPr>
          <w:rFonts w:hint="eastAsia" w:ascii="新宋体" w:hAnsi="新宋体" w:eastAsia="新宋体" w:cs="新宋体"/>
          <w:color w:val="auto"/>
          <w:spacing w:val="17"/>
          <w:sz w:val="24"/>
          <w:szCs w:val="24"/>
          <w:highlight w:val="none"/>
        </w:rPr>
        <w:t>改造资金投入承诺不低于</w:t>
      </w:r>
      <w:r>
        <w:rPr>
          <w:rFonts w:hint="eastAsia" w:ascii="新宋体" w:hAnsi="新宋体" w:eastAsia="新宋体" w:cs="新宋体"/>
          <w:color w:val="auto"/>
          <w:spacing w:val="17"/>
          <w:sz w:val="24"/>
          <w:szCs w:val="24"/>
          <w:highlight w:val="none"/>
          <w:lang w:val="en-US" w:eastAsia="zh-CN"/>
        </w:rPr>
        <w:t>100</w:t>
      </w:r>
      <w:r>
        <w:rPr>
          <w:rFonts w:hint="eastAsia" w:ascii="新宋体" w:hAnsi="新宋体" w:eastAsia="新宋体" w:cs="新宋体"/>
          <w:color w:val="auto"/>
          <w:spacing w:val="17"/>
          <w:sz w:val="24"/>
          <w:szCs w:val="24"/>
          <w:highlight w:val="none"/>
        </w:rPr>
        <w:t>万元</w:t>
      </w:r>
      <w:r>
        <w:rPr>
          <w:rFonts w:hint="eastAsia" w:ascii="新宋体" w:hAnsi="新宋体" w:eastAsia="新宋体" w:cs="新宋体"/>
          <w:color w:val="auto"/>
          <w:spacing w:val="17"/>
          <w:sz w:val="24"/>
          <w:szCs w:val="24"/>
          <w:highlight w:val="none"/>
          <w:lang w:eastAsia="zh-CN"/>
        </w:rPr>
        <w:t>；</w:t>
      </w:r>
      <w:r>
        <w:rPr>
          <w:rFonts w:hint="eastAsia" w:ascii="新宋体" w:hAnsi="新宋体" w:eastAsia="新宋体" w:cs="新宋体"/>
          <w:color w:val="auto"/>
          <w:spacing w:val="17"/>
          <w:sz w:val="24"/>
          <w:szCs w:val="24"/>
          <w:highlight w:val="none"/>
          <w:lang w:val="en-US" w:eastAsia="zh-CN"/>
        </w:rPr>
        <w:t>包组2，</w:t>
      </w:r>
      <w:r>
        <w:rPr>
          <w:rFonts w:hint="eastAsia" w:ascii="新宋体" w:hAnsi="新宋体" w:eastAsia="新宋体" w:cs="新宋体"/>
          <w:color w:val="auto"/>
          <w:spacing w:val="17"/>
          <w:sz w:val="24"/>
          <w:szCs w:val="24"/>
          <w:highlight w:val="none"/>
        </w:rPr>
        <w:t>改造资金投入承诺不低于</w:t>
      </w:r>
      <w:r>
        <w:rPr>
          <w:rFonts w:hint="eastAsia" w:ascii="新宋体" w:hAnsi="新宋体" w:eastAsia="新宋体" w:cs="新宋体"/>
          <w:color w:val="auto"/>
          <w:spacing w:val="17"/>
          <w:sz w:val="24"/>
          <w:szCs w:val="24"/>
          <w:highlight w:val="none"/>
          <w:lang w:val="en-US" w:eastAsia="zh-CN"/>
        </w:rPr>
        <w:t>30</w:t>
      </w:r>
      <w:r>
        <w:rPr>
          <w:rFonts w:hint="eastAsia" w:ascii="新宋体" w:hAnsi="新宋体" w:eastAsia="新宋体" w:cs="新宋体"/>
          <w:color w:val="auto"/>
          <w:spacing w:val="17"/>
          <w:sz w:val="24"/>
          <w:szCs w:val="24"/>
          <w:highlight w:val="none"/>
        </w:rPr>
        <w:t>万元</w:t>
      </w:r>
      <w:r>
        <w:rPr>
          <w:rFonts w:hint="eastAsia" w:ascii="新宋体" w:hAnsi="新宋体" w:eastAsia="新宋体" w:cs="新宋体"/>
          <w:color w:val="auto"/>
          <w:spacing w:val="17"/>
          <w:sz w:val="24"/>
          <w:szCs w:val="24"/>
          <w:highlight w:val="none"/>
          <w:lang w:eastAsia="zh-CN"/>
        </w:rPr>
        <w:t>。</w:t>
      </w:r>
      <w:r>
        <w:rPr>
          <w:rFonts w:hint="eastAsia" w:ascii="新宋体" w:hAnsi="新宋体" w:eastAsia="新宋体" w:cs="新宋体"/>
          <w:color w:val="auto"/>
          <w:spacing w:val="17"/>
          <w:sz w:val="24"/>
          <w:szCs w:val="24"/>
          <w:highlight w:val="none"/>
        </w:rPr>
        <w:t>改造包括不限于厨房整体装饰装修、水电煤气管道管道改造、厨房设备设施更新、抽排风系统改造等。</w:t>
      </w:r>
    </w:p>
    <w:p w14:paraId="758C5198">
      <w:pPr>
        <w:pStyle w:val="4"/>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425" w:leftChars="0" w:right="0" w:rightChars="0" w:hanging="425" w:firstLineChars="0"/>
        <w:textAlignment w:val="baseline"/>
        <w:rPr>
          <w:rFonts w:hint="eastAsia" w:ascii="新宋体" w:hAnsi="新宋体" w:eastAsia="新宋体" w:cs="新宋体"/>
          <w:color w:val="auto"/>
          <w:spacing w:val="17"/>
          <w:sz w:val="24"/>
          <w:szCs w:val="24"/>
          <w:highlight w:val="none"/>
        </w:rPr>
      </w:pPr>
      <w:r>
        <w:rPr>
          <w:rFonts w:hint="eastAsia" w:ascii="新宋体" w:hAnsi="新宋体" w:eastAsia="新宋体" w:cs="新宋体"/>
          <w:color w:val="auto"/>
          <w:spacing w:val="17"/>
          <w:sz w:val="24"/>
          <w:szCs w:val="24"/>
          <w:highlight w:val="none"/>
        </w:rPr>
        <w:t>整体装修工期不超过2个月；</w:t>
      </w:r>
    </w:p>
    <w:p w14:paraId="24ED25B9">
      <w:pPr>
        <w:pStyle w:val="4"/>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425" w:leftChars="0" w:right="0" w:rightChars="0" w:hanging="425" w:firstLineChars="0"/>
        <w:textAlignment w:val="baseline"/>
        <w:rPr>
          <w:rFonts w:hint="eastAsia" w:ascii="新宋体" w:hAnsi="新宋体" w:eastAsia="新宋体" w:cs="新宋体"/>
          <w:color w:val="auto"/>
          <w:spacing w:val="17"/>
          <w:sz w:val="24"/>
          <w:szCs w:val="24"/>
          <w:highlight w:val="none"/>
        </w:rPr>
      </w:pPr>
      <w:r>
        <w:rPr>
          <w:rFonts w:hint="eastAsia" w:ascii="新宋体" w:hAnsi="新宋体" w:eastAsia="新宋体" w:cs="新宋体"/>
          <w:color w:val="auto"/>
          <w:spacing w:val="17"/>
          <w:sz w:val="24"/>
          <w:szCs w:val="24"/>
          <w:highlight w:val="none"/>
        </w:rPr>
        <w:t>按规定报项目属地市场管理局审批并负责办理相关证件。</w:t>
      </w:r>
    </w:p>
    <w:p w14:paraId="0E97D81A">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rFonts w:hint="eastAsia" w:ascii="新宋体" w:hAnsi="新宋体" w:eastAsia="新宋体" w:cs="新宋体"/>
          <w:color w:val="auto"/>
          <w:spacing w:val="17"/>
          <w:sz w:val="24"/>
          <w:szCs w:val="24"/>
          <w:highlight w:val="none"/>
        </w:rPr>
      </w:pPr>
      <w:r>
        <w:rPr>
          <w:rFonts w:hint="eastAsia" w:ascii="新宋体" w:hAnsi="新宋体" w:eastAsia="新宋体" w:cs="新宋体"/>
          <w:color w:val="auto"/>
          <w:spacing w:val="17"/>
          <w:sz w:val="24"/>
          <w:szCs w:val="24"/>
          <w:highlight w:val="none"/>
        </w:rPr>
        <w:t>承租方必须严格按照广东省市场监督管理局关于印发《广东省市场监督管理局关于“明厨亮灶”建设规范的指引》，对外展示后厨员工操作是否规范，卫生是否合格，接受各方监督。</w:t>
      </w:r>
      <w:r>
        <w:rPr>
          <w:rFonts w:hint="eastAsia" w:ascii="新宋体" w:hAnsi="新宋体" w:eastAsia="新宋体" w:cs="新宋体"/>
          <w:color w:val="auto"/>
          <w:spacing w:val="17"/>
          <w:sz w:val="24"/>
          <w:szCs w:val="24"/>
          <w:highlight w:val="none"/>
          <w:lang w:val="en-US" w:eastAsia="zh-CN"/>
        </w:rPr>
        <w:t>目前各院区食堂已在后厨安装监控系统，如需改造，</w:t>
      </w:r>
      <w:r>
        <w:rPr>
          <w:rFonts w:hint="eastAsia" w:ascii="新宋体" w:hAnsi="新宋体" w:eastAsia="新宋体" w:cs="新宋体"/>
          <w:color w:val="auto"/>
          <w:spacing w:val="17"/>
          <w:sz w:val="24"/>
          <w:szCs w:val="24"/>
          <w:highlight w:val="none"/>
        </w:rPr>
        <w:t>由此产生的一切费用及责任由承租方自行承担。</w:t>
      </w:r>
    </w:p>
    <w:p w14:paraId="7DCCF012">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rFonts w:hint="eastAsia" w:ascii="新宋体" w:hAnsi="新宋体" w:eastAsia="新宋体" w:cs="新宋体"/>
          <w:color w:val="auto"/>
          <w:spacing w:val="17"/>
          <w:sz w:val="24"/>
          <w:szCs w:val="24"/>
          <w:highlight w:val="none"/>
        </w:rPr>
      </w:pPr>
      <w:r>
        <w:rPr>
          <w:rFonts w:hint="eastAsia" w:ascii="新宋体" w:hAnsi="新宋体" w:eastAsia="新宋体" w:cs="新宋体"/>
          <w:color w:val="auto"/>
          <w:spacing w:val="17"/>
          <w:sz w:val="24"/>
          <w:szCs w:val="24"/>
          <w:highlight w:val="none"/>
        </w:rPr>
        <w:t>承诺在租赁期间依照辖区行政主管部门有关规定，对</w:t>
      </w:r>
      <w:r>
        <w:rPr>
          <w:rFonts w:hint="eastAsia" w:ascii="新宋体" w:hAnsi="新宋体" w:eastAsia="新宋体" w:cs="新宋体"/>
          <w:color w:val="auto"/>
          <w:spacing w:val="17"/>
          <w:sz w:val="24"/>
          <w:szCs w:val="24"/>
          <w:highlight w:val="none"/>
          <w:lang w:eastAsia="zh-CN"/>
        </w:rPr>
        <w:t>招租</w:t>
      </w:r>
      <w:r>
        <w:rPr>
          <w:rFonts w:hint="eastAsia" w:ascii="新宋体" w:hAnsi="新宋体" w:eastAsia="新宋体" w:cs="新宋体"/>
          <w:color w:val="auto"/>
          <w:spacing w:val="17"/>
          <w:sz w:val="24"/>
          <w:szCs w:val="24"/>
          <w:highlight w:val="none"/>
        </w:rPr>
        <w:t>方提出的建筑物修缮项目进行修缮并承担相应费用。</w:t>
      </w:r>
    </w:p>
    <w:p w14:paraId="43AC4DE1">
      <w:pPr>
        <w:pStyle w:val="4"/>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rFonts w:hint="default" w:ascii="新宋体" w:hAnsi="新宋体" w:eastAsia="新宋体" w:cs="新宋体"/>
          <w:b/>
          <w:bCs/>
          <w:color w:val="auto"/>
          <w:spacing w:val="-12"/>
          <w:sz w:val="24"/>
          <w:szCs w:val="24"/>
          <w:highlight w:val="none"/>
          <w:lang w:val="en-US" w:eastAsia="zh-CN"/>
        </w:rPr>
      </w:pPr>
      <w:r>
        <w:rPr>
          <w:rFonts w:hint="default" w:ascii="新宋体" w:hAnsi="新宋体" w:eastAsia="新宋体" w:cs="新宋体"/>
          <w:b/>
          <w:bCs/>
          <w:color w:val="auto"/>
          <w:spacing w:val="-12"/>
          <w:sz w:val="24"/>
          <w:szCs w:val="24"/>
          <w:highlight w:val="none"/>
          <w:lang w:val="en-US" w:eastAsia="zh-CN"/>
        </w:rPr>
        <w:t>经营</w:t>
      </w:r>
      <w:r>
        <w:rPr>
          <w:rFonts w:hint="eastAsia" w:ascii="新宋体" w:hAnsi="新宋体" w:eastAsia="新宋体" w:cs="新宋体"/>
          <w:b/>
          <w:bCs/>
          <w:color w:val="auto"/>
          <w:spacing w:val="-12"/>
          <w:sz w:val="24"/>
          <w:szCs w:val="24"/>
          <w:highlight w:val="none"/>
          <w:lang w:val="en-US" w:eastAsia="zh-CN"/>
        </w:rPr>
        <w:t>模式要求</w:t>
      </w:r>
    </w:p>
    <w:p w14:paraId="443DC023">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default" w:ascii="新宋体" w:hAnsi="新宋体" w:eastAsia="新宋体" w:cs="新宋体"/>
          <w:color w:val="auto"/>
          <w:spacing w:val="-12"/>
          <w:sz w:val="24"/>
          <w:szCs w:val="24"/>
          <w:highlight w:val="none"/>
          <w:lang w:val="en-US" w:eastAsia="zh-CN"/>
        </w:rPr>
        <w:t>本项目采用全包干方式经营，招标文件对</w:t>
      </w:r>
      <w:r>
        <w:rPr>
          <w:rFonts w:hint="eastAsia" w:ascii="新宋体" w:hAnsi="新宋体" w:eastAsia="新宋体" w:cs="新宋体"/>
          <w:color w:val="auto"/>
          <w:spacing w:val="-12"/>
          <w:sz w:val="24"/>
          <w:szCs w:val="24"/>
          <w:highlight w:val="none"/>
          <w:lang w:val="en-US" w:eastAsia="zh-CN"/>
        </w:rPr>
        <w:t>承租方</w:t>
      </w:r>
      <w:r>
        <w:rPr>
          <w:rFonts w:hint="default" w:ascii="新宋体" w:hAnsi="新宋体" w:eastAsia="新宋体" w:cs="新宋体"/>
          <w:color w:val="auto"/>
          <w:spacing w:val="-12"/>
          <w:sz w:val="24"/>
          <w:szCs w:val="24"/>
          <w:highlight w:val="none"/>
          <w:lang w:val="en-US" w:eastAsia="zh-CN"/>
        </w:rPr>
        <w:t>要求的一切事宜及责任，自主经营、自负盈亏。饭堂员工的工资福利、保险等和经营过程中一切费用(包括但不限于水、电、燃气、垃圾清运、油烟清洗、设备检测等)由</w:t>
      </w:r>
      <w:r>
        <w:rPr>
          <w:rFonts w:hint="eastAsia" w:ascii="新宋体" w:hAnsi="新宋体" w:eastAsia="新宋体" w:cs="新宋体"/>
          <w:color w:val="auto"/>
          <w:spacing w:val="-12"/>
          <w:sz w:val="24"/>
          <w:szCs w:val="24"/>
          <w:highlight w:val="none"/>
          <w:lang w:val="en-US" w:eastAsia="zh-CN"/>
        </w:rPr>
        <w:t>承租方</w:t>
      </w:r>
      <w:r>
        <w:rPr>
          <w:rFonts w:hint="default" w:ascii="新宋体" w:hAnsi="新宋体" w:eastAsia="新宋体" w:cs="新宋体"/>
          <w:color w:val="auto"/>
          <w:spacing w:val="-12"/>
          <w:sz w:val="24"/>
          <w:szCs w:val="24"/>
          <w:highlight w:val="none"/>
          <w:lang w:val="en-US" w:eastAsia="zh-CN"/>
        </w:rPr>
        <w:t>负责。</w:t>
      </w:r>
      <w:r>
        <w:rPr>
          <w:rFonts w:hint="eastAsia" w:ascii="新宋体" w:hAnsi="新宋体" w:eastAsia="新宋体" w:cs="新宋体"/>
          <w:color w:val="auto"/>
          <w:spacing w:val="-12"/>
          <w:sz w:val="24"/>
          <w:szCs w:val="24"/>
          <w:highlight w:val="none"/>
          <w:lang w:val="en-US" w:eastAsia="zh-CN"/>
        </w:rPr>
        <w:t>承租方</w:t>
      </w:r>
      <w:r>
        <w:rPr>
          <w:rFonts w:hint="default" w:ascii="新宋体" w:hAnsi="新宋体" w:eastAsia="新宋体" w:cs="新宋体"/>
          <w:color w:val="auto"/>
          <w:spacing w:val="-12"/>
          <w:sz w:val="24"/>
          <w:szCs w:val="24"/>
          <w:highlight w:val="none"/>
          <w:lang w:val="en-US" w:eastAsia="zh-CN"/>
        </w:rPr>
        <w:t>提供所有食材、食品等供货来源资质并管理食堂日常内务，按</w:t>
      </w:r>
      <w:r>
        <w:rPr>
          <w:rFonts w:hint="eastAsia" w:ascii="新宋体" w:hAnsi="新宋体" w:eastAsia="新宋体" w:cs="新宋体"/>
          <w:color w:val="auto"/>
          <w:spacing w:val="-12"/>
          <w:sz w:val="24"/>
          <w:szCs w:val="24"/>
          <w:highlight w:val="none"/>
          <w:lang w:val="en-US" w:eastAsia="zh-CN"/>
        </w:rPr>
        <w:t>招租方</w:t>
      </w:r>
      <w:r>
        <w:rPr>
          <w:rFonts w:hint="default" w:ascii="新宋体" w:hAnsi="新宋体" w:eastAsia="新宋体" w:cs="新宋体"/>
          <w:color w:val="auto"/>
          <w:spacing w:val="-12"/>
          <w:sz w:val="24"/>
          <w:szCs w:val="24"/>
          <w:highlight w:val="none"/>
          <w:lang w:val="en-US" w:eastAsia="zh-CN"/>
        </w:rPr>
        <w:t>要求驻点经营和派驻人员，按时完成</w:t>
      </w:r>
      <w:r>
        <w:rPr>
          <w:rFonts w:hint="eastAsia" w:ascii="新宋体" w:hAnsi="新宋体" w:eastAsia="新宋体" w:cs="新宋体"/>
          <w:color w:val="auto"/>
          <w:spacing w:val="-12"/>
          <w:sz w:val="24"/>
          <w:szCs w:val="24"/>
          <w:highlight w:val="none"/>
          <w:lang w:val="en-US" w:eastAsia="zh-CN"/>
        </w:rPr>
        <w:t>招租方</w:t>
      </w:r>
      <w:r>
        <w:rPr>
          <w:rFonts w:hint="default" w:ascii="新宋体" w:hAnsi="新宋体" w:eastAsia="新宋体" w:cs="新宋体"/>
          <w:color w:val="auto"/>
          <w:spacing w:val="-12"/>
          <w:sz w:val="24"/>
          <w:szCs w:val="24"/>
          <w:highlight w:val="none"/>
          <w:lang w:val="en-US" w:eastAsia="zh-CN"/>
        </w:rPr>
        <w:t>早、中、晚餐、夜宵等的开餐工作。</w:t>
      </w:r>
      <w:r>
        <w:rPr>
          <w:rFonts w:hint="eastAsia" w:ascii="新宋体" w:hAnsi="新宋体" w:eastAsia="新宋体" w:cs="新宋体"/>
          <w:color w:val="auto"/>
          <w:spacing w:val="-12"/>
          <w:sz w:val="24"/>
          <w:szCs w:val="24"/>
          <w:highlight w:val="none"/>
          <w:lang w:val="en-US" w:eastAsia="zh-CN"/>
        </w:rPr>
        <w:t>承租方</w:t>
      </w:r>
      <w:r>
        <w:rPr>
          <w:rFonts w:hint="default" w:ascii="新宋体" w:hAnsi="新宋体" w:eastAsia="新宋体" w:cs="新宋体"/>
          <w:color w:val="auto"/>
          <w:spacing w:val="-12"/>
          <w:sz w:val="24"/>
          <w:szCs w:val="24"/>
          <w:highlight w:val="none"/>
          <w:lang w:val="en-US" w:eastAsia="zh-CN"/>
        </w:rPr>
        <w:t>负责</w:t>
      </w:r>
      <w:r>
        <w:rPr>
          <w:rFonts w:hint="eastAsia" w:ascii="新宋体" w:hAnsi="新宋体" w:eastAsia="新宋体" w:cs="新宋体"/>
          <w:color w:val="auto"/>
          <w:spacing w:val="-12"/>
          <w:sz w:val="24"/>
          <w:szCs w:val="24"/>
          <w:highlight w:val="none"/>
          <w:lang w:val="en-US" w:eastAsia="zh-CN"/>
        </w:rPr>
        <w:t>招租方</w:t>
      </w:r>
      <w:r>
        <w:rPr>
          <w:rFonts w:hint="default" w:ascii="新宋体" w:hAnsi="新宋体" w:eastAsia="新宋体" w:cs="新宋体"/>
          <w:color w:val="auto"/>
          <w:spacing w:val="-12"/>
          <w:sz w:val="24"/>
          <w:szCs w:val="24"/>
          <w:highlight w:val="none"/>
          <w:lang w:val="en-US" w:eastAsia="zh-CN"/>
        </w:rPr>
        <w:t>管理范围内饭堂的经营管理，在承包经营期间必须依法、依约自主经营，自负盈亏，承担一切经营风险和责任。</w:t>
      </w:r>
    </w:p>
    <w:p w14:paraId="697A7510">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default" w:ascii="新宋体" w:hAnsi="新宋体" w:eastAsia="新宋体" w:cs="新宋体"/>
          <w:color w:val="auto"/>
          <w:spacing w:val="-12"/>
          <w:sz w:val="24"/>
          <w:szCs w:val="24"/>
          <w:highlight w:val="none"/>
          <w:lang w:val="en-US" w:eastAsia="zh-CN"/>
        </w:rPr>
        <w:t>承租方不得占用</w:t>
      </w:r>
      <w:r>
        <w:rPr>
          <w:rFonts w:hint="eastAsia" w:ascii="新宋体" w:hAnsi="新宋体" w:eastAsia="新宋体" w:cs="新宋体"/>
          <w:color w:val="auto"/>
          <w:spacing w:val="-12"/>
          <w:sz w:val="24"/>
          <w:szCs w:val="24"/>
          <w:highlight w:val="none"/>
          <w:lang w:val="en-US" w:eastAsia="zh-CN"/>
        </w:rPr>
        <w:t>招租</w:t>
      </w:r>
      <w:r>
        <w:rPr>
          <w:rFonts w:hint="default" w:ascii="新宋体" w:hAnsi="新宋体" w:eastAsia="新宋体" w:cs="新宋体"/>
          <w:color w:val="auto"/>
          <w:spacing w:val="-12"/>
          <w:sz w:val="24"/>
          <w:szCs w:val="24"/>
          <w:highlight w:val="none"/>
          <w:lang w:val="en-US" w:eastAsia="zh-CN"/>
        </w:rPr>
        <w:t>方提供的租赁场地范围以外的地方经营，严禁违法经营和超出范围经营。</w:t>
      </w:r>
    </w:p>
    <w:p w14:paraId="48D62D12">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default" w:ascii="新宋体" w:hAnsi="新宋体" w:eastAsia="新宋体" w:cs="新宋体"/>
          <w:color w:val="auto"/>
          <w:spacing w:val="-12"/>
          <w:sz w:val="24"/>
          <w:szCs w:val="24"/>
          <w:highlight w:val="none"/>
          <w:lang w:val="en-US" w:eastAsia="zh-CN"/>
        </w:rPr>
        <w:t>★取得本项目租赁权的承租方须按招租方的要求进行整体经营管理。承租方不得擅自将承包经营权转租或分包给第三方经营。【注：意向人须提供承诺函，格式自定并加盖单位公章】</w:t>
      </w:r>
    </w:p>
    <w:p w14:paraId="0EFB14E5">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default" w:ascii="新宋体" w:hAnsi="新宋体" w:eastAsia="新宋体" w:cs="新宋体"/>
          <w:color w:val="auto"/>
          <w:spacing w:val="-12"/>
          <w:sz w:val="24"/>
          <w:szCs w:val="24"/>
          <w:highlight w:val="none"/>
          <w:lang w:val="en-US" w:eastAsia="zh-CN"/>
        </w:rPr>
        <w:t>承租方承担经营期间发生的各种费用，包括但不限于：水电</w:t>
      </w:r>
      <w:r>
        <w:rPr>
          <w:rFonts w:hint="eastAsia" w:ascii="新宋体" w:hAnsi="新宋体" w:eastAsia="新宋体" w:cs="新宋体"/>
          <w:color w:val="auto"/>
          <w:spacing w:val="-12"/>
          <w:sz w:val="24"/>
          <w:szCs w:val="24"/>
          <w:highlight w:val="none"/>
          <w:lang w:val="en-US" w:eastAsia="zh-CN"/>
        </w:rPr>
        <w:t>、燃气</w:t>
      </w:r>
      <w:r>
        <w:rPr>
          <w:rFonts w:hint="default" w:ascii="新宋体" w:hAnsi="新宋体" w:eastAsia="新宋体" w:cs="新宋体"/>
          <w:color w:val="auto"/>
          <w:spacing w:val="-12"/>
          <w:sz w:val="24"/>
          <w:szCs w:val="24"/>
          <w:highlight w:val="none"/>
          <w:lang w:val="en-US" w:eastAsia="zh-CN"/>
        </w:rPr>
        <w:t>、</w:t>
      </w:r>
      <w:r>
        <w:rPr>
          <w:rFonts w:hint="eastAsia" w:ascii="新宋体" w:hAnsi="新宋体" w:eastAsia="新宋体" w:cs="新宋体"/>
          <w:color w:val="auto"/>
          <w:spacing w:val="-12"/>
          <w:sz w:val="24"/>
          <w:szCs w:val="24"/>
          <w:highlight w:val="none"/>
          <w:lang w:val="en-US" w:eastAsia="zh-CN"/>
        </w:rPr>
        <w:t>垃圾清运、油烟清洗、设备检测、</w:t>
      </w:r>
      <w:r>
        <w:rPr>
          <w:rFonts w:hint="default" w:ascii="新宋体" w:hAnsi="新宋体" w:eastAsia="新宋体" w:cs="新宋体"/>
          <w:color w:val="auto"/>
          <w:spacing w:val="-12"/>
          <w:sz w:val="24"/>
          <w:szCs w:val="24"/>
          <w:highlight w:val="none"/>
          <w:lang w:val="en-US" w:eastAsia="zh-CN"/>
        </w:rPr>
        <w:t>税费、一切债权、人身伤害和安全事故等责任和费用。经营过程自负盈亏，如没有特殊原因（如国家或相关政府部门的政策变动、经营场地损毁无法经营、场地规划变更、因用地性质调整而导致原有经营项目被禁止、不可抗力灾害等特殊原因），在经营中途退出，</w:t>
      </w:r>
      <w:r>
        <w:rPr>
          <w:rFonts w:hint="eastAsia" w:ascii="新宋体" w:hAnsi="新宋体" w:eastAsia="新宋体" w:cs="新宋体"/>
          <w:color w:val="auto"/>
          <w:spacing w:val="-12"/>
          <w:sz w:val="24"/>
          <w:szCs w:val="24"/>
          <w:highlight w:val="none"/>
          <w:lang w:val="en-US" w:eastAsia="zh-CN"/>
        </w:rPr>
        <w:t>招租</w:t>
      </w:r>
      <w:r>
        <w:rPr>
          <w:rFonts w:hint="default" w:ascii="新宋体" w:hAnsi="新宋体" w:eastAsia="新宋体" w:cs="新宋体"/>
          <w:color w:val="auto"/>
          <w:spacing w:val="-12"/>
          <w:sz w:val="24"/>
          <w:szCs w:val="24"/>
          <w:highlight w:val="none"/>
          <w:lang w:val="en-US" w:eastAsia="zh-CN"/>
        </w:rPr>
        <w:t>方将不予退还履约保证金。</w:t>
      </w:r>
    </w:p>
    <w:p w14:paraId="550943A2">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default" w:ascii="新宋体" w:hAnsi="新宋体" w:eastAsia="新宋体" w:cs="新宋体"/>
          <w:color w:val="auto"/>
          <w:spacing w:val="-12"/>
          <w:sz w:val="24"/>
          <w:szCs w:val="24"/>
          <w:highlight w:val="none"/>
          <w:lang w:val="en-US" w:eastAsia="zh-CN"/>
        </w:rPr>
        <w:t>承租方作为独立经营主体，对因自身供应餐品（或商品）、服务质量或员工行为引发的一切纠纷、事故及法律责任独立承担全部责任，与招租方无关。同时须负责并自行承担在经营过程中所发生或牵涉的一切经济、法律责任，一切经济、法律责任均与招租方无关。</w:t>
      </w:r>
    </w:p>
    <w:p w14:paraId="3022EF7D">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default" w:ascii="新宋体" w:hAnsi="新宋体" w:eastAsia="新宋体" w:cs="新宋体"/>
          <w:color w:val="auto"/>
          <w:spacing w:val="-12"/>
          <w:sz w:val="24"/>
          <w:szCs w:val="24"/>
          <w:highlight w:val="none"/>
          <w:lang w:val="en-US" w:eastAsia="zh-CN"/>
        </w:rPr>
        <w:t>招租方不保证且不承担承租方在合同履行过程中的一切可能发生的经营风险，请意向承租方在响应本项目时应充分综合考虑并自行承担在中标成交后可能发生的任何风险。在项目实施过程中，如遇国家政策调整时，承租方必须无条件配合招租方对相关经营要求或内容进行调整。</w:t>
      </w:r>
    </w:p>
    <w:p w14:paraId="3FDD175B">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default" w:ascii="新宋体" w:hAnsi="新宋体" w:eastAsia="新宋体" w:cs="新宋体"/>
          <w:color w:val="auto"/>
          <w:spacing w:val="-12"/>
          <w:sz w:val="24"/>
          <w:szCs w:val="24"/>
          <w:highlight w:val="none"/>
          <w:lang w:val="en-US" w:eastAsia="zh-CN"/>
        </w:rPr>
        <w:t>经营前，工商、税务、卫生、环保等所需证照由承租方自行办理齐全。</w:t>
      </w:r>
    </w:p>
    <w:p w14:paraId="68FB56DD">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eastAsia" w:ascii="新宋体" w:hAnsi="新宋体" w:eastAsia="新宋体" w:cs="新宋体"/>
          <w:color w:val="auto"/>
          <w:spacing w:val="-12"/>
          <w:sz w:val="24"/>
          <w:szCs w:val="24"/>
          <w:highlight w:val="none"/>
          <w:lang w:val="en-US" w:eastAsia="zh-CN"/>
        </w:rPr>
        <w:t>招租方</w:t>
      </w:r>
      <w:r>
        <w:rPr>
          <w:rFonts w:hint="default" w:ascii="新宋体" w:hAnsi="新宋体" w:eastAsia="新宋体" w:cs="新宋体"/>
          <w:color w:val="auto"/>
          <w:spacing w:val="-12"/>
          <w:sz w:val="24"/>
          <w:szCs w:val="24"/>
          <w:highlight w:val="none"/>
          <w:lang w:val="en-US" w:eastAsia="zh-CN"/>
        </w:rPr>
        <w:t>提供的厨房设备和设施等固定资产类设备，</w:t>
      </w:r>
      <w:r>
        <w:rPr>
          <w:rFonts w:hint="eastAsia" w:ascii="新宋体" w:hAnsi="新宋体" w:eastAsia="新宋体" w:cs="新宋体"/>
          <w:color w:val="auto"/>
          <w:spacing w:val="-12"/>
          <w:sz w:val="24"/>
          <w:szCs w:val="24"/>
          <w:highlight w:val="none"/>
          <w:lang w:val="en-US" w:eastAsia="zh-CN"/>
        </w:rPr>
        <w:t>承租方</w:t>
      </w:r>
      <w:r>
        <w:rPr>
          <w:rFonts w:hint="default" w:ascii="新宋体" w:hAnsi="新宋体" w:eastAsia="新宋体" w:cs="新宋体"/>
          <w:color w:val="auto"/>
          <w:spacing w:val="-12"/>
          <w:sz w:val="24"/>
          <w:szCs w:val="24"/>
          <w:highlight w:val="none"/>
          <w:lang w:val="en-US" w:eastAsia="zh-CN"/>
        </w:rPr>
        <w:t>需遵循</w:t>
      </w:r>
      <w:r>
        <w:rPr>
          <w:rFonts w:hint="eastAsia" w:ascii="新宋体" w:hAnsi="新宋体" w:eastAsia="新宋体" w:cs="新宋体"/>
          <w:color w:val="auto"/>
          <w:spacing w:val="-12"/>
          <w:sz w:val="24"/>
          <w:szCs w:val="24"/>
          <w:highlight w:val="none"/>
          <w:lang w:val="en-US" w:eastAsia="zh-CN"/>
        </w:rPr>
        <w:t>招租方</w:t>
      </w:r>
      <w:r>
        <w:rPr>
          <w:rFonts w:hint="default" w:ascii="新宋体" w:hAnsi="新宋体" w:eastAsia="新宋体" w:cs="新宋体"/>
          <w:color w:val="auto"/>
          <w:spacing w:val="-12"/>
          <w:sz w:val="24"/>
          <w:szCs w:val="24"/>
          <w:highlight w:val="none"/>
          <w:lang w:val="en-US" w:eastAsia="zh-CN"/>
        </w:rPr>
        <w:t>的固定资产管理制度；若未到报废期的设备丢失，</w:t>
      </w:r>
      <w:r>
        <w:rPr>
          <w:rFonts w:hint="eastAsia" w:ascii="新宋体" w:hAnsi="新宋体" w:eastAsia="新宋体" w:cs="新宋体"/>
          <w:color w:val="auto"/>
          <w:spacing w:val="-12"/>
          <w:sz w:val="24"/>
          <w:szCs w:val="24"/>
          <w:highlight w:val="none"/>
          <w:lang w:val="en-US" w:eastAsia="zh-CN"/>
        </w:rPr>
        <w:t>承租方</w:t>
      </w:r>
      <w:r>
        <w:rPr>
          <w:rFonts w:hint="default" w:ascii="新宋体" w:hAnsi="新宋体" w:eastAsia="新宋体" w:cs="新宋体"/>
          <w:color w:val="auto"/>
          <w:spacing w:val="-12"/>
          <w:sz w:val="24"/>
          <w:szCs w:val="24"/>
          <w:highlight w:val="none"/>
          <w:lang w:val="en-US" w:eastAsia="zh-CN"/>
        </w:rPr>
        <w:t>需承担相应的赔偿责任。</w:t>
      </w:r>
    </w:p>
    <w:p w14:paraId="29235283">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default" w:ascii="新宋体" w:hAnsi="新宋体" w:eastAsia="新宋体" w:cs="新宋体"/>
          <w:color w:val="auto"/>
          <w:spacing w:val="-12"/>
          <w:sz w:val="24"/>
          <w:szCs w:val="24"/>
          <w:highlight w:val="none"/>
          <w:lang w:val="en-US" w:eastAsia="zh-CN"/>
        </w:rPr>
        <w:t>承租方要保障所经营销售的商品（或服务）无任何质量及安全等问题，如出现商品（或服务）的质量、安全或因经营销售的商品（或服务）导致的意外伤亡等一切事故，承租方要依法承担责任，</w:t>
      </w:r>
      <w:r>
        <w:rPr>
          <w:rFonts w:hint="eastAsia" w:ascii="新宋体" w:hAnsi="新宋体" w:eastAsia="新宋体" w:cs="新宋体"/>
          <w:color w:val="auto"/>
          <w:spacing w:val="-12"/>
          <w:sz w:val="24"/>
          <w:szCs w:val="24"/>
          <w:highlight w:val="none"/>
          <w:lang w:val="en-US" w:eastAsia="zh-CN"/>
        </w:rPr>
        <w:t>招租</w:t>
      </w:r>
      <w:r>
        <w:rPr>
          <w:rFonts w:hint="default" w:ascii="新宋体" w:hAnsi="新宋体" w:eastAsia="新宋体" w:cs="新宋体"/>
          <w:color w:val="auto"/>
          <w:spacing w:val="-12"/>
          <w:sz w:val="24"/>
          <w:szCs w:val="24"/>
          <w:highlight w:val="none"/>
          <w:lang w:val="en-US" w:eastAsia="zh-CN"/>
        </w:rPr>
        <w:t>方不承担任何责任。</w:t>
      </w:r>
    </w:p>
    <w:p w14:paraId="1D6EFA1B">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default" w:ascii="新宋体" w:hAnsi="新宋体" w:eastAsia="新宋体" w:cs="新宋体"/>
          <w:color w:val="auto"/>
          <w:spacing w:val="-12"/>
          <w:sz w:val="24"/>
          <w:szCs w:val="24"/>
          <w:highlight w:val="none"/>
          <w:lang w:val="en-US" w:eastAsia="zh-CN"/>
        </w:rPr>
        <w:t>承租方须与医院签订安全责任状、廉洁责任状。</w:t>
      </w:r>
    </w:p>
    <w:p w14:paraId="03851A6B">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default" w:ascii="新宋体" w:hAnsi="新宋体" w:eastAsia="新宋体" w:cs="新宋体"/>
          <w:color w:val="auto"/>
          <w:spacing w:val="-12"/>
          <w:sz w:val="24"/>
          <w:szCs w:val="24"/>
          <w:highlight w:val="none"/>
          <w:lang w:val="en-US" w:eastAsia="zh-CN"/>
        </w:rPr>
        <w:t>承租方不得以</w:t>
      </w:r>
      <w:r>
        <w:rPr>
          <w:rFonts w:hint="eastAsia" w:ascii="新宋体" w:hAnsi="新宋体" w:eastAsia="新宋体" w:cs="新宋体"/>
          <w:color w:val="auto"/>
          <w:spacing w:val="-12"/>
          <w:sz w:val="24"/>
          <w:szCs w:val="24"/>
          <w:highlight w:val="none"/>
          <w:lang w:val="en-US" w:eastAsia="zh-CN"/>
        </w:rPr>
        <w:t>招租</w:t>
      </w:r>
      <w:r>
        <w:rPr>
          <w:rFonts w:hint="default" w:ascii="新宋体" w:hAnsi="新宋体" w:eastAsia="新宋体" w:cs="新宋体"/>
          <w:color w:val="auto"/>
          <w:spacing w:val="-12"/>
          <w:sz w:val="24"/>
          <w:szCs w:val="24"/>
          <w:highlight w:val="none"/>
          <w:lang w:val="en-US" w:eastAsia="zh-CN"/>
        </w:rPr>
        <w:t>方的名义进行经营活动，因违规经营行为而损害</w:t>
      </w:r>
      <w:r>
        <w:rPr>
          <w:rFonts w:hint="eastAsia" w:ascii="新宋体" w:hAnsi="新宋体" w:eastAsia="新宋体" w:cs="新宋体"/>
          <w:color w:val="auto"/>
          <w:spacing w:val="-12"/>
          <w:sz w:val="24"/>
          <w:szCs w:val="24"/>
          <w:highlight w:val="none"/>
          <w:lang w:val="en-US" w:eastAsia="zh-CN"/>
        </w:rPr>
        <w:t>招租</w:t>
      </w:r>
      <w:r>
        <w:rPr>
          <w:rFonts w:hint="default" w:ascii="新宋体" w:hAnsi="新宋体" w:eastAsia="新宋体" w:cs="新宋体"/>
          <w:color w:val="auto"/>
          <w:spacing w:val="-12"/>
          <w:sz w:val="24"/>
          <w:szCs w:val="24"/>
          <w:highlight w:val="none"/>
          <w:lang w:val="en-US" w:eastAsia="zh-CN"/>
        </w:rPr>
        <w:t>方形象、给</w:t>
      </w:r>
      <w:r>
        <w:rPr>
          <w:rFonts w:hint="eastAsia" w:ascii="新宋体" w:hAnsi="新宋体" w:eastAsia="新宋体" w:cs="新宋体"/>
          <w:color w:val="auto"/>
          <w:spacing w:val="-12"/>
          <w:sz w:val="24"/>
          <w:szCs w:val="24"/>
          <w:highlight w:val="none"/>
          <w:lang w:val="en-US" w:eastAsia="zh-CN"/>
        </w:rPr>
        <w:t>招租</w:t>
      </w:r>
      <w:r>
        <w:rPr>
          <w:rFonts w:hint="default" w:ascii="新宋体" w:hAnsi="新宋体" w:eastAsia="新宋体" w:cs="新宋体"/>
          <w:color w:val="auto"/>
          <w:spacing w:val="-12"/>
          <w:sz w:val="24"/>
          <w:szCs w:val="24"/>
          <w:highlight w:val="none"/>
          <w:lang w:val="en-US" w:eastAsia="zh-CN"/>
        </w:rPr>
        <w:t>方带来负面影响的，</w:t>
      </w:r>
      <w:r>
        <w:rPr>
          <w:rFonts w:hint="eastAsia" w:ascii="新宋体" w:hAnsi="新宋体" w:eastAsia="新宋体" w:cs="新宋体"/>
          <w:color w:val="auto"/>
          <w:spacing w:val="-12"/>
          <w:sz w:val="24"/>
          <w:szCs w:val="24"/>
          <w:highlight w:val="none"/>
          <w:lang w:val="en-US" w:eastAsia="zh-CN"/>
        </w:rPr>
        <w:t>招租</w:t>
      </w:r>
      <w:r>
        <w:rPr>
          <w:rFonts w:hint="default" w:ascii="新宋体" w:hAnsi="新宋体" w:eastAsia="新宋体" w:cs="新宋体"/>
          <w:color w:val="auto"/>
          <w:spacing w:val="-12"/>
          <w:sz w:val="24"/>
          <w:szCs w:val="24"/>
          <w:highlight w:val="none"/>
          <w:lang w:val="en-US" w:eastAsia="zh-CN"/>
        </w:rPr>
        <w:t>方有权责令承租方立即停止所有经营，承租方须赔偿</w:t>
      </w:r>
      <w:r>
        <w:rPr>
          <w:rFonts w:hint="eastAsia" w:ascii="新宋体" w:hAnsi="新宋体" w:eastAsia="新宋体" w:cs="新宋体"/>
          <w:color w:val="auto"/>
          <w:spacing w:val="-12"/>
          <w:sz w:val="24"/>
          <w:szCs w:val="24"/>
          <w:highlight w:val="none"/>
          <w:lang w:val="en-US" w:eastAsia="zh-CN"/>
        </w:rPr>
        <w:t>招租</w:t>
      </w:r>
      <w:r>
        <w:rPr>
          <w:rFonts w:hint="default" w:ascii="新宋体" w:hAnsi="新宋体" w:eastAsia="新宋体" w:cs="新宋体"/>
          <w:color w:val="auto"/>
          <w:spacing w:val="-12"/>
          <w:sz w:val="24"/>
          <w:szCs w:val="24"/>
          <w:highlight w:val="none"/>
          <w:lang w:val="en-US" w:eastAsia="zh-CN"/>
        </w:rPr>
        <w:t>方因此引起的一切经济损失。</w:t>
      </w:r>
    </w:p>
    <w:p w14:paraId="35B9570C">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default" w:ascii="新宋体" w:hAnsi="新宋体" w:eastAsia="新宋体" w:cs="新宋体"/>
          <w:color w:val="auto"/>
          <w:spacing w:val="-12"/>
          <w:sz w:val="24"/>
          <w:szCs w:val="24"/>
          <w:highlight w:val="none"/>
          <w:lang w:val="en-US" w:eastAsia="zh-CN"/>
        </w:rPr>
      </w:pPr>
      <w:r>
        <w:rPr>
          <w:rFonts w:hint="default" w:ascii="新宋体" w:hAnsi="新宋体" w:eastAsia="新宋体" w:cs="新宋体"/>
          <w:color w:val="auto"/>
          <w:spacing w:val="-12"/>
          <w:sz w:val="24"/>
          <w:szCs w:val="24"/>
          <w:highlight w:val="none"/>
          <w:lang w:val="en-US" w:eastAsia="zh-CN"/>
        </w:rPr>
        <w:t>★意向承租方根据市场监督管理局等相关行政执法部门的政策要求具备涵盖并符合本项目的经营许可要求【主体业态（餐饮服务经营者）及经营项目（包括但不限于：食品制售相关）】，提供证明材料并加盖意向承租方公章。若投标响应时未有具备涵盖以上符合本项目的主体业态及经营项目的，须承诺在中标公告发出后合同签订前，办理补充涵盖并经有关行政执法部门核发以上符合本项目的主体业态及经营项目，将核发的证明材料复印件交予</w:t>
      </w:r>
      <w:r>
        <w:rPr>
          <w:rFonts w:hint="eastAsia" w:ascii="新宋体" w:hAnsi="新宋体" w:eastAsia="新宋体" w:cs="新宋体"/>
          <w:color w:val="auto"/>
          <w:spacing w:val="-12"/>
          <w:sz w:val="24"/>
          <w:szCs w:val="24"/>
          <w:highlight w:val="none"/>
          <w:lang w:val="en-US" w:eastAsia="zh-CN"/>
        </w:rPr>
        <w:t>招租方</w:t>
      </w:r>
      <w:r>
        <w:rPr>
          <w:rFonts w:hint="default" w:ascii="新宋体" w:hAnsi="新宋体" w:eastAsia="新宋体" w:cs="新宋体"/>
          <w:color w:val="auto"/>
          <w:spacing w:val="-12"/>
          <w:sz w:val="24"/>
          <w:szCs w:val="24"/>
          <w:highlight w:val="none"/>
          <w:lang w:val="en-US" w:eastAsia="zh-CN"/>
        </w:rPr>
        <w:t>留档（提供承诺函并加盖意向承租方公章），如承租方不能提交上述证明材料或不按要求提交或逾期提交的，</w:t>
      </w:r>
      <w:r>
        <w:rPr>
          <w:rFonts w:hint="eastAsia" w:ascii="新宋体" w:hAnsi="新宋体" w:eastAsia="新宋体" w:cs="新宋体"/>
          <w:color w:val="auto"/>
          <w:spacing w:val="-12"/>
          <w:sz w:val="24"/>
          <w:szCs w:val="24"/>
          <w:highlight w:val="none"/>
          <w:lang w:val="en-US" w:eastAsia="zh-CN"/>
        </w:rPr>
        <w:t>招租</w:t>
      </w:r>
      <w:r>
        <w:rPr>
          <w:rFonts w:hint="default" w:ascii="新宋体" w:hAnsi="新宋体" w:eastAsia="新宋体" w:cs="新宋体"/>
          <w:color w:val="auto"/>
          <w:spacing w:val="-12"/>
          <w:sz w:val="24"/>
          <w:szCs w:val="24"/>
          <w:highlight w:val="none"/>
          <w:lang w:val="en-US" w:eastAsia="zh-CN"/>
        </w:rPr>
        <w:t>方将上报相关监管部门，一切责任由承租方负责。</w:t>
      </w:r>
    </w:p>
    <w:p w14:paraId="10E2C186">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22"/>
          <w:sz w:val="24"/>
          <w:szCs w:val="24"/>
          <w:highlight w:val="none"/>
        </w:rPr>
      </w:pPr>
      <w:r>
        <w:rPr>
          <w:rFonts w:hint="default" w:ascii="新宋体" w:hAnsi="新宋体" w:eastAsia="新宋体" w:cs="新宋体"/>
          <w:color w:val="auto"/>
          <w:spacing w:val="-12"/>
          <w:sz w:val="24"/>
          <w:szCs w:val="24"/>
          <w:highlight w:val="none"/>
          <w:lang w:val="en-US" w:eastAsia="zh-CN"/>
        </w:rPr>
        <w:t>★承租方制定的各类菜式、餐标及供餐时间均须经</w:t>
      </w:r>
      <w:r>
        <w:rPr>
          <w:rFonts w:hint="eastAsia" w:ascii="新宋体" w:hAnsi="新宋体" w:eastAsia="新宋体" w:cs="新宋体"/>
          <w:color w:val="auto"/>
          <w:spacing w:val="-12"/>
          <w:sz w:val="24"/>
          <w:szCs w:val="24"/>
          <w:highlight w:val="none"/>
          <w:lang w:val="en-US" w:eastAsia="zh-CN"/>
        </w:rPr>
        <w:t>招租</w:t>
      </w:r>
      <w:r>
        <w:rPr>
          <w:rFonts w:hint="default" w:ascii="新宋体" w:hAnsi="新宋体" w:eastAsia="新宋体" w:cs="新宋体"/>
          <w:color w:val="auto"/>
          <w:spacing w:val="-12"/>
          <w:sz w:val="24"/>
          <w:szCs w:val="24"/>
          <w:highlight w:val="none"/>
          <w:lang w:val="en-US" w:eastAsia="zh-CN"/>
        </w:rPr>
        <w:t>方审核确认后执行，在项目实施过程中，如遇物价上涨或政策变动等第三方原因需对各类餐标进行变动，须经</w:t>
      </w:r>
      <w:r>
        <w:rPr>
          <w:rFonts w:hint="eastAsia" w:ascii="新宋体" w:hAnsi="新宋体" w:eastAsia="新宋体" w:cs="新宋体"/>
          <w:color w:val="auto"/>
          <w:spacing w:val="-12"/>
          <w:sz w:val="24"/>
          <w:szCs w:val="24"/>
          <w:highlight w:val="none"/>
          <w:lang w:val="en-US" w:eastAsia="zh-CN"/>
        </w:rPr>
        <w:t>招租方</w:t>
      </w:r>
      <w:r>
        <w:rPr>
          <w:rFonts w:hint="default" w:ascii="新宋体" w:hAnsi="新宋体" w:eastAsia="新宋体" w:cs="新宋体"/>
          <w:color w:val="auto"/>
          <w:spacing w:val="-12"/>
          <w:sz w:val="24"/>
          <w:szCs w:val="24"/>
          <w:highlight w:val="none"/>
          <w:lang w:val="en-US" w:eastAsia="zh-CN"/>
        </w:rPr>
        <w:t>审核通过后方可执行。（提供承诺函并加盖意向承租方公章）</w:t>
      </w:r>
    </w:p>
    <w:p w14:paraId="41C86AFB">
      <w:pPr>
        <w:pStyle w:val="4"/>
        <w:keepNext w:val="0"/>
        <w:keepLines w:val="0"/>
        <w:pageBreakBefore w:val="0"/>
        <w:widowControl/>
        <w:numPr>
          <w:ilvl w:val="0"/>
          <w:numId w:val="9"/>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22"/>
          <w:sz w:val="24"/>
          <w:szCs w:val="24"/>
          <w:highlight w:val="none"/>
        </w:rPr>
      </w:pPr>
      <w:r>
        <w:rPr>
          <w:rFonts w:hint="default" w:ascii="新宋体" w:hAnsi="新宋体" w:eastAsia="新宋体" w:cs="新宋体"/>
          <w:color w:val="auto"/>
          <w:spacing w:val="-12"/>
          <w:sz w:val="24"/>
          <w:szCs w:val="24"/>
          <w:highlight w:val="none"/>
          <w:lang w:val="en-US" w:eastAsia="zh-CN"/>
        </w:rPr>
        <w:t>★</w:t>
      </w:r>
      <w:r>
        <w:rPr>
          <w:rFonts w:hint="eastAsia" w:ascii="新宋体" w:hAnsi="新宋体" w:eastAsia="新宋体" w:cs="新宋体"/>
          <w:color w:val="auto"/>
          <w:spacing w:val="-12"/>
          <w:sz w:val="24"/>
          <w:szCs w:val="24"/>
          <w:highlight w:val="none"/>
          <w:lang w:val="en-US" w:eastAsia="zh-CN"/>
        </w:rPr>
        <w:t>责任险：包组1，</w:t>
      </w: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须在收到中标通知书后1个月内购买保额不低于</w:t>
      </w:r>
      <w:r>
        <w:rPr>
          <w:rFonts w:hint="eastAsia" w:ascii="新宋体" w:hAnsi="新宋体" w:eastAsia="新宋体" w:cs="新宋体"/>
          <w:color w:val="auto"/>
          <w:sz w:val="24"/>
          <w:highlight w:val="none"/>
          <w:lang w:val="en-US" w:eastAsia="zh-CN"/>
        </w:rPr>
        <w:t>1000万元</w:t>
      </w:r>
      <w:r>
        <w:rPr>
          <w:rFonts w:hint="eastAsia" w:ascii="新宋体" w:hAnsi="新宋体" w:eastAsia="新宋体" w:cs="新宋体"/>
          <w:b w:val="0"/>
          <w:bCs w:val="0"/>
          <w:color w:val="auto"/>
          <w:spacing w:val="-2"/>
          <w:sz w:val="24"/>
          <w:szCs w:val="24"/>
          <w:highlight w:val="none"/>
        </w:rPr>
        <w:t>的公众责任险（被保险人须包含</w:t>
      </w:r>
      <w:r>
        <w:rPr>
          <w:rFonts w:hint="eastAsia" w:ascii="新宋体" w:hAnsi="新宋体" w:eastAsia="新宋体" w:cs="新宋体"/>
          <w:b w:val="0"/>
          <w:bCs w:val="0"/>
          <w:color w:val="auto"/>
          <w:spacing w:val="-2"/>
          <w:sz w:val="24"/>
          <w:szCs w:val="24"/>
          <w:highlight w:val="none"/>
          <w:lang w:eastAsia="zh-CN"/>
        </w:rPr>
        <w:t>招租方</w:t>
      </w:r>
      <w:r>
        <w:rPr>
          <w:rFonts w:hint="eastAsia" w:ascii="新宋体" w:hAnsi="新宋体" w:eastAsia="新宋体" w:cs="新宋体"/>
          <w:b w:val="0"/>
          <w:bCs w:val="0"/>
          <w:color w:val="auto"/>
          <w:spacing w:val="-2"/>
          <w:sz w:val="24"/>
          <w:szCs w:val="24"/>
          <w:highlight w:val="none"/>
        </w:rPr>
        <w:t>）及购买保额不低于</w:t>
      </w:r>
      <w:r>
        <w:rPr>
          <w:rFonts w:hint="eastAsia" w:ascii="新宋体" w:hAnsi="新宋体" w:eastAsia="新宋体" w:cs="新宋体"/>
          <w:color w:val="auto"/>
          <w:sz w:val="24"/>
          <w:highlight w:val="none"/>
          <w:lang w:val="en-US" w:eastAsia="zh-CN"/>
        </w:rPr>
        <w:t>300万元</w:t>
      </w:r>
      <w:r>
        <w:rPr>
          <w:rFonts w:hint="default" w:ascii="新宋体" w:hAnsi="新宋体" w:eastAsia="新宋体" w:cs="新宋体"/>
          <w:color w:val="auto"/>
          <w:spacing w:val="-12"/>
          <w:sz w:val="24"/>
          <w:szCs w:val="24"/>
          <w:highlight w:val="none"/>
          <w:lang w:val="en-US" w:eastAsia="zh-CN"/>
        </w:rPr>
        <w:t>的食品安全责任险（被保险人须包含</w:t>
      </w:r>
      <w:r>
        <w:rPr>
          <w:rFonts w:hint="eastAsia" w:ascii="新宋体" w:hAnsi="新宋体" w:eastAsia="新宋体" w:cs="新宋体"/>
          <w:color w:val="auto"/>
          <w:spacing w:val="-12"/>
          <w:sz w:val="24"/>
          <w:szCs w:val="24"/>
          <w:highlight w:val="none"/>
          <w:lang w:val="en-US" w:eastAsia="zh-CN"/>
        </w:rPr>
        <w:t>招租方</w:t>
      </w:r>
      <w:r>
        <w:rPr>
          <w:rFonts w:hint="default" w:ascii="新宋体" w:hAnsi="新宋体" w:eastAsia="新宋体" w:cs="新宋体"/>
          <w:color w:val="auto"/>
          <w:spacing w:val="-12"/>
          <w:sz w:val="24"/>
          <w:szCs w:val="24"/>
          <w:highlight w:val="none"/>
          <w:lang w:val="en-US" w:eastAsia="zh-CN"/>
        </w:rPr>
        <w:t>），购买的保单复印件交由</w:t>
      </w:r>
      <w:r>
        <w:rPr>
          <w:rFonts w:hint="eastAsia" w:ascii="新宋体" w:hAnsi="新宋体" w:eastAsia="新宋体" w:cs="新宋体"/>
          <w:color w:val="auto"/>
          <w:spacing w:val="-12"/>
          <w:sz w:val="24"/>
          <w:szCs w:val="24"/>
          <w:highlight w:val="none"/>
          <w:lang w:val="en-US" w:eastAsia="zh-CN"/>
        </w:rPr>
        <w:t>招租方</w:t>
      </w:r>
      <w:r>
        <w:rPr>
          <w:rFonts w:hint="default" w:ascii="新宋体" w:hAnsi="新宋体" w:eastAsia="新宋体" w:cs="新宋体"/>
          <w:color w:val="auto"/>
          <w:spacing w:val="-12"/>
          <w:sz w:val="24"/>
          <w:szCs w:val="24"/>
          <w:highlight w:val="none"/>
          <w:lang w:val="en-US" w:eastAsia="zh-CN"/>
        </w:rPr>
        <w:t>管理部门存档</w:t>
      </w:r>
      <w:r>
        <w:rPr>
          <w:rFonts w:hint="eastAsia" w:ascii="新宋体" w:hAnsi="新宋体" w:eastAsia="新宋体" w:cs="新宋体"/>
          <w:color w:val="auto"/>
          <w:sz w:val="24"/>
          <w:highlight w:val="none"/>
          <w:lang w:val="en-US" w:eastAsia="zh-CN"/>
        </w:rPr>
        <w:t>；包组2，</w:t>
      </w: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须在收到中标通知书后1个月内购买保额不低于</w:t>
      </w:r>
      <w:r>
        <w:rPr>
          <w:rFonts w:hint="eastAsia" w:ascii="新宋体" w:hAnsi="新宋体" w:eastAsia="新宋体" w:cs="新宋体"/>
          <w:color w:val="auto"/>
          <w:sz w:val="24"/>
          <w:highlight w:val="none"/>
          <w:lang w:val="en-US" w:eastAsia="zh-CN"/>
        </w:rPr>
        <w:t>600万元</w:t>
      </w:r>
      <w:r>
        <w:rPr>
          <w:rFonts w:hint="eastAsia" w:ascii="新宋体" w:hAnsi="新宋体" w:eastAsia="新宋体" w:cs="新宋体"/>
          <w:b w:val="0"/>
          <w:bCs w:val="0"/>
          <w:color w:val="auto"/>
          <w:spacing w:val="-2"/>
          <w:sz w:val="24"/>
          <w:szCs w:val="24"/>
          <w:highlight w:val="none"/>
        </w:rPr>
        <w:t>的公众责任险（被保险人须包含</w:t>
      </w:r>
      <w:r>
        <w:rPr>
          <w:rFonts w:hint="eastAsia" w:ascii="新宋体" w:hAnsi="新宋体" w:eastAsia="新宋体" w:cs="新宋体"/>
          <w:b w:val="0"/>
          <w:bCs w:val="0"/>
          <w:color w:val="auto"/>
          <w:spacing w:val="-2"/>
          <w:sz w:val="24"/>
          <w:szCs w:val="24"/>
          <w:highlight w:val="none"/>
          <w:lang w:eastAsia="zh-CN"/>
        </w:rPr>
        <w:t>招租方</w:t>
      </w:r>
      <w:r>
        <w:rPr>
          <w:rFonts w:hint="eastAsia" w:ascii="新宋体" w:hAnsi="新宋体" w:eastAsia="新宋体" w:cs="新宋体"/>
          <w:b w:val="0"/>
          <w:bCs w:val="0"/>
          <w:color w:val="auto"/>
          <w:spacing w:val="-2"/>
          <w:sz w:val="24"/>
          <w:szCs w:val="24"/>
          <w:highlight w:val="none"/>
        </w:rPr>
        <w:t>）及购买保额不低于</w:t>
      </w:r>
      <w:r>
        <w:rPr>
          <w:rFonts w:hint="eastAsia" w:ascii="新宋体" w:hAnsi="新宋体" w:eastAsia="新宋体" w:cs="新宋体"/>
          <w:color w:val="auto"/>
          <w:sz w:val="24"/>
          <w:highlight w:val="none"/>
          <w:lang w:val="en-US" w:eastAsia="zh-CN"/>
        </w:rPr>
        <w:t>200万元</w:t>
      </w:r>
      <w:r>
        <w:rPr>
          <w:rFonts w:hint="default" w:ascii="新宋体" w:hAnsi="新宋体" w:eastAsia="新宋体" w:cs="新宋体"/>
          <w:color w:val="auto"/>
          <w:spacing w:val="-12"/>
          <w:sz w:val="24"/>
          <w:szCs w:val="24"/>
          <w:highlight w:val="none"/>
          <w:lang w:val="en-US" w:eastAsia="zh-CN"/>
        </w:rPr>
        <w:t>的食品安全责任险（被保险人须包含</w:t>
      </w:r>
      <w:r>
        <w:rPr>
          <w:rFonts w:hint="eastAsia" w:ascii="新宋体" w:hAnsi="新宋体" w:eastAsia="新宋体" w:cs="新宋体"/>
          <w:color w:val="auto"/>
          <w:spacing w:val="-12"/>
          <w:sz w:val="24"/>
          <w:szCs w:val="24"/>
          <w:highlight w:val="none"/>
          <w:lang w:val="en-US" w:eastAsia="zh-CN"/>
        </w:rPr>
        <w:t>招租方</w:t>
      </w:r>
      <w:r>
        <w:rPr>
          <w:rFonts w:hint="default" w:ascii="新宋体" w:hAnsi="新宋体" w:eastAsia="新宋体" w:cs="新宋体"/>
          <w:color w:val="auto"/>
          <w:spacing w:val="-12"/>
          <w:sz w:val="24"/>
          <w:szCs w:val="24"/>
          <w:highlight w:val="none"/>
          <w:lang w:val="en-US" w:eastAsia="zh-CN"/>
        </w:rPr>
        <w:t>），购买的保单复印件交由</w:t>
      </w:r>
      <w:r>
        <w:rPr>
          <w:rFonts w:hint="eastAsia" w:ascii="新宋体" w:hAnsi="新宋体" w:eastAsia="新宋体" w:cs="新宋体"/>
          <w:color w:val="auto"/>
          <w:spacing w:val="-12"/>
          <w:sz w:val="24"/>
          <w:szCs w:val="24"/>
          <w:highlight w:val="none"/>
          <w:lang w:val="en-US" w:eastAsia="zh-CN"/>
        </w:rPr>
        <w:t>招租方</w:t>
      </w:r>
      <w:r>
        <w:rPr>
          <w:rFonts w:hint="default" w:ascii="新宋体" w:hAnsi="新宋体" w:eastAsia="新宋体" w:cs="新宋体"/>
          <w:color w:val="auto"/>
          <w:spacing w:val="-12"/>
          <w:sz w:val="24"/>
          <w:szCs w:val="24"/>
          <w:highlight w:val="none"/>
          <w:lang w:val="en-US" w:eastAsia="zh-CN"/>
        </w:rPr>
        <w:t>管理部门存档。</w:t>
      </w:r>
      <w:r>
        <w:rPr>
          <w:rFonts w:hint="eastAsia" w:ascii="新宋体" w:hAnsi="新宋体" w:eastAsia="新宋体" w:cs="新宋体"/>
          <w:color w:val="auto"/>
          <w:spacing w:val="-12"/>
          <w:sz w:val="24"/>
          <w:szCs w:val="24"/>
          <w:highlight w:val="none"/>
          <w:lang w:val="en-US" w:eastAsia="zh-CN"/>
        </w:rPr>
        <w:t>未按时足额投保或未将保单复印件交至招租方管理部门存档的，视为自动放弃中标资格，招租方有权重新组织招租程序，由此产生的一切损失由承租方自行承担。</w:t>
      </w:r>
    </w:p>
    <w:p w14:paraId="217C539A">
      <w:pPr>
        <w:pStyle w:val="4"/>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b/>
          <w:bCs/>
          <w:color w:val="auto"/>
          <w:sz w:val="30"/>
          <w:szCs w:val="30"/>
          <w:highlight w:val="none"/>
        </w:rPr>
      </w:pPr>
      <w:r>
        <w:rPr>
          <w:b/>
          <w:bCs/>
          <w:color w:val="auto"/>
          <w:spacing w:val="-12"/>
          <w:sz w:val="30"/>
          <w:szCs w:val="30"/>
          <w:highlight w:val="none"/>
        </w:rPr>
        <w:t>租赁期限和租金缴纳方式</w:t>
      </w:r>
    </w:p>
    <w:p w14:paraId="7C77C997">
      <w:pPr>
        <w:pStyle w:val="4"/>
        <w:keepNext w:val="0"/>
        <w:keepLines w:val="0"/>
        <w:pageBreakBefore w:val="0"/>
        <w:widowControl/>
        <w:numPr>
          <w:ilvl w:val="0"/>
          <w:numId w:val="10"/>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22"/>
          <w:sz w:val="24"/>
          <w:szCs w:val="24"/>
          <w:highlight w:val="none"/>
        </w:rPr>
      </w:pPr>
      <w:r>
        <w:rPr>
          <w:rFonts w:hint="eastAsia" w:ascii="新宋体" w:hAnsi="新宋体" w:eastAsia="新宋体" w:cs="新宋体"/>
          <w:color w:val="auto"/>
          <w:spacing w:val="22"/>
          <w:sz w:val="24"/>
          <w:szCs w:val="24"/>
          <w:highlight w:val="none"/>
        </w:rPr>
        <w:t>采用“一年一签”模式；</w:t>
      </w:r>
    </w:p>
    <w:p w14:paraId="13A9CEC8">
      <w:pPr>
        <w:pStyle w:val="4"/>
        <w:keepNext w:val="0"/>
        <w:keepLines w:val="0"/>
        <w:pageBreakBefore w:val="0"/>
        <w:widowControl/>
        <w:numPr>
          <w:ilvl w:val="0"/>
          <w:numId w:val="10"/>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z w:val="24"/>
          <w:szCs w:val="24"/>
          <w:highlight w:val="none"/>
        </w:rPr>
      </w:pPr>
      <w:r>
        <w:rPr>
          <w:rFonts w:hint="eastAsia" w:ascii="新宋体" w:hAnsi="新宋体" w:eastAsia="新宋体" w:cs="新宋体"/>
          <w:color w:val="auto"/>
          <w:spacing w:val="22"/>
          <w:sz w:val="24"/>
          <w:szCs w:val="24"/>
          <w:highlight w:val="none"/>
        </w:rPr>
        <w:t>考核与续约：每年度对</w:t>
      </w:r>
      <w:r>
        <w:rPr>
          <w:rFonts w:hint="eastAsia" w:ascii="新宋体" w:hAnsi="新宋体" w:eastAsia="新宋体" w:cs="新宋体"/>
          <w:color w:val="auto"/>
          <w:spacing w:val="22"/>
          <w:sz w:val="24"/>
          <w:szCs w:val="24"/>
          <w:highlight w:val="none"/>
          <w:lang w:eastAsia="zh-CN"/>
        </w:rPr>
        <w:t>承租方</w:t>
      </w:r>
      <w:r>
        <w:rPr>
          <w:rFonts w:hint="eastAsia" w:ascii="新宋体" w:hAnsi="新宋体" w:eastAsia="新宋体" w:cs="新宋体"/>
          <w:color w:val="auto"/>
          <w:spacing w:val="22"/>
          <w:sz w:val="24"/>
          <w:szCs w:val="24"/>
          <w:highlight w:val="none"/>
        </w:rPr>
        <w:t>进行运营考核，考核优秀者方可续签下一年度合同；若考核不合格或</w:t>
      </w:r>
      <w:r>
        <w:rPr>
          <w:rFonts w:hint="eastAsia" w:ascii="新宋体" w:hAnsi="新宋体" w:eastAsia="新宋体" w:cs="新宋体"/>
          <w:color w:val="auto"/>
          <w:spacing w:val="22"/>
          <w:sz w:val="24"/>
          <w:szCs w:val="24"/>
          <w:highlight w:val="none"/>
          <w:lang w:eastAsia="zh-CN"/>
        </w:rPr>
        <w:t>承租方</w:t>
      </w:r>
      <w:r>
        <w:rPr>
          <w:rFonts w:hint="eastAsia" w:ascii="新宋体" w:hAnsi="新宋体" w:eastAsia="新宋体" w:cs="新宋体"/>
          <w:color w:val="auto"/>
          <w:spacing w:val="22"/>
          <w:sz w:val="24"/>
          <w:szCs w:val="24"/>
          <w:highlight w:val="none"/>
        </w:rPr>
        <w:t>存在违约行为，</w:t>
      </w:r>
      <w:r>
        <w:rPr>
          <w:rFonts w:hint="eastAsia" w:ascii="新宋体" w:hAnsi="新宋体" w:eastAsia="新宋体" w:cs="新宋体"/>
          <w:color w:val="auto"/>
          <w:spacing w:val="22"/>
          <w:sz w:val="24"/>
          <w:szCs w:val="24"/>
          <w:highlight w:val="none"/>
          <w:lang w:eastAsia="zh-CN"/>
        </w:rPr>
        <w:t>招租方</w:t>
      </w:r>
      <w:r>
        <w:rPr>
          <w:rFonts w:hint="eastAsia" w:ascii="新宋体" w:hAnsi="新宋体" w:eastAsia="新宋体" w:cs="新宋体"/>
          <w:color w:val="auto"/>
          <w:spacing w:val="22"/>
          <w:sz w:val="24"/>
          <w:szCs w:val="24"/>
          <w:highlight w:val="none"/>
        </w:rPr>
        <w:t>有权单方终止合同，由此产生的相关责任由</w:t>
      </w:r>
      <w:r>
        <w:rPr>
          <w:rFonts w:hint="eastAsia" w:ascii="新宋体" w:hAnsi="新宋体" w:eastAsia="新宋体" w:cs="新宋体"/>
          <w:color w:val="auto"/>
          <w:spacing w:val="22"/>
          <w:sz w:val="24"/>
          <w:szCs w:val="24"/>
          <w:highlight w:val="none"/>
          <w:lang w:eastAsia="zh-CN"/>
        </w:rPr>
        <w:t>承租方</w:t>
      </w:r>
      <w:r>
        <w:rPr>
          <w:rFonts w:hint="eastAsia" w:ascii="新宋体" w:hAnsi="新宋体" w:eastAsia="新宋体" w:cs="新宋体"/>
          <w:color w:val="auto"/>
          <w:spacing w:val="22"/>
          <w:sz w:val="24"/>
          <w:szCs w:val="24"/>
          <w:highlight w:val="none"/>
        </w:rPr>
        <w:t>承担。</w:t>
      </w:r>
    </w:p>
    <w:p w14:paraId="73E7AD98">
      <w:pPr>
        <w:pStyle w:val="4"/>
        <w:keepNext w:val="0"/>
        <w:keepLines w:val="0"/>
        <w:pageBreakBefore w:val="0"/>
        <w:widowControl/>
        <w:numPr>
          <w:ilvl w:val="0"/>
          <w:numId w:val="10"/>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7"/>
          <w:sz w:val="24"/>
          <w:szCs w:val="24"/>
          <w:highlight w:val="none"/>
          <w:lang w:eastAsia="zh-CN"/>
        </w:rPr>
      </w:pPr>
      <w:r>
        <w:rPr>
          <w:rFonts w:hint="eastAsia" w:ascii="新宋体" w:hAnsi="新宋体" w:eastAsia="新宋体" w:cs="新宋体"/>
          <w:color w:val="auto"/>
          <w:spacing w:val="16"/>
          <w:sz w:val="24"/>
          <w:szCs w:val="24"/>
          <w:highlight w:val="none"/>
          <w:lang w:val="en-US" w:eastAsia="zh-CN"/>
        </w:rPr>
        <w:t>最低月租金：</w:t>
      </w:r>
      <w:r>
        <w:rPr>
          <w:rFonts w:hint="eastAsia" w:ascii="新宋体" w:hAnsi="新宋体" w:eastAsia="新宋体" w:cs="新宋体"/>
          <w:color w:val="auto"/>
          <w:spacing w:val="16"/>
          <w:sz w:val="24"/>
          <w:szCs w:val="24"/>
          <w:highlight w:val="none"/>
        </w:rPr>
        <w:t>“</w:t>
      </w:r>
      <w:r>
        <w:rPr>
          <w:rFonts w:hint="eastAsia" w:ascii="新宋体" w:hAnsi="新宋体" w:eastAsia="新宋体" w:cs="新宋体"/>
          <w:color w:val="auto"/>
          <w:spacing w:val="16"/>
          <w:sz w:val="24"/>
          <w:szCs w:val="24"/>
          <w:highlight w:val="none"/>
          <w:lang w:val="en-US" w:eastAsia="zh-CN"/>
        </w:rPr>
        <w:t>包组</w:t>
      </w:r>
      <w:r>
        <w:rPr>
          <w:rFonts w:hint="eastAsia" w:ascii="新宋体" w:hAnsi="新宋体" w:eastAsia="新宋体" w:cs="新宋体"/>
          <w:color w:val="auto"/>
          <w:spacing w:val="16"/>
          <w:sz w:val="24"/>
          <w:szCs w:val="24"/>
          <w:highlight w:val="none"/>
        </w:rPr>
        <w:t>1”月租金257000元（年租金3084000元），“包</w:t>
      </w:r>
      <w:r>
        <w:rPr>
          <w:rFonts w:hint="eastAsia" w:ascii="新宋体" w:hAnsi="新宋体" w:eastAsia="新宋体" w:cs="新宋体"/>
          <w:color w:val="auto"/>
          <w:spacing w:val="16"/>
          <w:sz w:val="24"/>
          <w:szCs w:val="24"/>
          <w:highlight w:val="none"/>
          <w:lang w:val="en-US" w:eastAsia="zh-CN"/>
        </w:rPr>
        <w:t>租</w:t>
      </w:r>
      <w:r>
        <w:rPr>
          <w:rFonts w:hint="eastAsia" w:ascii="新宋体" w:hAnsi="新宋体" w:eastAsia="新宋体" w:cs="新宋体"/>
          <w:color w:val="auto"/>
          <w:spacing w:val="16"/>
          <w:sz w:val="24"/>
          <w:szCs w:val="24"/>
          <w:highlight w:val="none"/>
        </w:rPr>
        <w:t>2”月租金98000元（年租金1176000元）。</w:t>
      </w:r>
      <w:r>
        <w:rPr>
          <w:rFonts w:hint="eastAsia" w:ascii="新宋体" w:hAnsi="新宋体" w:eastAsia="新宋体" w:cs="新宋体"/>
          <w:color w:val="auto"/>
          <w:spacing w:val="12"/>
          <w:sz w:val="24"/>
          <w:szCs w:val="24"/>
          <w:highlight w:val="none"/>
        </w:rPr>
        <w:t>所产生的水电费</w:t>
      </w:r>
      <w:r>
        <w:rPr>
          <w:rFonts w:hint="eastAsia" w:ascii="新宋体" w:hAnsi="新宋体" w:eastAsia="新宋体" w:cs="新宋体"/>
          <w:color w:val="auto"/>
          <w:spacing w:val="11"/>
          <w:sz w:val="24"/>
          <w:szCs w:val="24"/>
          <w:highlight w:val="none"/>
        </w:rPr>
        <w:t>用按实收取。</w:t>
      </w:r>
      <w:r>
        <w:rPr>
          <w:rFonts w:hint="eastAsia" w:ascii="新宋体" w:hAnsi="新宋体" w:eastAsia="新宋体" w:cs="新宋体"/>
          <w:color w:val="auto"/>
          <w:spacing w:val="17"/>
          <w:sz w:val="24"/>
          <w:szCs w:val="24"/>
          <w:highlight w:val="none"/>
        </w:rPr>
        <w:t>租金按月支付，</w:t>
      </w:r>
      <w:r>
        <w:rPr>
          <w:rFonts w:hint="eastAsia" w:ascii="新宋体" w:hAnsi="新宋体" w:eastAsia="新宋体" w:cs="新宋体"/>
          <w:color w:val="auto"/>
          <w:spacing w:val="17"/>
          <w:sz w:val="24"/>
          <w:szCs w:val="24"/>
          <w:highlight w:val="none"/>
          <w:lang w:eastAsia="zh-CN"/>
        </w:rPr>
        <w:t>承租方</w:t>
      </w:r>
      <w:r>
        <w:rPr>
          <w:rFonts w:hint="eastAsia" w:ascii="新宋体" w:hAnsi="新宋体" w:eastAsia="新宋体" w:cs="新宋体"/>
          <w:color w:val="auto"/>
          <w:spacing w:val="17"/>
          <w:sz w:val="24"/>
          <w:szCs w:val="24"/>
          <w:highlight w:val="none"/>
        </w:rPr>
        <w:t>应当在签订本合同之日起30天内向</w:t>
      </w:r>
      <w:r>
        <w:rPr>
          <w:rFonts w:hint="eastAsia" w:ascii="新宋体" w:hAnsi="新宋体" w:eastAsia="新宋体" w:cs="新宋体"/>
          <w:color w:val="auto"/>
          <w:spacing w:val="17"/>
          <w:sz w:val="24"/>
          <w:szCs w:val="24"/>
          <w:highlight w:val="none"/>
          <w:lang w:eastAsia="zh-CN"/>
        </w:rPr>
        <w:t>招租方</w:t>
      </w:r>
      <w:r>
        <w:rPr>
          <w:rFonts w:hint="eastAsia" w:ascii="新宋体" w:hAnsi="新宋体" w:eastAsia="新宋体" w:cs="新宋体"/>
          <w:color w:val="auto"/>
          <w:spacing w:val="17"/>
          <w:sz w:val="24"/>
          <w:szCs w:val="24"/>
          <w:highlight w:val="none"/>
        </w:rPr>
        <w:t>指</w:t>
      </w:r>
      <w:r>
        <w:rPr>
          <w:rFonts w:hint="eastAsia" w:ascii="新宋体" w:hAnsi="新宋体" w:eastAsia="新宋体" w:cs="新宋体"/>
          <w:color w:val="auto"/>
          <w:spacing w:val="12"/>
          <w:sz w:val="24"/>
          <w:szCs w:val="24"/>
          <w:highlight w:val="none"/>
        </w:rPr>
        <w:t>定的银行账户付首月租金，之后</w:t>
      </w:r>
      <w:r>
        <w:rPr>
          <w:rFonts w:hint="eastAsia" w:ascii="新宋体" w:hAnsi="新宋体" w:eastAsia="新宋体" w:cs="新宋体"/>
          <w:color w:val="auto"/>
          <w:spacing w:val="12"/>
          <w:sz w:val="24"/>
          <w:szCs w:val="24"/>
          <w:highlight w:val="none"/>
          <w:lang w:eastAsia="zh-CN"/>
        </w:rPr>
        <w:t>承租方</w:t>
      </w:r>
      <w:r>
        <w:rPr>
          <w:rFonts w:hint="eastAsia" w:ascii="新宋体" w:hAnsi="新宋体" w:eastAsia="新宋体" w:cs="新宋体"/>
          <w:color w:val="auto"/>
          <w:spacing w:val="12"/>
          <w:sz w:val="24"/>
          <w:szCs w:val="24"/>
          <w:highlight w:val="none"/>
        </w:rPr>
        <w:t>应当在每月10日前向</w:t>
      </w:r>
      <w:r>
        <w:rPr>
          <w:rFonts w:hint="eastAsia" w:ascii="新宋体" w:hAnsi="新宋体" w:eastAsia="新宋体" w:cs="新宋体"/>
          <w:color w:val="auto"/>
          <w:spacing w:val="12"/>
          <w:sz w:val="24"/>
          <w:szCs w:val="24"/>
          <w:highlight w:val="none"/>
          <w:lang w:eastAsia="zh-CN"/>
        </w:rPr>
        <w:t>招租方</w:t>
      </w:r>
      <w:r>
        <w:rPr>
          <w:rFonts w:hint="eastAsia" w:ascii="新宋体" w:hAnsi="新宋体" w:eastAsia="新宋体" w:cs="新宋体"/>
          <w:color w:val="auto"/>
          <w:spacing w:val="12"/>
          <w:sz w:val="24"/>
          <w:szCs w:val="24"/>
          <w:highlight w:val="none"/>
        </w:rPr>
        <w:t>指</w:t>
      </w:r>
      <w:r>
        <w:rPr>
          <w:rFonts w:hint="eastAsia" w:ascii="新宋体" w:hAnsi="新宋体" w:eastAsia="新宋体" w:cs="新宋体"/>
          <w:color w:val="auto"/>
          <w:spacing w:val="7"/>
          <w:sz w:val="24"/>
          <w:szCs w:val="24"/>
          <w:highlight w:val="none"/>
        </w:rPr>
        <w:t>定的银行账户支付当月租金。</w:t>
      </w:r>
    </w:p>
    <w:p w14:paraId="22540FCB">
      <w:pPr>
        <w:pStyle w:val="4"/>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pacing w:val="-13"/>
          <w:sz w:val="24"/>
          <w:szCs w:val="24"/>
          <w:highlight w:val="none"/>
          <w:lang w:val="en-US" w:eastAsia="zh-CN"/>
        </w:rPr>
        <w:t>服务</w:t>
      </w:r>
      <w:r>
        <w:rPr>
          <w:rFonts w:hint="eastAsia" w:ascii="新宋体" w:hAnsi="新宋体" w:eastAsia="新宋体" w:cs="新宋体"/>
          <w:b/>
          <w:bCs/>
          <w:color w:val="auto"/>
          <w:spacing w:val="-13"/>
          <w:sz w:val="24"/>
          <w:szCs w:val="24"/>
          <w:highlight w:val="none"/>
        </w:rPr>
        <w:t>要求</w:t>
      </w:r>
    </w:p>
    <w:p w14:paraId="6960E2FD">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right="0" w:rightChars="0" w:firstLine="508" w:firstLineChars="200"/>
        <w:textAlignment w:val="baseline"/>
        <w:rPr>
          <w:rFonts w:hint="eastAsia" w:ascii="新宋体" w:hAnsi="新宋体" w:eastAsia="新宋体" w:cs="新宋体"/>
          <w:color w:val="auto"/>
          <w:spacing w:val="8"/>
          <w:sz w:val="24"/>
          <w:szCs w:val="24"/>
          <w:highlight w:val="none"/>
        </w:rPr>
      </w:pPr>
      <w:r>
        <w:rPr>
          <w:rFonts w:hint="eastAsia" w:ascii="新宋体" w:hAnsi="新宋体" w:eastAsia="新宋体" w:cs="新宋体"/>
          <w:color w:val="auto"/>
          <w:spacing w:val="7"/>
          <w:sz w:val="24"/>
          <w:szCs w:val="24"/>
          <w:highlight w:val="none"/>
          <w:lang w:eastAsia="zh-CN"/>
        </w:rPr>
        <w:t>承租方</w:t>
      </w:r>
      <w:r>
        <w:rPr>
          <w:rFonts w:hint="eastAsia" w:ascii="新宋体" w:hAnsi="新宋体" w:eastAsia="新宋体" w:cs="新宋体"/>
          <w:color w:val="auto"/>
          <w:spacing w:val="7"/>
          <w:sz w:val="24"/>
          <w:szCs w:val="24"/>
          <w:highlight w:val="none"/>
        </w:rPr>
        <w:t>严格根据《中华人民共和国食品卫生法》、《餐饮业食品卫生管理办法》、《餐饮业和集体用餐配送单位卫生规范》等相关法律法规，及市场监督管理局等相关部门推荐的食品安全管理、餐饮服务场所设施配置等管理要求，加强食品安全卫生管理，规范食</w:t>
      </w:r>
      <w:r>
        <w:rPr>
          <w:rFonts w:hint="eastAsia" w:ascii="新宋体" w:hAnsi="新宋体" w:eastAsia="新宋体" w:cs="新宋体"/>
          <w:color w:val="auto"/>
          <w:spacing w:val="8"/>
          <w:sz w:val="24"/>
          <w:szCs w:val="24"/>
          <w:highlight w:val="none"/>
        </w:rPr>
        <w:t>堂经营行为，保障就餐人员的就餐安全。</w:t>
      </w:r>
    </w:p>
    <w:p w14:paraId="4F49F6AB">
      <w:pPr>
        <w:keepNext w:val="0"/>
        <w:keepLines w:val="0"/>
        <w:pageBreakBefore w:val="0"/>
        <w:widowControl/>
        <w:numPr>
          <w:ilvl w:val="0"/>
          <w:numId w:val="1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职工餐服务</w:t>
      </w:r>
      <w:r>
        <w:rPr>
          <w:rFonts w:hint="eastAsia" w:ascii="新宋体" w:hAnsi="新宋体" w:eastAsia="新宋体" w:cs="新宋体"/>
          <w:color w:val="auto"/>
          <w:spacing w:val="-10"/>
          <w:sz w:val="24"/>
          <w:szCs w:val="24"/>
          <w:highlight w:val="none"/>
          <w:lang w:val="en-US" w:eastAsia="zh-CN"/>
        </w:rPr>
        <w:t>要求</w:t>
      </w:r>
      <w:r>
        <w:rPr>
          <w:rFonts w:hint="eastAsia" w:ascii="新宋体" w:hAnsi="新宋体" w:eastAsia="新宋体" w:cs="新宋体"/>
          <w:color w:val="auto"/>
          <w:spacing w:val="-10"/>
          <w:sz w:val="24"/>
          <w:szCs w:val="24"/>
          <w:highlight w:val="none"/>
        </w:rPr>
        <w:t>：</w:t>
      </w:r>
    </w:p>
    <w:p w14:paraId="4FA3B490">
      <w:pPr>
        <w:keepNext w:val="0"/>
        <w:keepLines w:val="0"/>
        <w:pageBreakBefore w:val="0"/>
        <w:widowControl/>
        <w:numPr>
          <w:ilvl w:val="0"/>
          <w:numId w:val="12"/>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职工餐厅：全年无休，供餐时间：早餐:6:50-9:00，午餐 11:00-13:30，晚餐 17:00-19:00</w:t>
      </w:r>
      <w:r>
        <w:rPr>
          <w:rFonts w:hint="eastAsia" w:ascii="新宋体" w:hAnsi="新宋体" w:eastAsia="新宋体" w:cs="新宋体"/>
          <w:color w:val="auto"/>
          <w:spacing w:val="-10"/>
          <w:sz w:val="24"/>
          <w:szCs w:val="24"/>
          <w:highlight w:val="none"/>
          <w:lang w:eastAsia="zh-CN"/>
        </w:rPr>
        <w:t>，</w:t>
      </w:r>
      <w:r>
        <w:rPr>
          <w:rFonts w:hint="eastAsia" w:ascii="新宋体" w:hAnsi="新宋体" w:eastAsia="新宋体" w:cs="新宋体"/>
          <w:color w:val="auto"/>
          <w:spacing w:val="-10"/>
          <w:sz w:val="24"/>
          <w:szCs w:val="24"/>
          <w:highlight w:val="none"/>
          <w:lang w:val="en-US" w:eastAsia="zh-CN"/>
        </w:rPr>
        <w:t>宵夜 19:00-21:00</w:t>
      </w:r>
      <w:r>
        <w:rPr>
          <w:rFonts w:hint="eastAsia" w:ascii="新宋体" w:hAnsi="新宋体" w:eastAsia="新宋体" w:cs="新宋体"/>
          <w:color w:val="auto"/>
          <w:spacing w:val="-10"/>
          <w:sz w:val="24"/>
          <w:szCs w:val="24"/>
          <w:highlight w:val="none"/>
        </w:rPr>
        <w:t>。</w:t>
      </w:r>
    </w:p>
    <w:p w14:paraId="4D21F4D0">
      <w:pPr>
        <w:keepNext w:val="0"/>
        <w:keepLines w:val="0"/>
        <w:pageBreakBefore w:val="0"/>
        <w:widowControl/>
        <w:numPr>
          <w:ilvl w:val="0"/>
          <w:numId w:val="12"/>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小卖部：除法定传统节日、国庆假期外，其余（含周末）正常营业，时间：7:00-18:00。</w:t>
      </w:r>
    </w:p>
    <w:p w14:paraId="6E962F01">
      <w:pPr>
        <w:keepNext w:val="0"/>
        <w:keepLines w:val="0"/>
        <w:pageBreakBefore w:val="0"/>
        <w:widowControl/>
        <w:numPr>
          <w:ilvl w:val="0"/>
          <w:numId w:val="12"/>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供餐品种：</w:t>
      </w:r>
    </w:p>
    <w:p w14:paraId="0CBED0B8">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 xml:space="preserve">工作日：早餐不少于 20 个品种，午餐不少于 </w:t>
      </w:r>
      <w:r>
        <w:rPr>
          <w:rFonts w:hint="eastAsia" w:ascii="新宋体" w:hAnsi="新宋体" w:eastAsia="新宋体" w:cs="新宋体"/>
          <w:color w:val="auto"/>
          <w:spacing w:val="-10"/>
          <w:sz w:val="24"/>
          <w:szCs w:val="24"/>
          <w:highlight w:val="none"/>
          <w:lang w:val="en-US" w:eastAsia="zh-CN"/>
        </w:rPr>
        <w:t>25</w:t>
      </w:r>
      <w:r>
        <w:rPr>
          <w:rFonts w:hint="eastAsia" w:ascii="新宋体" w:hAnsi="新宋体" w:eastAsia="新宋体" w:cs="新宋体"/>
          <w:color w:val="auto"/>
          <w:spacing w:val="-10"/>
          <w:sz w:val="24"/>
          <w:szCs w:val="24"/>
          <w:highlight w:val="none"/>
        </w:rPr>
        <w:t xml:space="preserve">个品种，晚餐不少于 </w:t>
      </w:r>
      <w:r>
        <w:rPr>
          <w:rFonts w:hint="eastAsia" w:ascii="新宋体" w:hAnsi="新宋体" w:eastAsia="新宋体" w:cs="新宋体"/>
          <w:color w:val="auto"/>
          <w:spacing w:val="-10"/>
          <w:sz w:val="24"/>
          <w:szCs w:val="24"/>
          <w:highlight w:val="none"/>
          <w:lang w:val="en-US" w:eastAsia="zh-CN"/>
        </w:rPr>
        <w:t>15</w:t>
      </w:r>
      <w:r>
        <w:rPr>
          <w:rFonts w:hint="eastAsia" w:ascii="新宋体" w:hAnsi="新宋体" w:eastAsia="新宋体" w:cs="新宋体"/>
          <w:color w:val="auto"/>
          <w:spacing w:val="-10"/>
          <w:sz w:val="24"/>
          <w:szCs w:val="24"/>
          <w:highlight w:val="none"/>
        </w:rPr>
        <w:t xml:space="preserve"> 个品种。</w:t>
      </w:r>
    </w:p>
    <w:p w14:paraId="4CE83C67">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节假日：早餐不少于 12 个品种，午餐不少于 1</w:t>
      </w:r>
      <w:r>
        <w:rPr>
          <w:rFonts w:hint="eastAsia" w:ascii="新宋体" w:hAnsi="新宋体" w:eastAsia="新宋体" w:cs="新宋体"/>
          <w:color w:val="auto"/>
          <w:spacing w:val="-10"/>
          <w:sz w:val="24"/>
          <w:szCs w:val="24"/>
          <w:highlight w:val="none"/>
          <w:lang w:val="en-US" w:eastAsia="zh-CN"/>
        </w:rPr>
        <w:t>5</w:t>
      </w:r>
      <w:r>
        <w:rPr>
          <w:rFonts w:hint="eastAsia" w:ascii="新宋体" w:hAnsi="新宋体" w:eastAsia="新宋体" w:cs="新宋体"/>
          <w:color w:val="auto"/>
          <w:spacing w:val="-10"/>
          <w:sz w:val="24"/>
          <w:szCs w:val="24"/>
          <w:highlight w:val="none"/>
        </w:rPr>
        <w:t xml:space="preserve"> 个品种，晚餐不少于</w:t>
      </w:r>
      <w:r>
        <w:rPr>
          <w:rFonts w:hint="eastAsia" w:ascii="新宋体" w:hAnsi="新宋体" w:eastAsia="新宋体" w:cs="新宋体"/>
          <w:color w:val="auto"/>
          <w:spacing w:val="-10"/>
          <w:sz w:val="24"/>
          <w:szCs w:val="24"/>
          <w:highlight w:val="none"/>
          <w:lang w:val="en-US" w:eastAsia="zh-CN"/>
        </w:rPr>
        <w:t>10</w:t>
      </w:r>
      <w:r>
        <w:rPr>
          <w:rFonts w:hint="eastAsia" w:ascii="新宋体" w:hAnsi="新宋体" w:eastAsia="新宋体" w:cs="新宋体"/>
          <w:color w:val="auto"/>
          <w:spacing w:val="-10"/>
          <w:sz w:val="24"/>
          <w:szCs w:val="24"/>
          <w:highlight w:val="none"/>
        </w:rPr>
        <w:t>个品种。</w:t>
      </w:r>
    </w:p>
    <w:p w14:paraId="02C2FFF4">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（如</w:t>
      </w:r>
      <w:r>
        <w:rPr>
          <w:rFonts w:hint="eastAsia" w:ascii="新宋体" w:hAnsi="新宋体" w:eastAsia="新宋体" w:cs="新宋体"/>
          <w:color w:val="auto"/>
          <w:spacing w:val="-10"/>
          <w:sz w:val="24"/>
          <w:szCs w:val="24"/>
          <w:highlight w:val="none"/>
          <w:lang w:val="en-US" w:eastAsia="zh-CN"/>
        </w:rPr>
        <w:t>招租方</w:t>
      </w:r>
      <w:r>
        <w:rPr>
          <w:rFonts w:hint="eastAsia" w:ascii="新宋体" w:hAnsi="新宋体" w:eastAsia="新宋体" w:cs="新宋体"/>
          <w:color w:val="auto"/>
          <w:spacing w:val="-10"/>
          <w:sz w:val="24"/>
          <w:szCs w:val="24"/>
          <w:highlight w:val="none"/>
        </w:rPr>
        <w:t>有其他要求，按实际情况执行）。</w:t>
      </w:r>
    </w:p>
    <w:p w14:paraId="66BA856E">
      <w:pPr>
        <w:keepNext w:val="0"/>
        <w:keepLines w:val="0"/>
        <w:pageBreakBefore w:val="0"/>
        <w:widowControl/>
        <w:numPr>
          <w:ilvl w:val="0"/>
          <w:numId w:val="12"/>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菜式参考价格：</w:t>
      </w:r>
      <w:r>
        <w:rPr>
          <w:rFonts w:hint="eastAsia" w:ascii="新宋体" w:hAnsi="新宋体" w:eastAsia="新宋体" w:cs="新宋体"/>
          <w:color w:val="auto"/>
          <w:spacing w:val="-10"/>
          <w:sz w:val="24"/>
          <w:szCs w:val="24"/>
          <w:highlight w:val="none"/>
        </w:rPr>
        <w:t>每餐保留</w:t>
      </w:r>
      <w:r>
        <w:rPr>
          <w:rFonts w:hint="eastAsia" w:ascii="新宋体" w:hAnsi="新宋体" w:eastAsia="新宋体" w:cs="新宋体"/>
          <w:color w:val="auto"/>
          <w:spacing w:val="-10"/>
          <w:sz w:val="24"/>
          <w:szCs w:val="24"/>
          <w:highlight w:val="none"/>
          <w:lang w:val="en-US" w:eastAsia="zh-CN"/>
        </w:rPr>
        <w:t>2</w:t>
      </w:r>
      <w:r>
        <w:rPr>
          <w:rFonts w:hint="eastAsia" w:ascii="新宋体" w:hAnsi="新宋体" w:eastAsia="新宋体" w:cs="新宋体"/>
          <w:color w:val="auto"/>
          <w:spacing w:val="-10"/>
          <w:sz w:val="24"/>
          <w:szCs w:val="24"/>
          <w:highlight w:val="none"/>
        </w:rPr>
        <w:t>个</w:t>
      </w:r>
      <w:r>
        <w:rPr>
          <w:rFonts w:hint="eastAsia" w:ascii="新宋体" w:hAnsi="新宋体" w:eastAsia="新宋体" w:cs="新宋体"/>
          <w:color w:val="auto"/>
          <w:spacing w:val="-10"/>
          <w:sz w:val="24"/>
          <w:szCs w:val="24"/>
          <w:highlight w:val="none"/>
          <w:lang w:val="en-US" w:eastAsia="zh-CN"/>
        </w:rPr>
        <w:t>8</w:t>
      </w:r>
      <w:r>
        <w:rPr>
          <w:rFonts w:hint="eastAsia" w:ascii="新宋体" w:hAnsi="新宋体" w:eastAsia="新宋体" w:cs="新宋体"/>
          <w:color w:val="auto"/>
          <w:spacing w:val="-10"/>
          <w:sz w:val="24"/>
          <w:szCs w:val="24"/>
          <w:highlight w:val="none"/>
        </w:rPr>
        <w:t>元的套餐(含 一肉</w:t>
      </w:r>
      <w:r>
        <w:rPr>
          <w:rFonts w:hint="eastAsia" w:ascii="新宋体" w:hAnsi="新宋体" w:eastAsia="新宋体" w:cs="新宋体"/>
          <w:color w:val="auto"/>
          <w:spacing w:val="-10"/>
          <w:sz w:val="24"/>
          <w:szCs w:val="24"/>
          <w:highlight w:val="none"/>
          <w:lang w:val="en-US" w:eastAsia="zh-CN"/>
        </w:rPr>
        <w:t>两</w:t>
      </w:r>
      <w:r>
        <w:rPr>
          <w:rFonts w:hint="eastAsia" w:ascii="新宋体" w:hAnsi="新宋体" w:eastAsia="新宋体" w:cs="新宋体"/>
          <w:color w:val="auto"/>
          <w:spacing w:val="-10"/>
          <w:sz w:val="24"/>
          <w:szCs w:val="24"/>
          <w:highlight w:val="none"/>
        </w:rPr>
        <w:t>菜一饭),</w:t>
      </w:r>
      <w:r>
        <w:rPr>
          <w:rFonts w:hint="eastAsia" w:ascii="新宋体" w:hAnsi="新宋体" w:eastAsia="新宋体" w:cs="新宋体"/>
          <w:color w:val="auto"/>
          <w:spacing w:val="-10"/>
          <w:sz w:val="24"/>
          <w:szCs w:val="24"/>
          <w:highlight w:val="none"/>
        </w:rPr>
        <w:t>其他菜品价格不能高于医院周边同类出品的价格； 病人餐价格由承包方自主定价，但不能高于医院周边同类出品的价格</w:t>
      </w:r>
      <w:r>
        <w:rPr>
          <w:rFonts w:hint="eastAsia" w:ascii="新宋体" w:hAnsi="新宋体" w:eastAsia="新宋体" w:cs="新宋体"/>
          <w:color w:val="auto"/>
          <w:spacing w:val="-10"/>
          <w:sz w:val="24"/>
          <w:szCs w:val="24"/>
          <w:highlight w:val="none"/>
          <w:lang w:val="en-US" w:eastAsia="zh-CN"/>
        </w:rPr>
        <w:t>。</w:t>
      </w:r>
      <w:r>
        <w:rPr>
          <w:rFonts w:hint="eastAsia" w:ascii="新宋体" w:hAnsi="新宋体" w:eastAsia="新宋体" w:cs="新宋体"/>
          <w:color w:val="auto"/>
          <w:spacing w:val="-10"/>
          <w:sz w:val="24"/>
          <w:szCs w:val="24"/>
          <w:highlight w:val="none"/>
        </w:rPr>
        <w:t>开设特色窗口</w:t>
      </w:r>
      <w:r>
        <w:rPr>
          <w:rFonts w:hint="eastAsia" w:ascii="新宋体" w:hAnsi="新宋体" w:eastAsia="新宋体" w:cs="新宋体"/>
          <w:color w:val="auto"/>
          <w:spacing w:val="-10"/>
          <w:sz w:val="24"/>
          <w:szCs w:val="24"/>
          <w:highlight w:val="none"/>
          <w:lang w:val="en-US" w:eastAsia="zh-CN"/>
        </w:rPr>
        <w:t>，提供</w:t>
      </w:r>
      <w:r>
        <w:rPr>
          <w:rFonts w:hint="eastAsia" w:ascii="新宋体" w:hAnsi="新宋体" w:eastAsia="新宋体" w:cs="新宋体"/>
          <w:color w:val="auto"/>
          <w:spacing w:val="-10"/>
          <w:sz w:val="24"/>
          <w:szCs w:val="24"/>
          <w:highlight w:val="none"/>
        </w:rPr>
        <w:t>各式风味套餐、小炒美食、笼仔饭、米粉/面、炒粉/ 面、甜品等，不同风味的餐饮服务。</w:t>
      </w:r>
    </w:p>
    <w:p w14:paraId="7710232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right="0" w:right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 xml:space="preserve">各类菜式参考价格：(以现菜品面档为参考) </w:t>
      </w:r>
    </w:p>
    <w:p w14:paraId="7B9E1705">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lang w:eastAsia="zh-CN"/>
        </w:rPr>
      </w:pPr>
      <w:r>
        <w:rPr>
          <w:rFonts w:hint="eastAsia" w:ascii="新宋体" w:hAnsi="新宋体" w:eastAsia="新宋体" w:cs="新宋体"/>
          <w:color w:val="auto"/>
          <w:spacing w:val="-10"/>
          <w:sz w:val="24"/>
          <w:szCs w:val="24"/>
          <w:highlight w:val="none"/>
        </w:rPr>
        <w:t>套餐类售价不高于(2</w:t>
      </w:r>
      <w:r>
        <w:rPr>
          <w:rFonts w:hint="eastAsia" w:ascii="新宋体" w:hAnsi="新宋体" w:eastAsia="新宋体" w:cs="新宋体"/>
          <w:color w:val="auto"/>
          <w:spacing w:val="-10"/>
          <w:sz w:val="24"/>
          <w:szCs w:val="24"/>
          <w:highlight w:val="none"/>
          <w:lang w:val="en-US" w:eastAsia="zh-CN"/>
        </w:rPr>
        <w:t>5</w:t>
      </w:r>
      <w:r>
        <w:rPr>
          <w:rFonts w:hint="eastAsia" w:ascii="新宋体" w:hAnsi="新宋体" w:eastAsia="新宋体" w:cs="新宋体"/>
          <w:color w:val="auto"/>
          <w:spacing w:val="-10"/>
          <w:sz w:val="24"/>
          <w:szCs w:val="24"/>
          <w:highlight w:val="none"/>
        </w:rPr>
        <w:t>元/份)</w:t>
      </w:r>
      <w:r>
        <w:rPr>
          <w:rFonts w:hint="eastAsia" w:ascii="新宋体" w:hAnsi="新宋体" w:eastAsia="新宋体" w:cs="新宋体"/>
          <w:color w:val="auto"/>
          <w:spacing w:val="-10"/>
          <w:sz w:val="24"/>
          <w:szCs w:val="24"/>
          <w:highlight w:val="none"/>
          <w:lang w:eastAsia="zh-CN"/>
        </w:rPr>
        <w:t>，</w:t>
      </w:r>
      <w:r>
        <w:rPr>
          <w:rFonts w:hint="eastAsia" w:ascii="新宋体" w:hAnsi="新宋体" w:eastAsia="新宋体" w:cs="新宋体"/>
          <w:color w:val="auto"/>
          <w:spacing w:val="-10"/>
          <w:sz w:val="24"/>
          <w:szCs w:val="24"/>
          <w:highlight w:val="none"/>
        </w:rPr>
        <w:t>不低于300g</w:t>
      </w:r>
      <w:r>
        <w:rPr>
          <w:rFonts w:hint="eastAsia" w:ascii="新宋体" w:hAnsi="新宋体" w:eastAsia="新宋体" w:cs="新宋体"/>
          <w:color w:val="auto"/>
          <w:spacing w:val="-10"/>
          <w:sz w:val="24"/>
          <w:szCs w:val="24"/>
          <w:highlight w:val="none"/>
          <w:lang w:eastAsia="zh-CN"/>
        </w:rPr>
        <w:t>；</w:t>
      </w:r>
    </w:p>
    <w:p w14:paraId="426891AB">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lang w:eastAsia="zh-CN"/>
        </w:rPr>
      </w:pPr>
      <w:r>
        <w:rPr>
          <w:rFonts w:hint="eastAsia" w:ascii="新宋体" w:hAnsi="新宋体" w:eastAsia="新宋体" w:cs="新宋体"/>
          <w:color w:val="auto"/>
          <w:spacing w:val="-10"/>
          <w:sz w:val="24"/>
          <w:szCs w:val="24"/>
          <w:highlight w:val="none"/>
        </w:rPr>
        <w:t>风味小炒美食(</w:t>
      </w:r>
      <w:r>
        <w:rPr>
          <w:rFonts w:hint="eastAsia" w:ascii="新宋体" w:hAnsi="新宋体" w:eastAsia="新宋体" w:cs="新宋体"/>
          <w:color w:val="auto"/>
          <w:spacing w:val="-10"/>
          <w:sz w:val="24"/>
          <w:szCs w:val="24"/>
          <w:highlight w:val="none"/>
          <w:lang w:val="en-US" w:eastAsia="zh-CN"/>
        </w:rPr>
        <w:t>18</w:t>
      </w:r>
      <w:r>
        <w:rPr>
          <w:rFonts w:hint="eastAsia" w:ascii="新宋体" w:hAnsi="新宋体" w:eastAsia="新宋体" w:cs="新宋体"/>
          <w:color w:val="auto"/>
          <w:spacing w:val="-10"/>
          <w:sz w:val="24"/>
          <w:szCs w:val="24"/>
          <w:highlight w:val="none"/>
        </w:rPr>
        <w:t>-2</w:t>
      </w:r>
      <w:r>
        <w:rPr>
          <w:rFonts w:hint="eastAsia" w:ascii="新宋体" w:hAnsi="新宋体" w:eastAsia="新宋体" w:cs="新宋体"/>
          <w:color w:val="auto"/>
          <w:spacing w:val="-10"/>
          <w:sz w:val="24"/>
          <w:szCs w:val="24"/>
          <w:highlight w:val="none"/>
          <w:lang w:val="en-US" w:eastAsia="zh-CN"/>
        </w:rPr>
        <w:t>8</w:t>
      </w:r>
      <w:r>
        <w:rPr>
          <w:rFonts w:hint="eastAsia" w:ascii="新宋体" w:hAnsi="新宋体" w:eastAsia="新宋体" w:cs="新宋体"/>
          <w:color w:val="auto"/>
          <w:spacing w:val="-10"/>
          <w:sz w:val="24"/>
          <w:szCs w:val="24"/>
          <w:highlight w:val="none"/>
        </w:rPr>
        <w:t>元/份)</w:t>
      </w:r>
      <w:r>
        <w:rPr>
          <w:rFonts w:hint="eastAsia" w:ascii="新宋体" w:hAnsi="新宋体" w:eastAsia="新宋体" w:cs="新宋体"/>
          <w:color w:val="auto"/>
          <w:spacing w:val="-10"/>
          <w:sz w:val="24"/>
          <w:szCs w:val="24"/>
          <w:highlight w:val="none"/>
          <w:lang w:eastAsia="zh-CN"/>
        </w:rPr>
        <w:t>，</w:t>
      </w:r>
      <w:r>
        <w:rPr>
          <w:rFonts w:hint="eastAsia" w:ascii="新宋体" w:hAnsi="新宋体" w:eastAsia="新宋体" w:cs="新宋体"/>
          <w:color w:val="auto"/>
          <w:spacing w:val="-10"/>
          <w:sz w:val="24"/>
          <w:szCs w:val="24"/>
          <w:highlight w:val="none"/>
        </w:rPr>
        <w:t>不低于300g</w:t>
      </w:r>
      <w:r>
        <w:rPr>
          <w:rFonts w:hint="eastAsia" w:ascii="新宋体" w:hAnsi="新宋体" w:eastAsia="新宋体" w:cs="新宋体"/>
          <w:color w:val="auto"/>
          <w:spacing w:val="-10"/>
          <w:sz w:val="24"/>
          <w:szCs w:val="24"/>
          <w:highlight w:val="none"/>
          <w:lang w:eastAsia="zh-CN"/>
        </w:rPr>
        <w:t>；</w:t>
      </w:r>
    </w:p>
    <w:p w14:paraId="6E8BA76A">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lang w:eastAsia="zh-CN"/>
        </w:rPr>
      </w:pPr>
      <w:r>
        <w:rPr>
          <w:rFonts w:hint="eastAsia" w:ascii="新宋体" w:hAnsi="新宋体" w:eastAsia="新宋体" w:cs="新宋体"/>
          <w:color w:val="auto"/>
          <w:spacing w:val="-10"/>
          <w:sz w:val="24"/>
          <w:szCs w:val="24"/>
          <w:highlight w:val="none"/>
        </w:rPr>
        <w:t>粥售价(</w:t>
      </w:r>
      <w:r>
        <w:rPr>
          <w:rFonts w:hint="eastAsia" w:ascii="新宋体" w:hAnsi="新宋体" w:eastAsia="新宋体" w:cs="新宋体"/>
          <w:color w:val="auto"/>
          <w:spacing w:val="-10"/>
          <w:sz w:val="24"/>
          <w:szCs w:val="24"/>
          <w:highlight w:val="none"/>
          <w:lang w:val="en-US" w:eastAsia="zh-CN"/>
        </w:rPr>
        <w:t>4</w:t>
      </w:r>
      <w:r>
        <w:rPr>
          <w:rFonts w:hint="eastAsia" w:ascii="新宋体" w:hAnsi="新宋体" w:eastAsia="新宋体" w:cs="新宋体"/>
          <w:color w:val="auto"/>
          <w:spacing w:val="-10"/>
          <w:sz w:val="24"/>
          <w:szCs w:val="24"/>
          <w:highlight w:val="none"/>
        </w:rPr>
        <w:t>-20元/份)</w:t>
      </w:r>
      <w:r>
        <w:rPr>
          <w:rFonts w:hint="eastAsia" w:ascii="新宋体" w:hAnsi="新宋体" w:eastAsia="新宋体" w:cs="新宋体"/>
          <w:color w:val="auto"/>
          <w:spacing w:val="-10"/>
          <w:sz w:val="24"/>
          <w:szCs w:val="24"/>
          <w:highlight w:val="none"/>
          <w:lang w:eastAsia="zh-CN"/>
        </w:rPr>
        <w:t>，</w:t>
      </w:r>
      <w:r>
        <w:rPr>
          <w:rFonts w:hint="eastAsia" w:ascii="新宋体" w:hAnsi="新宋体" w:eastAsia="新宋体" w:cs="新宋体"/>
          <w:color w:val="auto"/>
          <w:spacing w:val="-10"/>
          <w:sz w:val="24"/>
          <w:szCs w:val="24"/>
          <w:highlight w:val="none"/>
        </w:rPr>
        <w:t>不低于500g、固形物不低于80%</w:t>
      </w:r>
      <w:r>
        <w:rPr>
          <w:rFonts w:hint="eastAsia" w:ascii="新宋体" w:hAnsi="新宋体" w:eastAsia="新宋体" w:cs="新宋体"/>
          <w:color w:val="auto"/>
          <w:spacing w:val="-10"/>
          <w:sz w:val="24"/>
          <w:szCs w:val="24"/>
          <w:highlight w:val="none"/>
          <w:lang w:eastAsia="zh-CN"/>
        </w:rPr>
        <w:t>；</w:t>
      </w:r>
    </w:p>
    <w:p w14:paraId="74E96A68">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lang w:eastAsia="zh-CN"/>
        </w:rPr>
      </w:pPr>
      <w:r>
        <w:rPr>
          <w:rFonts w:hint="eastAsia" w:ascii="新宋体" w:hAnsi="新宋体" w:eastAsia="新宋体" w:cs="新宋体"/>
          <w:color w:val="auto"/>
          <w:spacing w:val="-10"/>
          <w:sz w:val="24"/>
          <w:szCs w:val="24"/>
          <w:highlight w:val="none"/>
        </w:rPr>
        <w:t>粉、面类售价(</w:t>
      </w:r>
      <w:r>
        <w:rPr>
          <w:rFonts w:hint="eastAsia" w:ascii="新宋体" w:hAnsi="新宋体" w:eastAsia="新宋体" w:cs="新宋体"/>
          <w:color w:val="auto"/>
          <w:spacing w:val="-10"/>
          <w:sz w:val="24"/>
          <w:szCs w:val="24"/>
          <w:highlight w:val="none"/>
          <w:lang w:val="en-US" w:eastAsia="zh-CN"/>
        </w:rPr>
        <w:t>6</w:t>
      </w:r>
      <w:r>
        <w:rPr>
          <w:rFonts w:hint="eastAsia" w:ascii="新宋体" w:hAnsi="新宋体" w:eastAsia="新宋体" w:cs="新宋体"/>
          <w:color w:val="auto"/>
          <w:spacing w:val="-10"/>
          <w:sz w:val="24"/>
          <w:szCs w:val="24"/>
          <w:highlight w:val="none"/>
        </w:rPr>
        <w:t>-</w:t>
      </w:r>
      <w:r>
        <w:rPr>
          <w:rFonts w:hint="eastAsia" w:ascii="新宋体" w:hAnsi="新宋体" w:eastAsia="新宋体" w:cs="新宋体"/>
          <w:color w:val="auto"/>
          <w:spacing w:val="-10"/>
          <w:sz w:val="24"/>
          <w:szCs w:val="24"/>
          <w:highlight w:val="none"/>
          <w:lang w:val="en-US" w:eastAsia="zh-CN"/>
        </w:rPr>
        <w:t>20</w:t>
      </w:r>
      <w:r>
        <w:rPr>
          <w:rFonts w:hint="eastAsia" w:ascii="新宋体" w:hAnsi="新宋体" w:eastAsia="新宋体" w:cs="新宋体"/>
          <w:color w:val="auto"/>
          <w:spacing w:val="-10"/>
          <w:sz w:val="24"/>
          <w:szCs w:val="24"/>
          <w:highlight w:val="none"/>
        </w:rPr>
        <w:t>元/份)</w:t>
      </w:r>
      <w:r>
        <w:rPr>
          <w:rFonts w:hint="eastAsia" w:ascii="新宋体" w:hAnsi="新宋体" w:eastAsia="新宋体" w:cs="新宋体"/>
          <w:color w:val="auto"/>
          <w:spacing w:val="-10"/>
          <w:sz w:val="24"/>
          <w:szCs w:val="24"/>
          <w:highlight w:val="none"/>
          <w:lang w:eastAsia="zh-CN"/>
        </w:rPr>
        <w:t>，</w:t>
      </w:r>
      <w:r>
        <w:rPr>
          <w:rFonts w:hint="eastAsia" w:ascii="新宋体" w:hAnsi="新宋体" w:eastAsia="新宋体" w:cs="新宋体"/>
          <w:color w:val="auto"/>
          <w:spacing w:val="-10"/>
          <w:sz w:val="24"/>
          <w:szCs w:val="24"/>
          <w:highlight w:val="none"/>
        </w:rPr>
        <w:t>粉、面不低于250g/份</w:t>
      </w:r>
      <w:r>
        <w:rPr>
          <w:rFonts w:hint="eastAsia" w:ascii="新宋体" w:hAnsi="新宋体" w:eastAsia="新宋体" w:cs="新宋体"/>
          <w:color w:val="auto"/>
          <w:spacing w:val="-10"/>
          <w:sz w:val="24"/>
          <w:szCs w:val="24"/>
          <w:highlight w:val="none"/>
          <w:lang w:eastAsia="zh-CN"/>
        </w:rPr>
        <w:t>；</w:t>
      </w:r>
    </w:p>
    <w:p w14:paraId="7AAF429D">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lang w:eastAsia="zh-CN"/>
        </w:rPr>
      </w:pPr>
      <w:r>
        <w:rPr>
          <w:rFonts w:hint="eastAsia" w:ascii="新宋体" w:hAnsi="新宋体" w:eastAsia="新宋体" w:cs="新宋体"/>
          <w:color w:val="auto"/>
          <w:spacing w:val="-10"/>
          <w:sz w:val="24"/>
          <w:szCs w:val="24"/>
          <w:highlight w:val="none"/>
        </w:rPr>
        <w:t>浇头不少于50克</w:t>
      </w:r>
      <w:r>
        <w:rPr>
          <w:rFonts w:hint="eastAsia" w:ascii="新宋体" w:hAnsi="新宋体" w:eastAsia="新宋体" w:cs="新宋体"/>
          <w:color w:val="auto"/>
          <w:spacing w:val="-10"/>
          <w:sz w:val="24"/>
          <w:szCs w:val="24"/>
          <w:highlight w:val="none"/>
          <w:lang w:eastAsia="zh-CN"/>
        </w:rPr>
        <w:t>；</w:t>
      </w:r>
    </w:p>
    <w:p w14:paraId="1B79CAAD">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lang w:eastAsia="zh-CN"/>
        </w:rPr>
      </w:pPr>
      <w:r>
        <w:rPr>
          <w:rFonts w:hint="eastAsia" w:ascii="新宋体" w:hAnsi="新宋体" w:eastAsia="新宋体" w:cs="新宋体"/>
          <w:color w:val="auto"/>
          <w:spacing w:val="-10"/>
          <w:sz w:val="24"/>
          <w:szCs w:val="24"/>
          <w:highlight w:val="none"/>
        </w:rPr>
        <w:t>炖汤类售价不高于(12元/份)</w:t>
      </w:r>
      <w:r>
        <w:rPr>
          <w:rFonts w:hint="eastAsia" w:ascii="新宋体" w:hAnsi="新宋体" w:eastAsia="新宋体" w:cs="新宋体"/>
          <w:color w:val="auto"/>
          <w:spacing w:val="-10"/>
          <w:sz w:val="24"/>
          <w:szCs w:val="24"/>
          <w:highlight w:val="none"/>
          <w:lang w:eastAsia="zh-CN"/>
        </w:rPr>
        <w:t>，</w:t>
      </w:r>
      <w:r>
        <w:rPr>
          <w:rFonts w:hint="eastAsia" w:ascii="新宋体" w:hAnsi="新宋体" w:eastAsia="新宋体" w:cs="新宋体"/>
          <w:color w:val="auto"/>
          <w:spacing w:val="-10"/>
          <w:sz w:val="24"/>
          <w:szCs w:val="24"/>
          <w:highlight w:val="none"/>
        </w:rPr>
        <w:t>不低于500g,固形物不低于20%</w:t>
      </w:r>
      <w:r>
        <w:rPr>
          <w:rFonts w:hint="eastAsia" w:ascii="新宋体" w:hAnsi="新宋体" w:eastAsia="新宋体" w:cs="新宋体"/>
          <w:color w:val="auto"/>
          <w:spacing w:val="-10"/>
          <w:sz w:val="24"/>
          <w:szCs w:val="24"/>
          <w:highlight w:val="none"/>
          <w:lang w:eastAsia="zh-CN"/>
        </w:rPr>
        <w:t>；</w:t>
      </w:r>
    </w:p>
    <w:p w14:paraId="53707F8C">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甜品类售价不高于(10元/份</w:t>
      </w:r>
      <w:r>
        <w:rPr>
          <w:rFonts w:hint="eastAsia" w:ascii="新宋体" w:hAnsi="新宋体" w:eastAsia="新宋体" w:cs="新宋体"/>
          <w:color w:val="auto"/>
          <w:spacing w:val="-10"/>
          <w:sz w:val="24"/>
          <w:szCs w:val="24"/>
          <w:highlight w:val="none"/>
          <w:lang w:eastAsia="zh-CN"/>
        </w:rPr>
        <w:t>，</w:t>
      </w:r>
      <w:r>
        <w:rPr>
          <w:rFonts w:hint="eastAsia" w:ascii="新宋体" w:hAnsi="新宋体" w:eastAsia="新宋体" w:cs="新宋体"/>
          <w:color w:val="auto"/>
          <w:spacing w:val="-10"/>
          <w:sz w:val="24"/>
          <w:szCs w:val="24"/>
          <w:highlight w:val="none"/>
        </w:rPr>
        <w:t>不低于100g/份</w:t>
      </w:r>
    </w:p>
    <w:p w14:paraId="2A2853FC">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lang w:eastAsia="zh-CN"/>
        </w:rPr>
      </w:pPr>
      <w:r>
        <w:rPr>
          <w:rFonts w:hint="eastAsia" w:ascii="新宋体" w:hAnsi="新宋体" w:eastAsia="新宋体" w:cs="新宋体"/>
          <w:color w:val="auto"/>
          <w:spacing w:val="-10"/>
          <w:sz w:val="24"/>
          <w:szCs w:val="24"/>
          <w:highlight w:val="none"/>
        </w:rPr>
        <w:t>东北大饼类售价不高于(5元/份)</w:t>
      </w:r>
      <w:r>
        <w:rPr>
          <w:rFonts w:hint="eastAsia" w:ascii="新宋体" w:hAnsi="新宋体" w:eastAsia="新宋体" w:cs="新宋体"/>
          <w:color w:val="auto"/>
          <w:spacing w:val="-10"/>
          <w:sz w:val="24"/>
          <w:szCs w:val="24"/>
          <w:highlight w:val="none"/>
          <w:lang w:eastAsia="zh-CN"/>
        </w:rPr>
        <w:t>，</w:t>
      </w:r>
      <w:r>
        <w:rPr>
          <w:rFonts w:hint="eastAsia" w:ascii="新宋体" w:hAnsi="新宋体" w:eastAsia="新宋体" w:cs="新宋体"/>
          <w:color w:val="auto"/>
          <w:spacing w:val="-10"/>
          <w:sz w:val="24"/>
          <w:szCs w:val="24"/>
          <w:highlight w:val="none"/>
        </w:rPr>
        <w:t>不低于100g/份</w:t>
      </w:r>
      <w:r>
        <w:rPr>
          <w:rFonts w:hint="eastAsia" w:ascii="新宋体" w:hAnsi="新宋体" w:eastAsia="新宋体" w:cs="新宋体"/>
          <w:color w:val="auto"/>
          <w:spacing w:val="-10"/>
          <w:sz w:val="24"/>
          <w:szCs w:val="24"/>
          <w:highlight w:val="none"/>
          <w:lang w:eastAsia="zh-CN"/>
        </w:rPr>
        <w:t>；</w:t>
      </w:r>
    </w:p>
    <w:p w14:paraId="42A87986">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lang w:eastAsia="zh-CN"/>
        </w:rPr>
      </w:pPr>
      <w:r>
        <w:rPr>
          <w:rFonts w:hint="eastAsia" w:ascii="新宋体" w:hAnsi="新宋体" w:eastAsia="新宋体" w:cs="新宋体"/>
          <w:color w:val="auto"/>
          <w:spacing w:val="-10"/>
          <w:sz w:val="24"/>
          <w:szCs w:val="24"/>
          <w:highlight w:val="none"/>
        </w:rPr>
        <w:t>油炸类食品售价不高于(3元/份)</w:t>
      </w:r>
      <w:r>
        <w:rPr>
          <w:rFonts w:hint="eastAsia" w:ascii="新宋体" w:hAnsi="新宋体" w:eastAsia="新宋体" w:cs="新宋体"/>
          <w:color w:val="auto"/>
          <w:spacing w:val="-10"/>
          <w:sz w:val="24"/>
          <w:szCs w:val="24"/>
          <w:highlight w:val="none"/>
          <w:lang w:eastAsia="zh-CN"/>
        </w:rPr>
        <w:t>，</w:t>
      </w:r>
      <w:r>
        <w:rPr>
          <w:rFonts w:hint="eastAsia" w:ascii="新宋体" w:hAnsi="新宋体" w:eastAsia="新宋体" w:cs="新宋体"/>
          <w:color w:val="auto"/>
          <w:spacing w:val="-10"/>
          <w:sz w:val="24"/>
          <w:szCs w:val="24"/>
          <w:highlight w:val="none"/>
        </w:rPr>
        <w:t>不低于100g/份</w:t>
      </w:r>
      <w:r>
        <w:rPr>
          <w:rFonts w:hint="eastAsia" w:ascii="新宋体" w:hAnsi="新宋体" w:eastAsia="新宋体" w:cs="新宋体"/>
          <w:color w:val="auto"/>
          <w:spacing w:val="-10"/>
          <w:sz w:val="24"/>
          <w:szCs w:val="24"/>
          <w:highlight w:val="none"/>
          <w:lang w:eastAsia="zh-CN"/>
        </w:rPr>
        <w:t>；</w:t>
      </w:r>
    </w:p>
    <w:p w14:paraId="5E8DAF15">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lang w:eastAsia="zh-CN"/>
        </w:rPr>
      </w:pPr>
      <w:r>
        <w:rPr>
          <w:rFonts w:hint="eastAsia" w:ascii="新宋体" w:hAnsi="新宋体" w:eastAsia="新宋体" w:cs="新宋体"/>
          <w:color w:val="auto"/>
          <w:spacing w:val="-10"/>
          <w:sz w:val="24"/>
          <w:szCs w:val="24"/>
          <w:highlight w:val="none"/>
        </w:rPr>
        <w:t>糕点类售价不高于(3-8元/份)</w:t>
      </w:r>
      <w:r>
        <w:rPr>
          <w:rFonts w:hint="eastAsia" w:ascii="新宋体" w:hAnsi="新宋体" w:eastAsia="新宋体" w:cs="新宋体"/>
          <w:color w:val="auto"/>
          <w:spacing w:val="-10"/>
          <w:sz w:val="24"/>
          <w:szCs w:val="24"/>
          <w:highlight w:val="none"/>
          <w:lang w:eastAsia="zh-CN"/>
        </w:rPr>
        <w:t>，</w:t>
      </w:r>
      <w:r>
        <w:rPr>
          <w:rFonts w:hint="eastAsia" w:ascii="新宋体" w:hAnsi="新宋体" w:eastAsia="新宋体" w:cs="新宋体"/>
          <w:color w:val="auto"/>
          <w:spacing w:val="-10"/>
          <w:sz w:val="24"/>
          <w:szCs w:val="24"/>
          <w:highlight w:val="none"/>
        </w:rPr>
        <w:t>不低于100g/份</w:t>
      </w:r>
      <w:r>
        <w:rPr>
          <w:rFonts w:hint="eastAsia" w:ascii="新宋体" w:hAnsi="新宋体" w:eastAsia="新宋体" w:cs="新宋体"/>
          <w:color w:val="auto"/>
          <w:spacing w:val="-10"/>
          <w:sz w:val="24"/>
          <w:szCs w:val="24"/>
          <w:highlight w:val="none"/>
          <w:lang w:eastAsia="zh-CN"/>
        </w:rPr>
        <w:t>；</w:t>
      </w:r>
    </w:p>
    <w:p w14:paraId="6551B791">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lang w:eastAsia="zh-CN"/>
        </w:rPr>
      </w:pPr>
      <w:r>
        <w:rPr>
          <w:rFonts w:hint="eastAsia" w:ascii="新宋体" w:hAnsi="新宋体" w:eastAsia="新宋体" w:cs="新宋体"/>
          <w:color w:val="auto"/>
          <w:spacing w:val="-10"/>
          <w:sz w:val="24"/>
          <w:szCs w:val="24"/>
          <w:highlight w:val="none"/>
        </w:rPr>
        <w:t>米饭售价(2元/份)</w:t>
      </w:r>
      <w:r>
        <w:rPr>
          <w:rFonts w:hint="eastAsia" w:ascii="新宋体" w:hAnsi="新宋体" w:eastAsia="新宋体" w:cs="新宋体"/>
          <w:color w:val="auto"/>
          <w:spacing w:val="-10"/>
          <w:sz w:val="24"/>
          <w:szCs w:val="24"/>
          <w:highlight w:val="none"/>
          <w:lang w:eastAsia="zh-CN"/>
        </w:rPr>
        <w:t>，</w:t>
      </w:r>
      <w:r>
        <w:rPr>
          <w:rFonts w:hint="eastAsia" w:ascii="新宋体" w:hAnsi="新宋体" w:eastAsia="新宋体" w:cs="新宋体"/>
          <w:color w:val="auto"/>
          <w:spacing w:val="-10"/>
          <w:sz w:val="24"/>
          <w:szCs w:val="24"/>
          <w:highlight w:val="none"/>
        </w:rPr>
        <w:t>不低于150g/份</w:t>
      </w:r>
      <w:r>
        <w:rPr>
          <w:rFonts w:hint="eastAsia" w:ascii="新宋体" w:hAnsi="新宋体" w:eastAsia="新宋体" w:cs="新宋体"/>
          <w:color w:val="auto"/>
          <w:spacing w:val="-10"/>
          <w:sz w:val="24"/>
          <w:szCs w:val="24"/>
          <w:highlight w:val="none"/>
          <w:lang w:eastAsia="zh-CN"/>
        </w:rPr>
        <w:t>；</w:t>
      </w:r>
    </w:p>
    <w:p w14:paraId="4260A98A">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lang w:eastAsia="zh-CN"/>
        </w:rPr>
      </w:pPr>
      <w:r>
        <w:rPr>
          <w:rFonts w:hint="eastAsia" w:ascii="新宋体" w:hAnsi="新宋体" w:eastAsia="新宋体" w:cs="新宋体"/>
          <w:color w:val="auto"/>
          <w:spacing w:val="-10"/>
          <w:sz w:val="24"/>
          <w:szCs w:val="24"/>
          <w:highlight w:val="none"/>
        </w:rPr>
        <w:t>杂粮饭售价(3元);不低于150g/份</w:t>
      </w:r>
      <w:r>
        <w:rPr>
          <w:rFonts w:hint="eastAsia" w:ascii="新宋体" w:hAnsi="新宋体" w:eastAsia="新宋体" w:cs="新宋体"/>
          <w:color w:val="auto"/>
          <w:spacing w:val="-10"/>
          <w:sz w:val="24"/>
          <w:szCs w:val="24"/>
          <w:highlight w:val="none"/>
          <w:lang w:eastAsia="zh-CN"/>
        </w:rPr>
        <w:t>；</w:t>
      </w:r>
    </w:p>
    <w:p w14:paraId="3516E506">
      <w:pPr>
        <w:keepNext w:val="0"/>
        <w:keepLines w:val="0"/>
        <w:pageBreakBefore w:val="0"/>
        <w:widowControl/>
        <w:numPr>
          <w:ilvl w:val="0"/>
          <w:numId w:val="12"/>
        </w:numPr>
        <w:kinsoku w:val="0"/>
        <w:wordWrap/>
        <w:overflowPunct/>
        <w:topLinePunct w:val="0"/>
        <w:autoSpaceDE w:val="0"/>
        <w:autoSpaceDN w:val="0"/>
        <w:bidi w:val="0"/>
        <w:adjustRightInd w:val="0"/>
        <w:snapToGrid w:val="0"/>
        <w:spacing w:line="560" w:lineRule="exact"/>
        <w:ind w:left="425" w:leftChars="0" w:right="0" w:hanging="425"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精品菜式可自主定价，经院方协商同意实施。</w:t>
      </w:r>
    </w:p>
    <w:p w14:paraId="32C5FF98">
      <w:pPr>
        <w:keepNext w:val="0"/>
        <w:keepLines w:val="0"/>
        <w:pageBreakBefore w:val="0"/>
        <w:widowControl/>
        <w:numPr>
          <w:ilvl w:val="0"/>
          <w:numId w:val="12"/>
        </w:numPr>
        <w:kinsoku w:val="0"/>
        <w:wordWrap/>
        <w:overflowPunct/>
        <w:topLinePunct w:val="0"/>
        <w:autoSpaceDE w:val="0"/>
        <w:autoSpaceDN w:val="0"/>
        <w:bidi w:val="0"/>
        <w:adjustRightInd w:val="0"/>
        <w:snapToGrid w:val="0"/>
        <w:spacing w:line="560" w:lineRule="exact"/>
        <w:ind w:left="425" w:leftChars="0" w:right="0" w:hanging="425"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其他配套服务：</w:t>
      </w:r>
    </w:p>
    <w:p w14:paraId="3577ACE6">
      <w:pPr>
        <w:keepNext w:val="0"/>
        <w:keepLines w:val="0"/>
        <w:pageBreakBefore w:val="0"/>
        <w:widowControl/>
        <w:numPr>
          <w:ilvl w:val="0"/>
          <w:numId w:val="13"/>
        </w:numPr>
        <w:kinsoku w:val="0"/>
        <w:wordWrap/>
        <w:overflowPunct/>
        <w:topLinePunct w:val="0"/>
        <w:autoSpaceDE w:val="0"/>
        <w:autoSpaceDN w:val="0"/>
        <w:bidi w:val="0"/>
        <w:adjustRightInd w:val="0"/>
        <w:snapToGrid w:val="0"/>
        <w:spacing w:line="560" w:lineRule="exact"/>
        <w:ind w:left="425" w:leftChars="0" w:right="0" w:hanging="425"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协助</w:t>
      </w:r>
      <w:r>
        <w:rPr>
          <w:rFonts w:hint="eastAsia" w:ascii="新宋体" w:hAnsi="新宋体" w:eastAsia="新宋体" w:cs="新宋体"/>
          <w:color w:val="auto"/>
          <w:spacing w:val="-10"/>
          <w:sz w:val="24"/>
          <w:szCs w:val="24"/>
          <w:highlight w:val="none"/>
          <w:lang w:val="en-US" w:eastAsia="zh-CN"/>
        </w:rPr>
        <w:t>招租人</w:t>
      </w:r>
      <w:r>
        <w:rPr>
          <w:rFonts w:hint="eastAsia" w:ascii="新宋体" w:hAnsi="新宋体" w:eastAsia="新宋体" w:cs="新宋体"/>
          <w:color w:val="auto"/>
          <w:spacing w:val="-10"/>
          <w:sz w:val="24"/>
          <w:szCs w:val="24"/>
          <w:highlight w:val="none"/>
        </w:rPr>
        <w:t>管理餐厅；</w:t>
      </w:r>
    </w:p>
    <w:p w14:paraId="68C1ABD1">
      <w:pPr>
        <w:keepNext w:val="0"/>
        <w:keepLines w:val="0"/>
        <w:pageBreakBefore w:val="0"/>
        <w:widowControl/>
        <w:numPr>
          <w:ilvl w:val="0"/>
          <w:numId w:val="13"/>
        </w:numPr>
        <w:kinsoku w:val="0"/>
        <w:wordWrap/>
        <w:overflowPunct/>
        <w:topLinePunct w:val="0"/>
        <w:autoSpaceDE w:val="0"/>
        <w:autoSpaceDN w:val="0"/>
        <w:bidi w:val="0"/>
        <w:adjustRightInd w:val="0"/>
        <w:snapToGrid w:val="0"/>
        <w:spacing w:line="560" w:lineRule="exact"/>
        <w:ind w:left="425" w:leftChars="0" w:right="0" w:hanging="425"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协助</w:t>
      </w:r>
      <w:r>
        <w:rPr>
          <w:rFonts w:hint="eastAsia" w:ascii="新宋体" w:hAnsi="新宋体" w:eastAsia="新宋体" w:cs="新宋体"/>
          <w:color w:val="auto"/>
          <w:spacing w:val="-10"/>
          <w:sz w:val="24"/>
          <w:szCs w:val="24"/>
          <w:highlight w:val="none"/>
          <w:lang w:eastAsia="zh-CN"/>
        </w:rPr>
        <w:t>招租方</w:t>
      </w:r>
      <w:r>
        <w:rPr>
          <w:rFonts w:hint="eastAsia" w:ascii="新宋体" w:hAnsi="新宋体" w:eastAsia="新宋体" w:cs="新宋体"/>
          <w:color w:val="auto"/>
          <w:spacing w:val="-10"/>
          <w:sz w:val="24"/>
          <w:szCs w:val="24"/>
          <w:highlight w:val="none"/>
        </w:rPr>
        <w:t>设计餐厅布局；</w:t>
      </w:r>
    </w:p>
    <w:p w14:paraId="0424AA71">
      <w:pPr>
        <w:keepNext w:val="0"/>
        <w:keepLines w:val="0"/>
        <w:pageBreakBefore w:val="0"/>
        <w:widowControl/>
        <w:numPr>
          <w:ilvl w:val="0"/>
          <w:numId w:val="13"/>
        </w:numPr>
        <w:kinsoku w:val="0"/>
        <w:wordWrap/>
        <w:overflowPunct/>
        <w:topLinePunct w:val="0"/>
        <w:autoSpaceDE w:val="0"/>
        <w:autoSpaceDN w:val="0"/>
        <w:bidi w:val="0"/>
        <w:adjustRightInd w:val="0"/>
        <w:snapToGrid w:val="0"/>
        <w:spacing w:line="560" w:lineRule="exact"/>
        <w:ind w:left="425" w:leftChars="0" w:right="0" w:hanging="425"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医院层面的工作餐与公务接待餐；</w:t>
      </w:r>
    </w:p>
    <w:p w14:paraId="13A2B0FF">
      <w:pPr>
        <w:keepNext w:val="0"/>
        <w:keepLines w:val="0"/>
        <w:pageBreakBefore w:val="0"/>
        <w:widowControl/>
        <w:numPr>
          <w:ilvl w:val="0"/>
          <w:numId w:val="13"/>
        </w:numPr>
        <w:kinsoku w:val="0"/>
        <w:wordWrap/>
        <w:overflowPunct/>
        <w:topLinePunct w:val="0"/>
        <w:autoSpaceDE w:val="0"/>
        <w:autoSpaceDN w:val="0"/>
        <w:bidi w:val="0"/>
        <w:adjustRightInd w:val="0"/>
        <w:snapToGrid w:val="0"/>
        <w:spacing w:line="560" w:lineRule="exact"/>
        <w:ind w:left="425" w:leftChars="0" w:right="0" w:hanging="425"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每年举办至少6次的饮食文化活动；</w:t>
      </w:r>
    </w:p>
    <w:p w14:paraId="6AC706E4">
      <w:pPr>
        <w:keepNext w:val="0"/>
        <w:keepLines w:val="0"/>
        <w:pageBreakBefore w:val="0"/>
        <w:widowControl/>
        <w:numPr>
          <w:ilvl w:val="0"/>
          <w:numId w:val="13"/>
        </w:numPr>
        <w:kinsoku w:val="0"/>
        <w:wordWrap/>
        <w:overflowPunct/>
        <w:topLinePunct w:val="0"/>
        <w:autoSpaceDE w:val="0"/>
        <w:autoSpaceDN w:val="0"/>
        <w:bidi w:val="0"/>
        <w:adjustRightInd w:val="0"/>
        <w:snapToGrid w:val="0"/>
        <w:spacing w:line="560" w:lineRule="exact"/>
        <w:ind w:left="425" w:leftChars="0" w:right="0" w:hanging="425"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职工小卖部商品的售卖与管理工作；</w:t>
      </w:r>
    </w:p>
    <w:p w14:paraId="39490E97">
      <w:pPr>
        <w:keepNext w:val="0"/>
        <w:keepLines w:val="0"/>
        <w:pageBreakBefore w:val="0"/>
        <w:widowControl/>
        <w:numPr>
          <w:ilvl w:val="0"/>
          <w:numId w:val="13"/>
        </w:numPr>
        <w:kinsoku w:val="0"/>
        <w:wordWrap/>
        <w:overflowPunct/>
        <w:topLinePunct w:val="0"/>
        <w:autoSpaceDE w:val="0"/>
        <w:autoSpaceDN w:val="0"/>
        <w:bidi w:val="0"/>
        <w:adjustRightInd w:val="0"/>
        <w:snapToGrid w:val="0"/>
        <w:spacing w:line="560" w:lineRule="exact"/>
        <w:ind w:left="425" w:leftChars="0" w:right="0" w:hanging="425"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微信公众号宣传工作，微信公众号需</w:t>
      </w:r>
      <w:r>
        <w:rPr>
          <w:rFonts w:hint="eastAsia" w:ascii="新宋体" w:hAnsi="新宋体" w:eastAsia="新宋体" w:cs="新宋体"/>
          <w:color w:val="auto"/>
          <w:spacing w:val="-10"/>
          <w:sz w:val="24"/>
          <w:szCs w:val="24"/>
          <w:highlight w:val="none"/>
          <w:lang w:val="en-US" w:eastAsia="zh-CN"/>
        </w:rPr>
        <w:t>承租人</w:t>
      </w:r>
      <w:r>
        <w:rPr>
          <w:rFonts w:hint="eastAsia" w:ascii="新宋体" w:hAnsi="新宋体" w:eastAsia="新宋体" w:cs="新宋体"/>
          <w:color w:val="auto"/>
          <w:spacing w:val="-10"/>
          <w:sz w:val="24"/>
          <w:szCs w:val="24"/>
          <w:highlight w:val="none"/>
        </w:rPr>
        <w:t>自行申请及运营；</w:t>
      </w:r>
    </w:p>
    <w:p w14:paraId="27BEDBE2">
      <w:pPr>
        <w:keepNext w:val="0"/>
        <w:keepLines w:val="0"/>
        <w:pageBreakBefore w:val="0"/>
        <w:widowControl/>
        <w:numPr>
          <w:ilvl w:val="0"/>
          <w:numId w:val="13"/>
        </w:numPr>
        <w:kinsoku w:val="0"/>
        <w:wordWrap/>
        <w:overflowPunct/>
        <w:topLinePunct w:val="0"/>
        <w:autoSpaceDE w:val="0"/>
        <w:autoSpaceDN w:val="0"/>
        <w:bidi w:val="0"/>
        <w:adjustRightInd w:val="0"/>
        <w:snapToGrid w:val="0"/>
        <w:spacing w:line="560" w:lineRule="exact"/>
        <w:ind w:left="425" w:leftChars="0" w:right="0" w:hanging="425"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协助餐厅环境、小卖部、水吧</w:t>
      </w:r>
      <w:r>
        <w:rPr>
          <w:rFonts w:hint="eastAsia" w:ascii="新宋体" w:hAnsi="新宋体" w:eastAsia="新宋体" w:cs="新宋体"/>
          <w:color w:val="auto"/>
          <w:spacing w:val="-10"/>
          <w:sz w:val="24"/>
          <w:szCs w:val="24"/>
          <w:highlight w:val="none"/>
          <w:lang w:eastAsia="zh-CN"/>
        </w:rPr>
        <w:t>、</w:t>
      </w:r>
      <w:r>
        <w:rPr>
          <w:rFonts w:hint="eastAsia" w:ascii="新宋体" w:hAnsi="新宋体" w:eastAsia="新宋体" w:cs="新宋体"/>
          <w:color w:val="auto"/>
          <w:spacing w:val="-10"/>
          <w:sz w:val="24"/>
          <w:szCs w:val="24"/>
          <w:highlight w:val="none"/>
          <w:lang w:val="en-US" w:eastAsia="zh-CN"/>
        </w:rPr>
        <w:t>营养巴士</w:t>
      </w:r>
      <w:r>
        <w:rPr>
          <w:rFonts w:hint="eastAsia" w:ascii="新宋体" w:hAnsi="新宋体" w:eastAsia="新宋体" w:cs="新宋体"/>
          <w:color w:val="auto"/>
          <w:spacing w:val="-10"/>
          <w:sz w:val="24"/>
          <w:szCs w:val="24"/>
          <w:highlight w:val="none"/>
        </w:rPr>
        <w:t>及售卖点环境布局；</w:t>
      </w:r>
    </w:p>
    <w:p w14:paraId="4F73E435">
      <w:pPr>
        <w:keepNext w:val="0"/>
        <w:keepLines w:val="0"/>
        <w:pageBreakBefore w:val="0"/>
        <w:widowControl/>
        <w:numPr>
          <w:ilvl w:val="0"/>
          <w:numId w:val="13"/>
        </w:numPr>
        <w:kinsoku w:val="0"/>
        <w:wordWrap/>
        <w:overflowPunct/>
        <w:topLinePunct w:val="0"/>
        <w:autoSpaceDE w:val="0"/>
        <w:autoSpaceDN w:val="0"/>
        <w:bidi w:val="0"/>
        <w:adjustRightInd w:val="0"/>
        <w:snapToGrid w:val="0"/>
        <w:spacing w:line="560" w:lineRule="exact"/>
        <w:ind w:left="425" w:leftChars="0" w:right="0" w:hanging="425"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饮食文化宣传工作；</w:t>
      </w:r>
    </w:p>
    <w:p w14:paraId="061582F8">
      <w:pPr>
        <w:keepNext w:val="0"/>
        <w:keepLines w:val="0"/>
        <w:pageBreakBefore w:val="0"/>
        <w:widowControl/>
        <w:numPr>
          <w:ilvl w:val="0"/>
          <w:numId w:val="13"/>
        </w:numPr>
        <w:kinsoku w:val="0"/>
        <w:wordWrap/>
        <w:overflowPunct/>
        <w:topLinePunct w:val="0"/>
        <w:autoSpaceDE w:val="0"/>
        <w:autoSpaceDN w:val="0"/>
        <w:bidi w:val="0"/>
        <w:adjustRightInd w:val="0"/>
        <w:snapToGrid w:val="0"/>
        <w:spacing w:line="560" w:lineRule="exact"/>
        <w:ind w:left="425" w:leftChars="0" w:right="0" w:hanging="425"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餐卡收费系统与订餐系统的管理工作等服务；</w:t>
      </w:r>
    </w:p>
    <w:p w14:paraId="293DCB80">
      <w:pPr>
        <w:keepNext w:val="0"/>
        <w:keepLines w:val="0"/>
        <w:pageBreakBefore w:val="0"/>
        <w:widowControl/>
        <w:numPr>
          <w:ilvl w:val="0"/>
          <w:numId w:val="13"/>
        </w:numPr>
        <w:kinsoku w:val="0"/>
        <w:wordWrap/>
        <w:overflowPunct/>
        <w:topLinePunct w:val="0"/>
        <w:autoSpaceDE w:val="0"/>
        <w:autoSpaceDN w:val="0"/>
        <w:bidi w:val="0"/>
        <w:adjustRightInd w:val="0"/>
        <w:snapToGrid w:val="0"/>
        <w:spacing w:line="560" w:lineRule="exact"/>
        <w:ind w:left="425" w:leftChars="0" w:right="0" w:hanging="425"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lang w:eastAsia="zh-CN"/>
        </w:rPr>
        <w:t>招租方</w:t>
      </w:r>
      <w:r>
        <w:rPr>
          <w:rFonts w:hint="eastAsia" w:ascii="新宋体" w:hAnsi="新宋体" w:eastAsia="新宋体" w:cs="新宋体"/>
          <w:color w:val="auto"/>
          <w:spacing w:val="-10"/>
          <w:sz w:val="24"/>
          <w:szCs w:val="24"/>
          <w:highlight w:val="none"/>
        </w:rPr>
        <w:t>指示的与餐饮有关的工作。</w:t>
      </w:r>
    </w:p>
    <w:p w14:paraId="41FE24DF">
      <w:pPr>
        <w:keepNext w:val="0"/>
        <w:keepLines w:val="0"/>
        <w:pageBreakBefore w:val="0"/>
        <w:widowControl/>
        <w:numPr>
          <w:ilvl w:val="0"/>
          <w:numId w:val="1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病人餐服务内容：</w:t>
      </w:r>
    </w:p>
    <w:p w14:paraId="01C4EE62">
      <w:pPr>
        <w:keepNext w:val="0"/>
        <w:keepLines w:val="0"/>
        <w:pageBreakBefore w:val="0"/>
        <w:widowControl/>
        <w:numPr>
          <w:ilvl w:val="0"/>
          <w:numId w:val="14"/>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服务对象：门诊与住院病人及其家属等。</w:t>
      </w:r>
    </w:p>
    <w:p w14:paraId="16757160">
      <w:pPr>
        <w:keepNext w:val="0"/>
        <w:keepLines w:val="0"/>
        <w:pageBreakBefore w:val="0"/>
        <w:widowControl/>
        <w:numPr>
          <w:ilvl w:val="0"/>
          <w:numId w:val="14"/>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服务项目：根据病人情况提供流质、半流质、高蛋白质、低/高热量、糖尿病饮食、无碘餐、素食等病患所需的服务（根据医嘱而定）。</w:t>
      </w:r>
    </w:p>
    <w:p w14:paraId="0C35F1CF">
      <w:pPr>
        <w:keepNext w:val="0"/>
        <w:keepLines w:val="0"/>
        <w:pageBreakBefore w:val="0"/>
        <w:widowControl/>
        <w:numPr>
          <w:ilvl w:val="0"/>
          <w:numId w:val="14"/>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须配送至每位病患的病床前</w:t>
      </w:r>
    </w:p>
    <w:p w14:paraId="517DAD34">
      <w:pPr>
        <w:keepNext w:val="0"/>
        <w:keepLines w:val="0"/>
        <w:pageBreakBefore w:val="0"/>
        <w:widowControl/>
        <w:numPr>
          <w:ilvl w:val="0"/>
          <w:numId w:val="14"/>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服务时间：全年无休，供餐时间：早餐 7:00-8:30，午餐 11:00-12:30，晚餐 17:00-18:30。</w:t>
      </w:r>
    </w:p>
    <w:p w14:paraId="58345359">
      <w:pPr>
        <w:keepNext w:val="0"/>
        <w:keepLines w:val="0"/>
        <w:pageBreakBefore w:val="0"/>
        <w:widowControl/>
        <w:numPr>
          <w:ilvl w:val="0"/>
          <w:numId w:val="14"/>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供餐品种：</w:t>
      </w:r>
    </w:p>
    <w:p w14:paraId="738C9F41">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病人早餐：普通饮食不少于 5 个套餐或不少于 8 个品种的单选服务，糖尿病饮食早餐不少于4 个套餐或不少于 4 个品种的单选服务；</w:t>
      </w:r>
    </w:p>
    <w:p w14:paraId="63FC1E35">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病人午餐、晚餐： 普通饮食不少于 5 个套餐及 2 款汤或不少于 8 个品种的单选服务，糖尿病饮食早餐不少于 5 个套餐或不少于 5 个品种的单选服务。</w:t>
      </w:r>
    </w:p>
    <w:p w14:paraId="4E1F545A">
      <w:pPr>
        <w:keepNext w:val="0"/>
        <w:keepLines w:val="0"/>
        <w:pageBreakBefore w:val="0"/>
        <w:widowControl/>
        <w:numPr>
          <w:ilvl w:val="0"/>
          <w:numId w:val="14"/>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0"/>
          <w:sz w:val="24"/>
          <w:szCs w:val="24"/>
          <w:highlight w:val="none"/>
        </w:rPr>
      </w:pPr>
      <w:r>
        <w:rPr>
          <w:rFonts w:hint="eastAsia" w:ascii="新宋体" w:hAnsi="新宋体" w:eastAsia="新宋体" w:cs="新宋体"/>
          <w:color w:val="auto"/>
          <w:spacing w:val="-10"/>
          <w:sz w:val="24"/>
          <w:szCs w:val="24"/>
          <w:highlight w:val="none"/>
        </w:rPr>
        <w:t>其他配套服务：每年举办不少于 2 次的患者饮食文化活动。</w:t>
      </w:r>
    </w:p>
    <w:p w14:paraId="377C98F3">
      <w:pPr>
        <w:keepNext w:val="0"/>
        <w:keepLines w:val="0"/>
        <w:pageBreakBefore w:val="0"/>
        <w:widowControl/>
        <w:numPr>
          <w:ilvl w:val="0"/>
          <w:numId w:val="1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b/>
          <w:bCs/>
          <w:color w:val="auto"/>
          <w:spacing w:val="-10"/>
          <w:sz w:val="24"/>
          <w:szCs w:val="24"/>
          <w:highlight w:val="none"/>
          <w:lang w:eastAsia="zh-CN"/>
        </w:rPr>
      </w:pPr>
      <w:r>
        <w:rPr>
          <w:rFonts w:hint="eastAsia" w:ascii="新宋体" w:hAnsi="新宋体" w:eastAsia="新宋体" w:cs="新宋体"/>
          <w:b/>
          <w:bCs/>
          <w:color w:val="auto"/>
          <w:spacing w:val="-10"/>
          <w:sz w:val="24"/>
          <w:szCs w:val="24"/>
          <w:highlight w:val="none"/>
        </w:rPr>
        <w:t xml:space="preserve"> 接待用餐服务要求</w:t>
      </w:r>
    </w:p>
    <w:p w14:paraId="628D8902">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504" w:firstLineChars="200"/>
        <w:jc w:val="both"/>
        <w:textAlignment w:val="baseline"/>
        <w:rPr>
          <w:rFonts w:hint="eastAsia" w:ascii="新宋体" w:hAnsi="新宋体" w:eastAsia="新宋体" w:cs="新宋体"/>
          <w:color w:val="auto"/>
          <w:sz w:val="24"/>
          <w:szCs w:val="24"/>
          <w:highlight w:val="none"/>
        </w:rPr>
      </w:pPr>
      <w:r>
        <w:rPr>
          <w:rFonts w:hint="eastAsia" w:ascii="新宋体" w:hAnsi="新宋体" w:eastAsia="新宋体" w:cs="新宋体"/>
          <w:color w:val="auto"/>
          <w:spacing w:val="6"/>
          <w:sz w:val="24"/>
          <w:szCs w:val="24"/>
          <w:highlight w:val="none"/>
          <w:lang w:eastAsia="zh-CN"/>
        </w:rPr>
        <w:t>承租方</w:t>
      </w:r>
      <w:r>
        <w:rPr>
          <w:rFonts w:hint="eastAsia" w:ascii="新宋体" w:hAnsi="新宋体" w:eastAsia="新宋体" w:cs="新宋体"/>
          <w:color w:val="auto"/>
          <w:spacing w:val="6"/>
          <w:sz w:val="24"/>
          <w:szCs w:val="24"/>
          <w:highlight w:val="none"/>
        </w:rPr>
        <w:t>接到</w:t>
      </w:r>
      <w:r>
        <w:rPr>
          <w:rFonts w:hint="eastAsia" w:ascii="新宋体" w:hAnsi="新宋体" w:eastAsia="新宋体" w:cs="新宋体"/>
          <w:color w:val="auto"/>
          <w:spacing w:val="6"/>
          <w:sz w:val="24"/>
          <w:szCs w:val="24"/>
          <w:highlight w:val="none"/>
          <w:lang w:eastAsia="zh-CN"/>
        </w:rPr>
        <w:t>招租方</w:t>
      </w:r>
      <w:r>
        <w:rPr>
          <w:rFonts w:hint="eastAsia" w:ascii="新宋体" w:hAnsi="新宋体" w:eastAsia="新宋体" w:cs="新宋体"/>
          <w:color w:val="auto"/>
          <w:spacing w:val="6"/>
          <w:sz w:val="24"/>
          <w:szCs w:val="24"/>
          <w:highlight w:val="none"/>
        </w:rPr>
        <w:t>需要进行接待用餐时，</w:t>
      </w:r>
      <w:r>
        <w:rPr>
          <w:rFonts w:hint="eastAsia" w:ascii="新宋体" w:hAnsi="新宋体" w:eastAsia="新宋体" w:cs="新宋体"/>
          <w:color w:val="auto"/>
          <w:spacing w:val="6"/>
          <w:sz w:val="24"/>
          <w:szCs w:val="24"/>
          <w:highlight w:val="none"/>
          <w:lang w:eastAsia="zh-CN"/>
        </w:rPr>
        <w:t>承租方</w:t>
      </w:r>
      <w:r>
        <w:rPr>
          <w:rFonts w:hint="eastAsia" w:ascii="新宋体" w:hAnsi="新宋体" w:eastAsia="新宋体" w:cs="新宋体"/>
          <w:color w:val="auto"/>
          <w:spacing w:val="6"/>
          <w:sz w:val="24"/>
          <w:szCs w:val="24"/>
          <w:highlight w:val="none"/>
        </w:rPr>
        <w:t>须全力配合</w:t>
      </w:r>
      <w:r>
        <w:rPr>
          <w:rFonts w:hint="eastAsia" w:ascii="新宋体" w:hAnsi="新宋体" w:eastAsia="新宋体" w:cs="新宋体"/>
          <w:color w:val="auto"/>
          <w:spacing w:val="5"/>
          <w:sz w:val="24"/>
          <w:szCs w:val="24"/>
          <w:highlight w:val="none"/>
          <w:lang w:eastAsia="zh-CN"/>
        </w:rPr>
        <w:t>招租方</w:t>
      </w:r>
      <w:r>
        <w:rPr>
          <w:rFonts w:hint="eastAsia" w:ascii="新宋体" w:hAnsi="新宋体" w:eastAsia="新宋体" w:cs="新宋体"/>
          <w:color w:val="auto"/>
          <w:spacing w:val="5"/>
          <w:sz w:val="24"/>
          <w:szCs w:val="24"/>
          <w:highlight w:val="none"/>
        </w:rPr>
        <w:t>进行</w:t>
      </w:r>
      <w:r>
        <w:rPr>
          <w:rFonts w:hint="eastAsia" w:ascii="新宋体" w:hAnsi="新宋体" w:eastAsia="新宋体" w:cs="新宋体"/>
          <w:color w:val="auto"/>
          <w:spacing w:val="7"/>
          <w:sz w:val="24"/>
          <w:szCs w:val="24"/>
          <w:highlight w:val="none"/>
        </w:rPr>
        <w:t>各项接待用餐跟进，并跟进</w:t>
      </w:r>
      <w:r>
        <w:rPr>
          <w:rFonts w:hint="eastAsia" w:ascii="新宋体" w:hAnsi="新宋体" w:eastAsia="新宋体" w:cs="新宋体"/>
          <w:color w:val="auto"/>
          <w:spacing w:val="7"/>
          <w:sz w:val="24"/>
          <w:szCs w:val="24"/>
          <w:highlight w:val="none"/>
          <w:lang w:eastAsia="zh-CN"/>
        </w:rPr>
        <w:t>招租方</w:t>
      </w:r>
      <w:r>
        <w:rPr>
          <w:rFonts w:hint="eastAsia" w:ascii="新宋体" w:hAnsi="新宋体" w:eastAsia="新宋体" w:cs="新宋体"/>
          <w:color w:val="auto"/>
          <w:spacing w:val="7"/>
          <w:sz w:val="24"/>
          <w:szCs w:val="24"/>
          <w:highlight w:val="none"/>
        </w:rPr>
        <w:t>的需求和餐费标准和制作要求，做好出品和接待工作，每次用餐完成之后由医院后勤部门确认后，每</w:t>
      </w:r>
      <w:r>
        <w:rPr>
          <w:rFonts w:hint="eastAsia" w:ascii="新宋体" w:hAnsi="新宋体" w:eastAsia="新宋体" w:cs="新宋体"/>
          <w:color w:val="auto"/>
          <w:spacing w:val="-2"/>
          <w:sz w:val="24"/>
          <w:szCs w:val="24"/>
          <w:highlight w:val="none"/>
        </w:rPr>
        <w:t>月进行结算。</w:t>
      </w:r>
    </w:p>
    <w:p w14:paraId="23C0259C">
      <w:pPr>
        <w:keepNext w:val="0"/>
        <w:keepLines w:val="0"/>
        <w:pageBreakBefore w:val="0"/>
        <w:widowControl/>
        <w:numPr>
          <w:ilvl w:val="0"/>
          <w:numId w:val="1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b/>
          <w:bCs/>
          <w:color w:val="auto"/>
          <w:spacing w:val="-10"/>
          <w:sz w:val="24"/>
          <w:szCs w:val="24"/>
          <w:highlight w:val="none"/>
          <w:lang w:eastAsia="zh-CN"/>
        </w:rPr>
      </w:pPr>
      <w:r>
        <w:rPr>
          <w:rFonts w:hint="eastAsia" w:ascii="新宋体" w:hAnsi="新宋体" w:eastAsia="新宋体" w:cs="新宋体"/>
          <w:b/>
          <w:bCs/>
          <w:color w:val="auto"/>
          <w:spacing w:val="-10"/>
          <w:sz w:val="24"/>
          <w:szCs w:val="24"/>
          <w:highlight w:val="none"/>
        </w:rPr>
        <w:t>质量</w:t>
      </w:r>
      <w:r>
        <w:rPr>
          <w:rFonts w:hint="eastAsia" w:ascii="新宋体" w:hAnsi="新宋体" w:eastAsia="新宋体" w:cs="新宋体"/>
          <w:b/>
          <w:bCs/>
          <w:color w:val="auto"/>
          <w:spacing w:val="-10"/>
          <w:sz w:val="24"/>
          <w:szCs w:val="24"/>
          <w:highlight w:val="none"/>
          <w:lang w:val="en-US" w:eastAsia="zh-CN"/>
        </w:rPr>
        <w:t>服务</w:t>
      </w:r>
      <w:r>
        <w:rPr>
          <w:rFonts w:hint="eastAsia" w:ascii="新宋体" w:hAnsi="新宋体" w:eastAsia="新宋体" w:cs="新宋体"/>
          <w:b/>
          <w:bCs/>
          <w:color w:val="auto"/>
          <w:spacing w:val="-10"/>
          <w:sz w:val="24"/>
          <w:szCs w:val="24"/>
          <w:highlight w:val="none"/>
        </w:rPr>
        <w:t>要求</w:t>
      </w:r>
    </w:p>
    <w:p w14:paraId="24E553E5">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必须按照《中华人民共和国食品安全法》、《食品生产许可管理办法》、《餐饮服务食品安全操作规范》、《餐饮服务食品采购索证索票管理规定》、《食品添加剂新品种管理办法》等相关法律、法规、制度及政策，通过规范的管理流程和严格的内部监察机制来确保高标准的食品卫生安全。</w:t>
      </w:r>
    </w:p>
    <w:p w14:paraId="1FD3824B">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人必须通过有效的服务提高医院员工餐及病人营养餐的服务质量，达到并维持较高的满意度。</w:t>
      </w:r>
    </w:p>
    <w:p w14:paraId="5C303EE5">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必须知晓</w:t>
      </w:r>
      <w:r>
        <w:rPr>
          <w:rFonts w:hint="eastAsia" w:ascii="新宋体" w:hAnsi="新宋体" w:eastAsia="新宋体" w:cs="新宋体"/>
          <w:color w:val="auto"/>
          <w:spacing w:val="13"/>
          <w:sz w:val="24"/>
          <w:szCs w:val="24"/>
          <w:highlight w:val="none"/>
          <w:lang w:eastAsia="zh-CN"/>
        </w:rPr>
        <w:t>招租方</w:t>
      </w:r>
      <w:r>
        <w:rPr>
          <w:rFonts w:hint="eastAsia" w:ascii="新宋体" w:hAnsi="新宋体" w:eastAsia="新宋体" w:cs="新宋体"/>
          <w:color w:val="auto"/>
          <w:spacing w:val="13"/>
          <w:sz w:val="24"/>
          <w:szCs w:val="24"/>
          <w:highlight w:val="none"/>
        </w:rPr>
        <w:t>为医疗行业的特殊性，服从</w:t>
      </w:r>
      <w:r>
        <w:rPr>
          <w:rFonts w:hint="eastAsia" w:ascii="新宋体" w:hAnsi="新宋体" w:eastAsia="新宋体" w:cs="新宋体"/>
          <w:color w:val="auto"/>
          <w:spacing w:val="13"/>
          <w:sz w:val="24"/>
          <w:szCs w:val="24"/>
          <w:highlight w:val="none"/>
          <w:lang w:eastAsia="zh-CN"/>
        </w:rPr>
        <w:t>招租方</w:t>
      </w:r>
      <w:r>
        <w:rPr>
          <w:rFonts w:hint="eastAsia" w:ascii="新宋体" w:hAnsi="新宋体" w:eastAsia="新宋体" w:cs="新宋体"/>
          <w:color w:val="auto"/>
          <w:spacing w:val="13"/>
          <w:sz w:val="24"/>
          <w:szCs w:val="24"/>
          <w:highlight w:val="none"/>
        </w:rPr>
        <w:t>的制定的管理规定。</w:t>
      </w:r>
    </w:p>
    <w:p w14:paraId="06A6A27B">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全部员工要按星级酒店的标准对员工进行上岗培训、安全生产教育，提供的人员必须经过岗位考核合格后才可安排在本院工作</w:t>
      </w:r>
      <w:r>
        <w:rPr>
          <w:rFonts w:hint="eastAsia" w:ascii="新宋体" w:hAnsi="新宋体" w:eastAsia="新宋体" w:cs="新宋体"/>
          <w:color w:val="auto"/>
          <w:spacing w:val="13"/>
          <w:sz w:val="24"/>
          <w:szCs w:val="24"/>
          <w:highlight w:val="none"/>
          <w:lang w:val="en-US" w:eastAsia="zh-CN"/>
        </w:rPr>
        <w:t>,</w:t>
      </w:r>
      <w:r>
        <w:rPr>
          <w:rFonts w:hint="eastAsia" w:ascii="新宋体" w:hAnsi="新宋体" w:eastAsia="新宋体" w:cs="新宋体"/>
          <w:color w:val="auto"/>
          <w:spacing w:val="13"/>
          <w:sz w:val="24"/>
          <w:szCs w:val="24"/>
          <w:highlight w:val="none"/>
        </w:rPr>
        <w:t>以优质的服务进行规范化管理， 做到礼貌待客，微笑服务，关心每一位医务人员和病人，对病人的饮食要求做好跟踪服务，将优质服务和爱心融为一体。</w:t>
      </w:r>
    </w:p>
    <w:p w14:paraId="7497AD2D">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rPr>
        <w:t>确保</w:t>
      </w:r>
      <w:r>
        <w:rPr>
          <w:rFonts w:hint="eastAsia" w:ascii="新宋体" w:hAnsi="新宋体" w:eastAsia="新宋体" w:cs="新宋体"/>
          <w:color w:val="auto"/>
          <w:spacing w:val="13"/>
          <w:sz w:val="24"/>
          <w:szCs w:val="24"/>
          <w:highlight w:val="none"/>
          <w:lang w:eastAsia="zh-CN"/>
        </w:rPr>
        <w:t>招租方</w:t>
      </w:r>
      <w:r>
        <w:rPr>
          <w:rFonts w:hint="eastAsia" w:ascii="新宋体" w:hAnsi="新宋体" w:eastAsia="新宋体" w:cs="新宋体"/>
          <w:color w:val="auto"/>
          <w:spacing w:val="13"/>
          <w:sz w:val="24"/>
          <w:szCs w:val="24"/>
          <w:highlight w:val="none"/>
        </w:rPr>
        <w:t>早、中、晚餐的正常膳食供应，并根据需要提供送餐服务，对</w:t>
      </w:r>
      <w:r>
        <w:rPr>
          <w:rFonts w:hint="eastAsia" w:ascii="新宋体" w:hAnsi="新宋体" w:eastAsia="新宋体" w:cs="新宋体"/>
          <w:color w:val="auto"/>
          <w:spacing w:val="13"/>
          <w:sz w:val="24"/>
          <w:szCs w:val="24"/>
          <w:highlight w:val="none"/>
          <w:lang w:eastAsia="zh-CN"/>
        </w:rPr>
        <w:t>招租方</w:t>
      </w:r>
      <w:r>
        <w:rPr>
          <w:rFonts w:hint="eastAsia" w:ascii="新宋体" w:hAnsi="新宋体" w:eastAsia="新宋体" w:cs="新宋体"/>
          <w:color w:val="auto"/>
          <w:spacing w:val="13"/>
          <w:sz w:val="24"/>
          <w:szCs w:val="24"/>
          <w:highlight w:val="none"/>
        </w:rPr>
        <w:t>提出的接待餐、过时餐、自助餐、茶歇、饮食文化活动等无条件服从， 并按时、按质完成， 保证饭热菜香。</w:t>
      </w:r>
    </w:p>
    <w:p w14:paraId="7E1420D4">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要加强食品卫生，食品质量的管理，确保食品质量，所有原材料与制成品必须符合食品卫生检疫标准。同时，必须接受食品药品监督管理局等各级单位的卫生监督检查，并按检查结果进行整改。</w:t>
      </w:r>
    </w:p>
    <w:p w14:paraId="7152991C">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宋体" w:hAnsi="宋体" w:eastAsia="宋体" w:cs="宋体"/>
          <w:i w:val="0"/>
          <w:iCs/>
          <w:color w:val="auto"/>
          <w:kern w:val="2"/>
          <w:sz w:val="24"/>
          <w:szCs w:val="24"/>
          <w:highlight w:val="none"/>
          <w:lang w:val="en-US" w:eastAsia="zh-CN"/>
        </w:rPr>
        <w:t>承租方在招租方院内所</w:t>
      </w:r>
      <w:r>
        <w:rPr>
          <w:rFonts w:hint="eastAsia" w:ascii="宋体" w:hAnsi="宋体" w:eastAsia="宋体" w:cs="宋体"/>
          <w:bCs/>
          <w:color w:val="auto"/>
          <w:kern w:val="2"/>
          <w:sz w:val="24"/>
          <w:szCs w:val="24"/>
          <w:highlight w:val="none"/>
          <w:lang w:val="en-US" w:eastAsia="zh-CN"/>
        </w:rPr>
        <w:t>使用的一次性餐具用品，</w:t>
      </w:r>
      <w:r>
        <w:rPr>
          <w:rFonts w:hint="eastAsia" w:ascii="宋体" w:hAnsi="宋体" w:eastAsia="宋体" w:cs="宋体"/>
          <w:i w:val="0"/>
          <w:iCs/>
          <w:color w:val="auto"/>
          <w:kern w:val="2"/>
          <w:sz w:val="24"/>
          <w:szCs w:val="24"/>
          <w:highlight w:val="none"/>
          <w:lang w:val="en-US" w:eastAsia="zh-CN"/>
        </w:rPr>
        <w:t>均须满足可直接接触食品用途，严格执行国家食品安全标准，且</w:t>
      </w:r>
      <w:r>
        <w:rPr>
          <w:rFonts w:hint="eastAsia" w:ascii="宋体" w:hAnsi="宋体" w:eastAsia="宋体" w:cs="宋体"/>
          <w:i w:val="0"/>
          <w:iCs w:val="0"/>
          <w:color w:val="auto"/>
          <w:kern w:val="0"/>
          <w:sz w:val="24"/>
          <w:szCs w:val="24"/>
          <w:highlight w:val="none"/>
          <w:u w:val="none"/>
          <w:lang w:val="en-US" w:eastAsia="zh-CN" w:bidi="ar"/>
        </w:rPr>
        <w:t>符合国管办发〔2021〕4号中《公共机构停止使用不可降解一次性塑料制品名录（第一批）》</w:t>
      </w:r>
      <w:r>
        <w:rPr>
          <w:rFonts w:hint="eastAsia" w:ascii="宋体" w:hAnsi="宋体" w:eastAsia="宋体" w:cs="宋体"/>
          <w:i w:val="0"/>
          <w:iCs/>
          <w:color w:val="auto"/>
          <w:kern w:val="2"/>
          <w:sz w:val="24"/>
          <w:szCs w:val="24"/>
          <w:highlight w:val="none"/>
        </w:rPr>
        <w:t>的规定</w:t>
      </w:r>
      <w:r>
        <w:rPr>
          <w:rFonts w:hint="eastAsia" w:ascii="宋体" w:hAnsi="宋体" w:eastAsia="宋体" w:cs="宋体"/>
          <w:i w:val="0"/>
          <w:iCs w:val="0"/>
          <w:color w:val="auto"/>
          <w:kern w:val="0"/>
          <w:sz w:val="24"/>
          <w:szCs w:val="24"/>
          <w:highlight w:val="none"/>
          <w:u w:val="none"/>
          <w:lang w:val="en-US" w:eastAsia="zh-CN" w:bidi="ar"/>
        </w:rPr>
        <w:t>，不在其停止使用名单内。</w:t>
      </w:r>
    </w:p>
    <w:p w14:paraId="4D3B1E05">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进场前需提供以下详细的资料：接场计划书、个人卫生标准、环境卫生标准、各岗位工作安排表、各岗位职责、各岗位作业指导书、关键岗位考核表、应急预案。应急预案应包含针对重大疫情应急预案、恶劣天气（如台风）、停水停电停气、就餐人数临时变动、突发就餐、顾客重大投诉、疑似食品安全卫生事故等方面内容。</w:t>
      </w:r>
    </w:p>
    <w:p w14:paraId="5974FACC">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需每个季度更换一次宣传栏的内容。宣传有关的硬件投入由</w:t>
      </w:r>
      <w:r>
        <w:rPr>
          <w:rFonts w:hint="eastAsia" w:ascii="新宋体" w:hAnsi="新宋体" w:eastAsia="新宋体" w:cs="新宋体"/>
          <w:color w:val="auto"/>
          <w:spacing w:val="13"/>
          <w:sz w:val="24"/>
          <w:szCs w:val="24"/>
          <w:highlight w:val="none"/>
          <w:lang w:eastAsia="zh-CN"/>
        </w:rPr>
        <w:t>招租方</w:t>
      </w:r>
      <w:r>
        <w:rPr>
          <w:rFonts w:hint="eastAsia" w:ascii="新宋体" w:hAnsi="新宋体" w:eastAsia="新宋体" w:cs="新宋体"/>
          <w:color w:val="auto"/>
          <w:spacing w:val="13"/>
          <w:sz w:val="24"/>
          <w:szCs w:val="24"/>
          <w:highlight w:val="none"/>
        </w:rPr>
        <w:t>承担，宣传栏内定期更换的资料或网络宣传资料的设计、印刷及相关费用由</w:t>
      </w: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承担。</w:t>
      </w:r>
    </w:p>
    <w:p w14:paraId="5CC2E3B6">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负责对餐厅进行环境布置，所产生的费用由</w:t>
      </w: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支出，包括用餐宣传的布置、节日氛围的烘托布置、美食活动的场地布置等。</w:t>
      </w:r>
    </w:p>
    <w:p w14:paraId="39AB9E6D">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需每月进行职工餐与病人餐的就餐满意度调查（就餐满意度调查由</w:t>
      </w: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起草，由</w:t>
      </w:r>
      <w:r>
        <w:rPr>
          <w:rFonts w:hint="eastAsia" w:ascii="新宋体" w:hAnsi="新宋体" w:eastAsia="新宋体" w:cs="新宋体"/>
          <w:color w:val="auto"/>
          <w:spacing w:val="13"/>
          <w:sz w:val="24"/>
          <w:szCs w:val="24"/>
          <w:highlight w:val="none"/>
          <w:lang w:eastAsia="zh-CN"/>
        </w:rPr>
        <w:t>招租方</w:t>
      </w:r>
      <w:r>
        <w:rPr>
          <w:rFonts w:hint="eastAsia" w:ascii="新宋体" w:hAnsi="新宋体" w:eastAsia="新宋体" w:cs="新宋体"/>
          <w:color w:val="auto"/>
          <w:spacing w:val="13"/>
          <w:sz w:val="24"/>
          <w:szCs w:val="24"/>
          <w:highlight w:val="none"/>
        </w:rPr>
        <w:t>核定后发布调查），可采用纸质版、网络版、手机软件等方式，满意度调查结果应按实反馈给</w:t>
      </w:r>
      <w:r>
        <w:rPr>
          <w:rFonts w:hint="eastAsia" w:ascii="新宋体" w:hAnsi="新宋体" w:eastAsia="新宋体" w:cs="新宋体"/>
          <w:color w:val="auto"/>
          <w:spacing w:val="13"/>
          <w:sz w:val="24"/>
          <w:szCs w:val="24"/>
          <w:highlight w:val="none"/>
          <w:lang w:eastAsia="zh-CN"/>
        </w:rPr>
        <w:t>招租方</w:t>
      </w:r>
      <w:r>
        <w:rPr>
          <w:rFonts w:hint="eastAsia" w:ascii="新宋体" w:hAnsi="新宋体" w:eastAsia="新宋体" w:cs="新宋体"/>
          <w:color w:val="auto"/>
          <w:spacing w:val="13"/>
          <w:sz w:val="24"/>
          <w:szCs w:val="24"/>
          <w:highlight w:val="none"/>
        </w:rPr>
        <w:t>。</w:t>
      </w:r>
    </w:p>
    <w:p w14:paraId="23CFA8D1">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应保证采用符合《中华人民共和国食品安全法》及相关餐饮行业的相关规定的食材制作病人餐，应尽量采用新鲜食材，少用冷冻品。</w:t>
      </w:r>
      <w:r>
        <w:rPr>
          <w:rFonts w:hint="eastAsia" w:ascii="新宋体" w:hAnsi="新宋体" w:eastAsia="新宋体" w:cs="新宋体"/>
          <w:color w:val="auto"/>
          <w:spacing w:val="13"/>
          <w:sz w:val="24"/>
          <w:szCs w:val="24"/>
          <w:highlight w:val="none"/>
          <w:lang w:eastAsia="zh-CN"/>
        </w:rPr>
        <w:t>招租方</w:t>
      </w:r>
      <w:r>
        <w:rPr>
          <w:rFonts w:hint="eastAsia" w:ascii="新宋体" w:hAnsi="新宋体" w:eastAsia="新宋体" w:cs="新宋体"/>
          <w:color w:val="auto"/>
          <w:spacing w:val="13"/>
          <w:sz w:val="24"/>
          <w:szCs w:val="24"/>
          <w:highlight w:val="none"/>
        </w:rPr>
        <w:t>有权不定期到</w:t>
      </w: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的病人餐烹饪厨房巡查，并有权查阅制作病人餐的食材来源资料及相关进货凭证。</w:t>
      </w:r>
    </w:p>
    <w:p w14:paraId="0ABD3AA0">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应保证病人餐的出品质量，菜单每月变动一次，提交</w:t>
      </w:r>
      <w:r>
        <w:rPr>
          <w:rFonts w:hint="eastAsia" w:ascii="新宋体" w:hAnsi="新宋体" w:eastAsia="新宋体" w:cs="新宋体"/>
          <w:color w:val="auto"/>
          <w:spacing w:val="13"/>
          <w:sz w:val="24"/>
          <w:szCs w:val="24"/>
          <w:highlight w:val="none"/>
          <w:lang w:eastAsia="zh-CN"/>
        </w:rPr>
        <w:t>招租方</w:t>
      </w:r>
      <w:r>
        <w:rPr>
          <w:rFonts w:hint="eastAsia" w:ascii="新宋体" w:hAnsi="新宋体" w:eastAsia="新宋体" w:cs="新宋体"/>
          <w:color w:val="auto"/>
          <w:spacing w:val="13"/>
          <w:sz w:val="24"/>
          <w:szCs w:val="24"/>
          <w:highlight w:val="none"/>
        </w:rPr>
        <w:t>审核后方可执行。菜式搭配绿色健康，需提供重口味、淡口味、蒸菜、蒸蛋、辣菜、炒菜等供选择，且每餐均需提供流质、半流质、糖尿病饮食（低糖/无糖）、无盐餐、无碘盐餐、高蛋白质餐等特殊餐饮需求服务（特殊餐饮服务根据</w:t>
      </w:r>
      <w:r>
        <w:rPr>
          <w:rFonts w:hint="eastAsia" w:ascii="新宋体" w:hAnsi="新宋体" w:eastAsia="新宋体" w:cs="新宋体"/>
          <w:color w:val="auto"/>
          <w:spacing w:val="13"/>
          <w:sz w:val="24"/>
          <w:szCs w:val="24"/>
          <w:highlight w:val="none"/>
          <w:lang w:eastAsia="zh-CN"/>
        </w:rPr>
        <w:t>招租方</w:t>
      </w:r>
      <w:r>
        <w:rPr>
          <w:rFonts w:hint="eastAsia" w:ascii="新宋体" w:hAnsi="新宋体" w:eastAsia="新宋体" w:cs="新宋体"/>
          <w:color w:val="auto"/>
          <w:spacing w:val="13"/>
          <w:sz w:val="24"/>
          <w:szCs w:val="24"/>
          <w:highlight w:val="none"/>
        </w:rPr>
        <w:t>临床患者的需求变动而变动）。</w:t>
      </w:r>
    </w:p>
    <w:p w14:paraId="74A9E7D4">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应保证病人餐的配送规范应符合《中华人民共和国食品安全法》及相关餐饮行业的相关规定。应使用专用的保温设备运输病人餐，并保证送达时食品的表面温度不低于 40℃。运输与配送期间应做足有效措施的预防食物受污物或环境的污染。</w:t>
      </w:r>
    </w:p>
    <w:p w14:paraId="53FCEC05">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需为后厨建立4D厨房及SOP操作规范，要求其具有安全管理规范的编制经验。</w:t>
      </w:r>
    </w:p>
    <w:p w14:paraId="312E82C0">
      <w:pPr>
        <w:pStyle w:val="4"/>
        <w:keepNext w:val="0"/>
        <w:keepLines w:val="0"/>
        <w:pageBreakBefore w:val="0"/>
        <w:widowControl/>
        <w:numPr>
          <w:ilvl w:val="0"/>
          <w:numId w:val="15"/>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每月对</w:t>
      </w:r>
      <w:r>
        <w:rPr>
          <w:rFonts w:hint="eastAsia" w:ascii="新宋体" w:hAnsi="新宋体" w:eastAsia="新宋体" w:cs="新宋体"/>
          <w:color w:val="auto"/>
          <w:spacing w:val="13"/>
          <w:sz w:val="24"/>
          <w:szCs w:val="24"/>
          <w:highlight w:val="none"/>
          <w:lang w:eastAsia="zh-CN"/>
        </w:rPr>
        <w:t>招租方</w:t>
      </w:r>
      <w:r>
        <w:rPr>
          <w:rFonts w:hint="eastAsia" w:ascii="新宋体" w:hAnsi="新宋体" w:eastAsia="新宋体" w:cs="新宋体"/>
          <w:color w:val="auto"/>
          <w:spacing w:val="13"/>
          <w:sz w:val="24"/>
          <w:szCs w:val="24"/>
          <w:highlight w:val="none"/>
        </w:rPr>
        <w:t>职工餐及病人餐生料食材抽检 5-10 个品类，安排到</w:t>
      </w:r>
      <w:r>
        <w:rPr>
          <w:rFonts w:hint="eastAsia" w:ascii="新宋体" w:hAnsi="新宋体" w:eastAsia="新宋体" w:cs="新宋体"/>
          <w:color w:val="auto"/>
          <w:spacing w:val="13"/>
          <w:sz w:val="24"/>
          <w:szCs w:val="24"/>
          <w:highlight w:val="none"/>
          <w:lang w:eastAsia="zh-CN"/>
        </w:rPr>
        <w:t>承租方</w:t>
      </w:r>
      <w:r>
        <w:rPr>
          <w:rFonts w:hint="eastAsia" w:ascii="新宋体" w:hAnsi="新宋体" w:eastAsia="新宋体" w:cs="新宋体"/>
          <w:color w:val="auto"/>
          <w:spacing w:val="13"/>
          <w:sz w:val="24"/>
          <w:szCs w:val="24"/>
          <w:highlight w:val="none"/>
        </w:rPr>
        <w:t>的实验室进行相关检测；</w:t>
      </w:r>
    </w:p>
    <w:p w14:paraId="5FF46989">
      <w:pPr>
        <w:keepNext w:val="0"/>
        <w:keepLines w:val="0"/>
        <w:pageBreakBefore w:val="0"/>
        <w:widowControl/>
        <w:numPr>
          <w:ilvl w:val="0"/>
          <w:numId w:val="1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b/>
          <w:bCs/>
          <w:color w:val="auto"/>
          <w:spacing w:val="13"/>
          <w:sz w:val="24"/>
          <w:szCs w:val="24"/>
          <w:highlight w:val="none"/>
        </w:rPr>
      </w:pPr>
      <w:r>
        <w:rPr>
          <w:rFonts w:hint="eastAsia" w:ascii="新宋体" w:hAnsi="新宋体" w:eastAsia="新宋体" w:cs="新宋体"/>
          <w:b/>
          <w:bCs/>
          <w:color w:val="auto"/>
          <w:spacing w:val="13"/>
          <w:sz w:val="24"/>
          <w:szCs w:val="24"/>
          <w:highlight w:val="none"/>
          <w:lang w:val="en-US" w:eastAsia="zh-CN"/>
        </w:rPr>
        <w:t>AI智慧</w:t>
      </w:r>
      <w:r>
        <w:rPr>
          <w:rFonts w:hint="eastAsia" w:ascii="新宋体" w:hAnsi="新宋体" w:eastAsia="新宋体" w:cs="新宋体"/>
          <w:b/>
          <w:bCs/>
          <w:color w:val="auto"/>
          <w:spacing w:val="13"/>
          <w:sz w:val="24"/>
          <w:szCs w:val="24"/>
          <w:highlight w:val="none"/>
        </w:rPr>
        <w:t>餐饮</w:t>
      </w:r>
      <w:r>
        <w:rPr>
          <w:rFonts w:hint="eastAsia" w:ascii="新宋体" w:hAnsi="新宋体" w:eastAsia="新宋体" w:cs="新宋体"/>
          <w:b/>
          <w:bCs/>
          <w:color w:val="auto"/>
          <w:spacing w:val="13"/>
          <w:sz w:val="24"/>
          <w:szCs w:val="24"/>
          <w:highlight w:val="none"/>
          <w:lang w:val="en-US" w:eastAsia="zh-CN"/>
        </w:rPr>
        <w:t>系统</w:t>
      </w:r>
      <w:r>
        <w:rPr>
          <w:rFonts w:hint="eastAsia" w:ascii="新宋体" w:hAnsi="新宋体" w:eastAsia="新宋体" w:cs="新宋体"/>
          <w:b/>
          <w:bCs/>
          <w:color w:val="auto"/>
          <w:spacing w:val="13"/>
          <w:sz w:val="24"/>
          <w:szCs w:val="24"/>
          <w:highlight w:val="none"/>
        </w:rPr>
        <w:t>服务能力</w:t>
      </w:r>
    </w:p>
    <w:p w14:paraId="2CC1B32C">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3"/>
          <w:sz w:val="24"/>
          <w:szCs w:val="24"/>
          <w:highlight w:val="none"/>
        </w:rPr>
      </w:pPr>
      <w:r>
        <w:rPr>
          <w:rFonts w:hint="eastAsia" w:ascii="新宋体" w:hAnsi="新宋体" w:eastAsia="新宋体" w:cs="新宋体"/>
          <w:color w:val="auto"/>
          <w:spacing w:val="13"/>
          <w:sz w:val="24"/>
          <w:szCs w:val="24"/>
          <w:highlight w:val="none"/>
        </w:rPr>
        <w:t xml:space="preserve">(1) </w:t>
      </w:r>
      <w:r>
        <w:rPr>
          <w:rFonts w:hint="eastAsia" w:ascii="新宋体" w:hAnsi="新宋体" w:eastAsia="新宋体" w:cs="新宋体"/>
          <w:color w:val="auto"/>
          <w:spacing w:val="13"/>
          <w:sz w:val="24"/>
          <w:szCs w:val="24"/>
          <w:highlight w:val="none"/>
          <w:lang w:val="en-US" w:eastAsia="zh-CN"/>
        </w:rPr>
        <w:t>承租方</w:t>
      </w:r>
      <w:r>
        <w:rPr>
          <w:rFonts w:hint="eastAsia" w:ascii="新宋体" w:hAnsi="新宋体" w:eastAsia="新宋体" w:cs="新宋体"/>
          <w:color w:val="auto"/>
          <w:spacing w:val="13"/>
          <w:sz w:val="24"/>
          <w:szCs w:val="24"/>
          <w:highlight w:val="none"/>
        </w:rPr>
        <w:t>需负责建设和使用必要的信息系统支撑服务，包括但不限于为</w:t>
      </w:r>
      <w:r>
        <w:rPr>
          <w:rFonts w:hint="eastAsia" w:ascii="新宋体" w:hAnsi="新宋体" w:eastAsia="新宋体" w:cs="新宋体"/>
          <w:color w:val="auto"/>
          <w:spacing w:val="13"/>
          <w:sz w:val="24"/>
          <w:szCs w:val="24"/>
          <w:highlight w:val="none"/>
          <w:lang w:val="en-US" w:eastAsia="zh-CN"/>
        </w:rPr>
        <w:t>职工餐和</w:t>
      </w:r>
      <w:r>
        <w:rPr>
          <w:rFonts w:hint="eastAsia" w:ascii="新宋体" w:hAnsi="新宋体" w:eastAsia="新宋体" w:cs="新宋体"/>
          <w:color w:val="auto"/>
          <w:spacing w:val="13"/>
          <w:sz w:val="24"/>
          <w:szCs w:val="24"/>
          <w:highlight w:val="none"/>
        </w:rPr>
        <w:t>病人餐服务提供的点餐系统、线上微商城系统、安全检查系统、农产品质量安全追溯系统</w:t>
      </w:r>
      <w:r>
        <w:rPr>
          <w:rFonts w:hint="eastAsia" w:ascii="新宋体" w:hAnsi="新宋体" w:eastAsia="新宋体" w:cs="新宋体"/>
          <w:color w:val="auto"/>
          <w:spacing w:val="13"/>
          <w:sz w:val="24"/>
          <w:szCs w:val="24"/>
          <w:highlight w:val="none"/>
          <w:lang w:eastAsia="zh-CN"/>
        </w:rPr>
        <w:t>，</w:t>
      </w:r>
      <w:r>
        <w:rPr>
          <w:rFonts w:hint="eastAsia" w:ascii="新宋体" w:hAnsi="新宋体" w:eastAsia="新宋体" w:cs="新宋体"/>
          <w:color w:val="auto"/>
          <w:spacing w:val="13"/>
          <w:sz w:val="24"/>
          <w:szCs w:val="24"/>
          <w:highlight w:val="none"/>
          <w:lang w:val="en-US" w:eastAsia="zh-CN"/>
        </w:rPr>
        <w:t>职工个性化健康管理系统</w:t>
      </w:r>
      <w:r>
        <w:rPr>
          <w:rFonts w:hint="eastAsia" w:ascii="新宋体" w:hAnsi="新宋体" w:eastAsia="新宋体" w:cs="新宋体"/>
          <w:color w:val="auto"/>
          <w:spacing w:val="13"/>
          <w:sz w:val="24"/>
          <w:szCs w:val="24"/>
          <w:highlight w:val="none"/>
        </w:rPr>
        <w:t>。</w:t>
      </w:r>
    </w:p>
    <w:p w14:paraId="34A80FB1">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13"/>
          <w:sz w:val="24"/>
          <w:szCs w:val="24"/>
          <w:highlight w:val="none"/>
          <w:lang w:eastAsia="zh-CN"/>
        </w:rPr>
      </w:pPr>
      <w:r>
        <w:rPr>
          <w:rFonts w:hint="eastAsia" w:ascii="新宋体" w:hAnsi="新宋体" w:eastAsia="新宋体" w:cs="新宋体"/>
          <w:color w:val="auto"/>
          <w:spacing w:val="13"/>
          <w:sz w:val="24"/>
          <w:szCs w:val="24"/>
          <w:highlight w:val="none"/>
        </w:rPr>
        <w:t xml:space="preserve">(2) </w:t>
      </w:r>
      <w:r>
        <w:rPr>
          <w:rFonts w:hint="eastAsia" w:ascii="新宋体" w:hAnsi="新宋体" w:eastAsia="新宋体" w:cs="新宋体"/>
          <w:color w:val="auto"/>
          <w:spacing w:val="13"/>
          <w:sz w:val="24"/>
          <w:szCs w:val="24"/>
          <w:highlight w:val="none"/>
          <w:lang w:val="en-US" w:eastAsia="zh-CN"/>
        </w:rPr>
        <w:t>承租方</w:t>
      </w:r>
      <w:r>
        <w:rPr>
          <w:rFonts w:hint="eastAsia" w:ascii="新宋体" w:hAnsi="新宋体" w:eastAsia="新宋体" w:cs="新宋体"/>
          <w:color w:val="auto"/>
          <w:spacing w:val="13"/>
          <w:sz w:val="24"/>
          <w:szCs w:val="24"/>
          <w:highlight w:val="none"/>
        </w:rPr>
        <w:t>需配置智慧餐厅</w:t>
      </w:r>
      <w:r>
        <w:rPr>
          <w:rFonts w:hint="eastAsia" w:ascii="新宋体" w:hAnsi="新宋体" w:eastAsia="新宋体" w:cs="新宋体"/>
          <w:color w:val="auto"/>
          <w:spacing w:val="13"/>
          <w:sz w:val="24"/>
          <w:szCs w:val="24"/>
          <w:highlight w:val="none"/>
          <w:lang w:val="en-US" w:eastAsia="zh-CN"/>
        </w:rPr>
        <w:t>结算</w:t>
      </w:r>
      <w:r>
        <w:rPr>
          <w:rFonts w:hint="eastAsia" w:ascii="新宋体" w:hAnsi="新宋体" w:eastAsia="新宋体" w:cs="新宋体"/>
          <w:color w:val="auto"/>
          <w:spacing w:val="13"/>
          <w:sz w:val="24"/>
          <w:szCs w:val="24"/>
          <w:highlight w:val="none"/>
        </w:rPr>
        <w:t>系统与</w:t>
      </w:r>
      <w:r>
        <w:rPr>
          <w:rFonts w:hint="eastAsia" w:ascii="新宋体" w:hAnsi="新宋体" w:eastAsia="新宋体" w:cs="新宋体"/>
          <w:color w:val="auto"/>
          <w:spacing w:val="13"/>
          <w:sz w:val="24"/>
          <w:szCs w:val="24"/>
          <w:highlight w:val="none"/>
          <w:lang w:eastAsia="zh-CN"/>
        </w:rPr>
        <w:t>招租方</w:t>
      </w:r>
      <w:r>
        <w:rPr>
          <w:rFonts w:hint="eastAsia" w:ascii="新宋体" w:hAnsi="新宋体" w:eastAsia="新宋体" w:cs="新宋体"/>
          <w:color w:val="auto"/>
          <w:spacing w:val="13"/>
          <w:sz w:val="24"/>
          <w:szCs w:val="24"/>
          <w:highlight w:val="none"/>
        </w:rPr>
        <w:t>职工饭卡对接，</w:t>
      </w:r>
      <w:r>
        <w:rPr>
          <w:rFonts w:hint="eastAsia" w:ascii="新宋体" w:hAnsi="新宋体" w:eastAsia="新宋体" w:cs="新宋体"/>
          <w:color w:val="auto"/>
          <w:spacing w:val="13"/>
          <w:sz w:val="24"/>
          <w:szCs w:val="24"/>
          <w:highlight w:val="none"/>
          <w:lang w:val="en-US" w:eastAsia="zh-CN"/>
        </w:rPr>
        <w:t>同时</w:t>
      </w:r>
      <w:r>
        <w:rPr>
          <w:rFonts w:hint="eastAsia" w:ascii="新宋体" w:hAnsi="新宋体" w:eastAsia="新宋体" w:cs="新宋体"/>
          <w:color w:val="auto"/>
          <w:spacing w:val="13"/>
          <w:sz w:val="24"/>
          <w:szCs w:val="24"/>
          <w:highlight w:val="none"/>
        </w:rPr>
        <w:t>需提供智慧餐厅所需的配套软件系统及设备，合同期满后软件系统及硬件设备归</w:t>
      </w:r>
      <w:r>
        <w:rPr>
          <w:rFonts w:hint="eastAsia" w:ascii="新宋体" w:hAnsi="新宋体" w:eastAsia="新宋体" w:cs="新宋体"/>
          <w:color w:val="auto"/>
          <w:spacing w:val="13"/>
          <w:sz w:val="24"/>
          <w:szCs w:val="24"/>
          <w:highlight w:val="none"/>
          <w:lang w:val="en-US" w:eastAsia="zh-CN"/>
        </w:rPr>
        <w:t>承</w:t>
      </w:r>
      <w:r>
        <w:rPr>
          <w:rFonts w:hint="eastAsia" w:ascii="新宋体" w:hAnsi="新宋体" w:eastAsia="新宋体" w:cs="新宋体"/>
          <w:color w:val="auto"/>
          <w:spacing w:val="13"/>
          <w:sz w:val="24"/>
          <w:szCs w:val="24"/>
          <w:highlight w:val="none"/>
          <w:lang w:eastAsia="zh-CN"/>
        </w:rPr>
        <w:t>租方</w:t>
      </w:r>
      <w:r>
        <w:rPr>
          <w:rFonts w:hint="eastAsia" w:ascii="新宋体" w:hAnsi="新宋体" w:eastAsia="新宋体" w:cs="新宋体"/>
          <w:color w:val="auto"/>
          <w:spacing w:val="13"/>
          <w:sz w:val="24"/>
          <w:szCs w:val="24"/>
          <w:highlight w:val="none"/>
        </w:rPr>
        <w:t>所有</w:t>
      </w:r>
      <w:r>
        <w:rPr>
          <w:rFonts w:hint="eastAsia" w:ascii="新宋体" w:hAnsi="新宋体" w:eastAsia="新宋体" w:cs="新宋体"/>
          <w:color w:val="auto"/>
          <w:spacing w:val="13"/>
          <w:sz w:val="24"/>
          <w:szCs w:val="24"/>
          <w:highlight w:val="none"/>
          <w:lang w:eastAsia="zh-CN"/>
        </w:rPr>
        <w:t>。</w:t>
      </w:r>
    </w:p>
    <w:p w14:paraId="1079FF2E">
      <w:pPr>
        <w:keepNext w:val="0"/>
        <w:keepLines w:val="0"/>
        <w:pageBreakBefore w:val="0"/>
        <w:widowControl/>
        <w:numPr>
          <w:ilvl w:val="0"/>
          <w:numId w:val="1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47"/>
          <w:sz w:val="24"/>
          <w:szCs w:val="24"/>
          <w:highlight w:val="none"/>
        </w:rPr>
        <w:t xml:space="preserve"> </w:t>
      </w:r>
      <w:r>
        <w:rPr>
          <w:rFonts w:ascii="宋体" w:hAnsi="宋体" w:eastAsia="宋体" w:cs="宋体"/>
          <w:b/>
          <w:bCs/>
          <w:color w:val="auto"/>
          <w:spacing w:val="-4"/>
          <w:sz w:val="24"/>
          <w:szCs w:val="24"/>
          <w:highlight w:val="none"/>
        </w:rPr>
        <w:t>其他要求</w:t>
      </w:r>
    </w:p>
    <w:p w14:paraId="7AA9EC88">
      <w:pPr>
        <w:keepNext w:val="0"/>
        <w:keepLines w:val="0"/>
        <w:pageBreakBefore w:val="0"/>
        <w:widowControl/>
        <w:numPr>
          <w:ilvl w:val="0"/>
          <w:numId w:val="16"/>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未经</w:t>
      </w:r>
      <w:r>
        <w:rPr>
          <w:rFonts w:hint="eastAsia" w:ascii="宋体" w:hAnsi="宋体" w:eastAsia="宋体" w:cs="宋体"/>
          <w:color w:val="auto"/>
          <w:spacing w:val="-3"/>
          <w:sz w:val="24"/>
          <w:szCs w:val="24"/>
          <w:highlight w:val="none"/>
          <w:lang w:eastAsia="zh-CN"/>
        </w:rPr>
        <w:t>招租方</w:t>
      </w:r>
      <w:r>
        <w:rPr>
          <w:rFonts w:ascii="宋体" w:hAnsi="宋体" w:eastAsia="宋体" w:cs="宋体"/>
          <w:color w:val="auto"/>
          <w:spacing w:val="-3"/>
          <w:sz w:val="24"/>
          <w:szCs w:val="24"/>
          <w:highlight w:val="none"/>
        </w:rPr>
        <w:t>同意，不得对外经营及对未经批准的人员提供餐饮服务。</w:t>
      </w:r>
    </w:p>
    <w:p w14:paraId="5E39CADC">
      <w:pPr>
        <w:keepNext w:val="0"/>
        <w:keepLines w:val="0"/>
        <w:pageBreakBefore w:val="0"/>
        <w:widowControl/>
        <w:numPr>
          <w:ilvl w:val="0"/>
          <w:numId w:val="16"/>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 xml:space="preserve"> 在本项目执行期间，</w:t>
      </w:r>
      <w:r>
        <w:rPr>
          <w:rFonts w:hint="eastAsia" w:ascii="宋体" w:hAnsi="宋体" w:eastAsia="宋体" w:cs="宋体"/>
          <w:color w:val="auto"/>
          <w:spacing w:val="-4"/>
          <w:sz w:val="24"/>
          <w:szCs w:val="24"/>
          <w:highlight w:val="none"/>
          <w:lang w:eastAsia="zh-CN"/>
        </w:rPr>
        <w:t>招租方</w:t>
      </w:r>
      <w:r>
        <w:rPr>
          <w:rFonts w:ascii="宋体" w:hAnsi="宋体" w:eastAsia="宋体" w:cs="宋体"/>
          <w:color w:val="auto"/>
          <w:spacing w:val="-4"/>
          <w:sz w:val="24"/>
          <w:szCs w:val="24"/>
          <w:highlight w:val="none"/>
        </w:rPr>
        <w:t>需要对现有或新建餐厅进行全面的功能设计或空</w:t>
      </w:r>
      <w:r>
        <w:rPr>
          <w:rFonts w:ascii="宋体" w:hAnsi="宋体" w:eastAsia="宋体" w:cs="宋体"/>
          <w:color w:val="auto"/>
          <w:spacing w:val="-5"/>
          <w:sz w:val="24"/>
          <w:szCs w:val="24"/>
          <w:highlight w:val="none"/>
        </w:rPr>
        <w:t>间重组。这</w:t>
      </w:r>
      <w:r>
        <w:rPr>
          <w:rFonts w:ascii="宋体" w:hAnsi="宋体" w:eastAsia="宋体" w:cs="宋体"/>
          <w:color w:val="auto"/>
          <w:spacing w:val="-1"/>
          <w:sz w:val="24"/>
          <w:szCs w:val="24"/>
          <w:highlight w:val="none"/>
        </w:rPr>
        <w:t>包括但不限于就餐区、烹饪区、备餐区、仓储区、办公区、洗消区等核心功能区域的平面规划与</w:t>
      </w:r>
      <w:r>
        <w:rPr>
          <w:rFonts w:ascii="宋体" w:hAnsi="宋体" w:eastAsia="宋体" w:cs="宋体"/>
          <w:color w:val="auto"/>
          <w:spacing w:val="-2"/>
          <w:sz w:val="24"/>
          <w:szCs w:val="24"/>
          <w:highlight w:val="none"/>
        </w:rPr>
        <w:t>布局设计。</w:t>
      </w:r>
      <w:r>
        <w:rPr>
          <w:rFonts w:hint="eastAsia" w:ascii="宋体" w:hAnsi="宋体" w:eastAsia="宋体" w:cs="宋体"/>
          <w:color w:val="auto"/>
          <w:spacing w:val="-2"/>
          <w:sz w:val="24"/>
          <w:szCs w:val="24"/>
          <w:highlight w:val="none"/>
          <w:lang w:eastAsia="zh-CN"/>
        </w:rPr>
        <w:t>承租方</w:t>
      </w:r>
      <w:r>
        <w:rPr>
          <w:rFonts w:ascii="宋体" w:hAnsi="宋体" w:eastAsia="宋体" w:cs="宋体"/>
          <w:color w:val="auto"/>
          <w:spacing w:val="-2"/>
          <w:sz w:val="24"/>
          <w:szCs w:val="24"/>
          <w:highlight w:val="none"/>
        </w:rPr>
        <w:t>需具备丰富的餐饮空间设计经验，能够协助</w:t>
      </w:r>
      <w:r>
        <w:rPr>
          <w:rFonts w:hint="eastAsia" w:ascii="宋体" w:hAnsi="宋体" w:eastAsia="宋体" w:cs="宋体"/>
          <w:color w:val="auto"/>
          <w:spacing w:val="-2"/>
          <w:sz w:val="24"/>
          <w:szCs w:val="24"/>
          <w:highlight w:val="none"/>
          <w:lang w:eastAsia="zh-CN"/>
        </w:rPr>
        <w:t>招租方</w:t>
      </w:r>
      <w:r>
        <w:rPr>
          <w:rFonts w:ascii="宋体" w:hAnsi="宋体" w:eastAsia="宋体" w:cs="宋体"/>
          <w:color w:val="auto"/>
          <w:spacing w:val="-2"/>
          <w:sz w:val="24"/>
          <w:szCs w:val="24"/>
          <w:highlight w:val="none"/>
        </w:rPr>
        <w:t>完成以下工作：</w:t>
      </w:r>
    </w:p>
    <w:p w14:paraId="2D697B4C">
      <w:pPr>
        <w:keepNext w:val="0"/>
        <w:keepLines w:val="0"/>
        <w:pageBreakBefore w:val="0"/>
        <w:widowControl/>
        <w:numPr>
          <w:ilvl w:val="0"/>
          <w:numId w:val="1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57"/>
          <w:sz w:val="24"/>
          <w:szCs w:val="24"/>
          <w:highlight w:val="none"/>
        </w:rPr>
        <w:t xml:space="preserve"> </w:t>
      </w:r>
      <w:r>
        <w:rPr>
          <w:rFonts w:ascii="宋体" w:hAnsi="宋体" w:eastAsia="宋体" w:cs="宋体"/>
          <w:color w:val="auto"/>
          <w:spacing w:val="-2"/>
          <w:sz w:val="24"/>
          <w:szCs w:val="24"/>
          <w:highlight w:val="none"/>
        </w:rPr>
        <w:t>进行详细的需求分析和现场勘察，评估现有空间利用效率和潜在改进点。</w:t>
      </w:r>
    </w:p>
    <w:p w14:paraId="20F925CC">
      <w:pPr>
        <w:keepNext w:val="0"/>
        <w:keepLines w:val="0"/>
        <w:pageBreakBefore w:val="0"/>
        <w:widowControl/>
        <w:numPr>
          <w:ilvl w:val="0"/>
          <w:numId w:val="1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50"/>
          <w:sz w:val="24"/>
          <w:szCs w:val="24"/>
          <w:highlight w:val="none"/>
        </w:rPr>
        <w:t xml:space="preserve"> </w:t>
      </w:r>
      <w:r>
        <w:rPr>
          <w:rFonts w:ascii="宋体" w:hAnsi="宋体" w:eastAsia="宋体" w:cs="宋体"/>
          <w:color w:val="auto"/>
          <w:spacing w:val="-3"/>
          <w:sz w:val="24"/>
          <w:szCs w:val="24"/>
          <w:highlight w:val="none"/>
        </w:rPr>
        <w:t>根据</w:t>
      </w:r>
      <w:r>
        <w:rPr>
          <w:rFonts w:hint="eastAsia" w:ascii="宋体" w:hAnsi="宋体" w:eastAsia="宋体" w:cs="宋体"/>
          <w:color w:val="auto"/>
          <w:spacing w:val="-3"/>
          <w:sz w:val="24"/>
          <w:szCs w:val="24"/>
          <w:highlight w:val="none"/>
          <w:lang w:eastAsia="zh-CN"/>
        </w:rPr>
        <w:t>招租方</w:t>
      </w:r>
      <w:r>
        <w:rPr>
          <w:rFonts w:ascii="宋体" w:hAnsi="宋体" w:eastAsia="宋体" w:cs="宋体"/>
          <w:color w:val="auto"/>
          <w:spacing w:val="-3"/>
          <w:sz w:val="24"/>
          <w:szCs w:val="24"/>
          <w:highlight w:val="none"/>
        </w:rPr>
        <w:t>的具体需求和预期用餐人数，提供科学合理的功能分区方案</w:t>
      </w:r>
      <w:r>
        <w:rPr>
          <w:rFonts w:ascii="宋体" w:hAnsi="宋体" w:eastAsia="宋体" w:cs="宋体"/>
          <w:color w:val="auto"/>
          <w:spacing w:val="-4"/>
          <w:sz w:val="24"/>
          <w:szCs w:val="24"/>
          <w:highlight w:val="none"/>
        </w:rPr>
        <w:t>，确保各区域之间的流线顺畅和空间利用最优化。</w:t>
      </w:r>
    </w:p>
    <w:p w14:paraId="043909B3">
      <w:pPr>
        <w:keepNext w:val="0"/>
        <w:keepLines w:val="0"/>
        <w:pageBreakBefore w:val="0"/>
        <w:widowControl/>
        <w:numPr>
          <w:ilvl w:val="0"/>
          <w:numId w:val="1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52"/>
          <w:sz w:val="24"/>
          <w:szCs w:val="24"/>
          <w:highlight w:val="none"/>
        </w:rPr>
        <w:t xml:space="preserve"> </w:t>
      </w:r>
      <w:r>
        <w:rPr>
          <w:rFonts w:ascii="宋体" w:hAnsi="宋体" w:eastAsia="宋体" w:cs="宋体"/>
          <w:color w:val="auto"/>
          <w:spacing w:val="-3"/>
          <w:sz w:val="24"/>
          <w:szCs w:val="24"/>
          <w:highlight w:val="none"/>
        </w:rPr>
        <w:t>设计符合食品安全标准的食材处理流程和动线，包括收货、存</w:t>
      </w:r>
      <w:r>
        <w:rPr>
          <w:rFonts w:ascii="宋体" w:hAnsi="宋体" w:eastAsia="宋体" w:cs="宋体"/>
          <w:color w:val="auto"/>
          <w:spacing w:val="-4"/>
          <w:sz w:val="24"/>
          <w:szCs w:val="24"/>
          <w:highlight w:val="none"/>
        </w:rPr>
        <w:t>储、清洗、加工、烹饪到</w:t>
      </w:r>
      <w:r>
        <w:rPr>
          <w:rFonts w:ascii="宋体" w:hAnsi="宋体" w:eastAsia="宋体" w:cs="宋体"/>
          <w:color w:val="auto"/>
          <w:spacing w:val="-5"/>
          <w:sz w:val="24"/>
          <w:szCs w:val="24"/>
          <w:highlight w:val="none"/>
        </w:rPr>
        <w:t>出餐的全过程，避免交叉污染。</w:t>
      </w:r>
    </w:p>
    <w:p w14:paraId="0C0F3CFD">
      <w:pPr>
        <w:keepNext w:val="0"/>
        <w:keepLines w:val="0"/>
        <w:pageBreakBefore w:val="0"/>
        <w:widowControl/>
        <w:numPr>
          <w:ilvl w:val="0"/>
          <w:numId w:val="1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51"/>
          <w:sz w:val="24"/>
          <w:szCs w:val="24"/>
          <w:highlight w:val="none"/>
        </w:rPr>
        <w:t xml:space="preserve"> </w:t>
      </w:r>
      <w:r>
        <w:rPr>
          <w:rFonts w:ascii="宋体" w:hAnsi="宋体" w:eastAsia="宋体" w:cs="宋体"/>
          <w:color w:val="auto"/>
          <w:spacing w:val="-3"/>
          <w:sz w:val="24"/>
          <w:szCs w:val="24"/>
          <w:highlight w:val="none"/>
        </w:rPr>
        <w:t>规划高效的出餐流水线，考虑不同菜品类型（如热菜、凉菜、主食等</w:t>
      </w:r>
      <w:r>
        <w:rPr>
          <w:rFonts w:ascii="宋体" w:hAnsi="宋体" w:eastAsia="宋体" w:cs="宋体"/>
          <w:color w:val="auto"/>
          <w:spacing w:val="-4"/>
          <w:sz w:val="24"/>
          <w:szCs w:val="24"/>
          <w:highlight w:val="none"/>
        </w:rPr>
        <w:t>）的特点，设计合理的取餐动线，提高就餐效率。</w:t>
      </w:r>
    </w:p>
    <w:p w14:paraId="2B1A6422">
      <w:pPr>
        <w:keepNext w:val="0"/>
        <w:keepLines w:val="0"/>
        <w:pageBreakBefore w:val="0"/>
        <w:widowControl/>
        <w:numPr>
          <w:ilvl w:val="0"/>
          <w:numId w:val="1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50"/>
          <w:sz w:val="24"/>
          <w:szCs w:val="24"/>
          <w:highlight w:val="none"/>
        </w:rPr>
        <w:t xml:space="preserve"> </w:t>
      </w:r>
      <w:r>
        <w:rPr>
          <w:rFonts w:ascii="宋体" w:hAnsi="宋体" w:eastAsia="宋体" w:cs="宋体"/>
          <w:color w:val="auto"/>
          <w:spacing w:val="-6"/>
          <w:sz w:val="24"/>
          <w:szCs w:val="24"/>
          <w:highlight w:val="none"/>
        </w:rPr>
        <w:t>提供厨房设备布局方案，包括大型厨房设备（如灶台、蒸烤箱、冷藏设备</w:t>
      </w:r>
      <w:r>
        <w:rPr>
          <w:rFonts w:ascii="宋体" w:hAnsi="宋体" w:eastAsia="宋体" w:cs="宋体"/>
          <w:color w:val="auto"/>
          <w:spacing w:val="-7"/>
          <w:sz w:val="24"/>
          <w:szCs w:val="24"/>
          <w:highlight w:val="none"/>
        </w:rPr>
        <w:t>等） 的合理摆</w:t>
      </w:r>
      <w:r>
        <w:rPr>
          <w:rFonts w:ascii="宋体" w:hAnsi="宋体" w:eastAsia="宋体" w:cs="宋体"/>
          <w:color w:val="auto"/>
          <w:spacing w:val="-3"/>
          <w:sz w:val="24"/>
          <w:szCs w:val="24"/>
          <w:highlight w:val="none"/>
        </w:rPr>
        <w:t>放，确保操作便利性和安全性。</w:t>
      </w:r>
    </w:p>
    <w:p w14:paraId="514FA502">
      <w:pPr>
        <w:keepNext w:val="0"/>
        <w:keepLines w:val="0"/>
        <w:pageBreakBefore w:val="0"/>
        <w:widowControl/>
        <w:numPr>
          <w:ilvl w:val="0"/>
          <w:numId w:val="1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52"/>
          <w:sz w:val="24"/>
          <w:szCs w:val="24"/>
          <w:highlight w:val="none"/>
        </w:rPr>
        <w:t xml:space="preserve"> </w:t>
      </w:r>
      <w:r>
        <w:rPr>
          <w:rFonts w:ascii="宋体" w:hAnsi="宋体" w:eastAsia="宋体" w:cs="宋体"/>
          <w:color w:val="auto"/>
          <w:spacing w:val="-6"/>
          <w:sz w:val="24"/>
          <w:szCs w:val="24"/>
          <w:highlight w:val="none"/>
        </w:rPr>
        <w:t>设计符合人体工程学的就餐区布局，包括桌椅摆放、就餐动线、餐具回</w:t>
      </w:r>
      <w:r>
        <w:rPr>
          <w:rFonts w:ascii="宋体" w:hAnsi="宋体" w:eastAsia="宋体" w:cs="宋体"/>
          <w:color w:val="auto"/>
          <w:spacing w:val="-7"/>
          <w:sz w:val="24"/>
          <w:szCs w:val="24"/>
          <w:highlight w:val="none"/>
        </w:rPr>
        <w:t>收等， 提升用餐</w:t>
      </w:r>
      <w:r>
        <w:rPr>
          <w:rFonts w:ascii="宋体" w:hAnsi="宋体" w:eastAsia="宋体" w:cs="宋体"/>
          <w:color w:val="auto"/>
          <w:spacing w:val="-10"/>
          <w:sz w:val="24"/>
          <w:szCs w:val="24"/>
          <w:highlight w:val="none"/>
        </w:rPr>
        <w:t>体验。</w:t>
      </w:r>
    </w:p>
    <w:p w14:paraId="6C86E81E">
      <w:pPr>
        <w:keepNext w:val="0"/>
        <w:keepLines w:val="0"/>
        <w:pageBreakBefore w:val="0"/>
        <w:widowControl/>
        <w:numPr>
          <w:ilvl w:val="0"/>
          <w:numId w:val="1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51"/>
          <w:sz w:val="24"/>
          <w:szCs w:val="24"/>
          <w:highlight w:val="none"/>
        </w:rPr>
        <w:t xml:space="preserve"> </w:t>
      </w:r>
      <w:r>
        <w:rPr>
          <w:rFonts w:ascii="宋体" w:hAnsi="宋体" w:eastAsia="宋体" w:cs="宋体"/>
          <w:color w:val="auto"/>
          <w:spacing w:val="-1"/>
          <w:sz w:val="24"/>
          <w:szCs w:val="24"/>
          <w:highlight w:val="none"/>
        </w:rPr>
        <w:t>规划仓储区布局，包括干货区、冷藏区、冷冻区等，确</w:t>
      </w:r>
      <w:r>
        <w:rPr>
          <w:rFonts w:ascii="宋体" w:hAnsi="宋体" w:eastAsia="宋体" w:cs="宋体"/>
          <w:color w:val="auto"/>
          <w:spacing w:val="-2"/>
          <w:sz w:val="24"/>
          <w:szCs w:val="24"/>
          <w:highlight w:val="none"/>
        </w:rPr>
        <w:t>保食材储存条件符合卫生标准。</w:t>
      </w:r>
    </w:p>
    <w:p w14:paraId="6FFA03D4">
      <w:pPr>
        <w:keepNext w:val="0"/>
        <w:keepLines w:val="0"/>
        <w:pageBreakBefore w:val="0"/>
        <w:widowControl/>
        <w:numPr>
          <w:ilvl w:val="0"/>
          <w:numId w:val="1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54"/>
          <w:sz w:val="24"/>
          <w:szCs w:val="24"/>
          <w:highlight w:val="none"/>
        </w:rPr>
        <w:t xml:space="preserve"> </w:t>
      </w:r>
      <w:r>
        <w:rPr>
          <w:rFonts w:ascii="宋体" w:hAnsi="宋体" w:eastAsia="宋体" w:cs="宋体"/>
          <w:color w:val="auto"/>
          <w:spacing w:val="-2"/>
          <w:sz w:val="24"/>
          <w:szCs w:val="24"/>
          <w:highlight w:val="none"/>
        </w:rPr>
        <w:t>设计高效的洗消区域，包括餐具清洗、消毒、存放等流程的优化。</w:t>
      </w:r>
    </w:p>
    <w:p w14:paraId="672E6D04">
      <w:pPr>
        <w:keepNext w:val="0"/>
        <w:keepLines w:val="0"/>
        <w:pageBreakBefore w:val="0"/>
        <w:widowControl/>
        <w:numPr>
          <w:ilvl w:val="0"/>
          <w:numId w:val="1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51"/>
          <w:sz w:val="24"/>
          <w:szCs w:val="24"/>
          <w:highlight w:val="none"/>
        </w:rPr>
        <w:t xml:space="preserve"> </w:t>
      </w:r>
      <w:r>
        <w:rPr>
          <w:rFonts w:ascii="宋体" w:hAnsi="宋体" w:eastAsia="宋体" w:cs="宋体"/>
          <w:color w:val="auto"/>
          <w:spacing w:val="-2"/>
          <w:sz w:val="24"/>
          <w:szCs w:val="24"/>
          <w:highlight w:val="none"/>
        </w:rPr>
        <w:t>考虑办公区、员工休息区、更衣室等辅助空间的合理布局。</w:t>
      </w:r>
    </w:p>
    <w:p w14:paraId="51F97C18">
      <w:pPr>
        <w:keepNext w:val="0"/>
        <w:keepLines w:val="0"/>
        <w:pageBreakBefore w:val="0"/>
        <w:widowControl/>
        <w:numPr>
          <w:ilvl w:val="0"/>
          <w:numId w:val="17"/>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49"/>
          <w:sz w:val="24"/>
          <w:szCs w:val="24"/>
          <w:highlight w:val="none"/>
        </w:rPr>
        <w:t xml:space="preserve"> </w:t>
      </w:r>
      <w:r>
        <w:rPr>
          <w:rFonts w:ascii="宋体" w:hAnsi="宋体" w:eastAsia="宋体" w:cs="宋体"/>
          <w:color w:val="auto"/>
          <w:spacing w:val="-3"/>
          <w:sz w:val="24"/>
          <w:szCs w:val="24"/>
          <w:highlight w:val="none"/>
        </w:rPr>
        <w:t>在设计过程中，与</w:t>
      </w:r>
      <w:r>
        <w:rPr>
          <w:rFonts w:hint="eastAsia" w:ascii="宋体" w:hAnsi="宋体" w:eastAsia="宋体" w:cs="宋体"/>
          <w:color w:val="auto"/>
          <w:spacing w:val="-3"/>
          <w:sz w:val="24"/>
          <w:szCs w:val="24"/>
          <w:highlight w:val="none"/>
          <w:lang w:eastAsia="zh-CN"/>
        </w:rPr>
        <w:t>招租方</w:t>
      </w:r>
      <w:r>
        <w:rPr>
          <w:rFonts w:ascii="宋体" w:hAnsi="宋体" w:eastAsia="宋体" w:cs="宋体"/>
          <w:color w:val="auto"/>
          <w:spacing w:val="-3"/>
          <w:sz w:val="24"/>
          <w:szCs w:val="24"/>
          <w:highlight w:val="none"/>
        </w:rPr>
        <w:t>保持密切沟通，及时调整方案以满足需求变</w:t>
      </w:r>
      <w:r>
        <w:rPr>
          <w:rFonts w:ascii="宋体" w:hAnsi="宋体" w:eastAsia="宋体" w:cs="宋体"/>
          <w:color w:val="auto"/>
          <w:spacing w:val="-4"/>
          <w:sz w:val="24"/>
          <w:szCs w:val="24"/>
          <w:highlight w:val="none"/>
        </w:rPr>
        <w:t>化。</w:t>
      </w:r>
      <w:r>
        <w:rPr>
          <w:rFonts w:hint="eastAsia" w:ascii="宋体" w:hAnsi="宋体" w:eastAsia="宋体" w:cs="宋体"/>
          <w:color w:val="auto"/>
          <w:spacing w:val="-4"/>
          <w:sz w:val="24"/>
          <w:szCs w:val="24"/>
          <w:highlight w:val="none"/>
          <w:lang w:eastAsia="zh-CN"/>
        </w:rPr>
        <w:t>承租方</w:t>
      </w:r>
      <w:r>
        <w:rPr>
          <w:rFonts w:ascii="宋体" w:hAnsi="宋体" w:eastAsia="宋体" w:cs="宋体"/>
          <w:color w:val="auto"/>
          <w:spacing w:val="-4"/>
          <w:sz w:val="24"/>
          <w:szCs w:val="24"/>
          <w:highlight w:val="none"/>
        </w:rPr>
        <w:t>需在合</w:t>
      </w:r>
      <w:r>
        <w:rPr>
          <w:rFonts w:ascii="宋体" w:hAnsi="宋体" w:eastAsia="宋体" w:cs="宋体"/>
          <w:color w:val="auto"/>
          <w:spacing w:val="-1"/>
          <w:sz w:val="24"/>
          <w:szCs w:val="24"/>
          <w:highlight w:val="none"/>
        </w:rPr>
        <w:t>同期内，随时准备根据</w:t>
      </w:r>
      <w:r>
        <w:rPr>
          <w:rFonts w:hint="eastAsia" w:ascii="宋体" w:hAnsi="宋体" w:eastAsia="宋体" w:cs="宋体"/>
          <w:color w:val="auto"/>
          <w:spacing w:val="-1"/>
          <w:sz w:val="24"/>
          <w:szCs w:val="24"/>
          <w:highlight w:val="none"/>
          <w:lang w:eastAsia="zh-CN"/>
        </w:rPr>
        <w:t>招租方</w:t>
      </w:r>
      <w:r>
        <w:rPr>
          <w:rFonts w:ascii="宋体" w:hAnsi="宋体" w:eastAsia="宋体" w:cs="宋体"/>
          <w:color w:val="auto"/>
          <w:spacing w:val="-1"/>
          <w:sz w:val="24"/>
          <w:szCs w:val="24"/>
          <w:highlight w:val="none"/>
        </w:rPr>
        <w:t>的要求，为新建或改造项目提供上述设计服务。</w:t>
      </w:r>
      <w:r>
        <w:rPr>
          <w:rFonts w:hint="eastAsia" w:ascii="宋体" w:hAnsi="宋体" w:eastAsia="宋体" w:cs="宋体"/>
          <w:color w:val="auto"/>
          <w:spacing w:val="-1"/>
          <w:sz w:val="24"/>
          <w:szCs w:val="24"/>
          <w:highlight w:val="none"/>
          <w:lang w:eastAsia="zh-CN"/>
        </w:rPr>
        <w:t>承租方</w:t>
      </w:r>
      <w:r>
        <w:rPr>
          <w:rFonts w:ascii="宋体" w:hAnsi="宋体" w:eastAsia="宋体" w:cs="宋体"/>
          <w:color w:val="auto"/>
          <w:spacing w:val="-1"/>
          <w:sz w:val="24"/>
          <w:szCs w:val="24"/>
          <w:highlight w:val="none"/>
        </w:rPr>
        <w:t>应具</w:t>
      </w:r>
      <w:r>
        <w:rPr>
          <w:rFonts w:ascii="宋体" w:hAnsi="宋体" w:eastAsia="宋体" w:cs="宋体"/>
          <w:color w:val="auto"/>
          <w:spacing w:val="-2"/>
          <w:sz w:val="24"/>
          <w:szCs w:val="24"/>
          <w:highlight w:val="none"/>
        </w:rPr>
        <w:t>备相关</w:t>
      </w:r>
      <w:r>
        <w:rPr>
          <w:rFonts w:ascii="宋体" w:hAnsi="宋体" w:eastAsia="宋体" w:cs="宋体"/>
          <w:color w:val="auto"/>
          <w:spacing w:val="-5"/>
          <w:sz w:val="24"/>
          <w:szCs w:val="24"/>
          <w:highlight w:val="none"/>
        </w:rPr>
        <w:t>的厨房平面设计资质和经验。</w:t>
      </w:r>
    </w:p>
    <w:p w14:paraId="7B0D2233">
      <w:pPr>
        <w:keepNext w:val="0"/>
        <w:keepLines w:val="0"/>
        <w:pageBreakBefore w:val="0"/>
        <w:widowControl/>
        <w:numPr>
          <w:ilvl w:val="0"/>
          <w:numId w:val="1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45"/>
          <w:sz w:val="24"/>
          <w:szCs w:val="24"/>
          <w:highlight w:val="none"/>
        </w:rPr>
        <w:t xml:space="preserve"> </w:t>
      </w:r>
      <w:r>
        <w:rPr>
          <w:rFonts w:ascii="宋体" w:hAnsi="宋体" w:eastAsia="宋体" w:cs="宋体"/>
          <w:b/>
          <w:bCs/>
          <w:color w:val="auto"/>
          <w:spacing w:val="-5"/>
          <w:sz w:val="24"/>
          <w:szCs w:val="24"/>
          <w:highlight w:val="none"/>
        </w:rPr>
        <w:t>人员配置及要求</w:t>
      </w:r>
    </w:p>
    <w:p w14:paraId="70A4EFA2">
      <w:pPr>
        <w:keepNext w:val="0"/>
        <w:keepLines w:val="0"/>
        <w:pageBreakBefore w:val="0"/>
        <w:widowControl/>
        <w:numPr>
          <w:ilvl w:val="0"/>
          <w:numId w:val="18"/>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本项目由</w:t>
      </w:r>
      <w:r>
        <w:rPr>
          <w:rFonts w:hint="eastAsia" w:ascii="宋体" w:hAnsi="宋体" w:eastAsia="宋体" w:cs="宋体"/>
          <w:color w:val="auto"/>
          <w:spacing w:val="-6"/>
          <w:sz w:val="24"/>
          <w:szCs w:val="24"/>
          <w:highlight w:val="none"/>
          <w:lang w:eastAsia="zh-CN"/>
        </w:rPr>
        <w:t>承租方</w:t>
      </w:r>
      <w:r>
        <w:rPr>
          <w:rFonts w:ascii="宋体" w:hAnsi="宋体" w:eastAsia="宋体" w:cs="宋体"/>
          <w:color w:val="auto"/>
          <w:spacing w:val="-6"/>
          <w:sz w:val="24"/>
          <w:szCs w:val="24"/>
          <w:highlight w:val="none"/>
        </w:rPr>
        <w:t>直接管理，不得转包、分包、挂靠等</w:t>
      </w:r>
      <w:r>
        <w:rPr>
          <w:rFonts w:ascii="宋体" w:hAnsi="宋体" w:eastAsia="宋体" w:cs="宋体"/>
          <w:color w:val="auto"/>
          <w:spacing w:val="-3"/>
          <w:sz w:val="24"/>
          <w:szCs w:val="24"/>
          <w:highlight w:val="none"/>
        </w:rPr>
        <w:t>。</w:t>
      </w:r>
    </w:p>
    <w:p w14:paraId="6283A5BC">
      <w:pPr>
        <w:keepNext w:val="0"/>
        <w:keepLines w:val="0"/>
        <w:pageBreakBefore w:val="0"/>
        <w:widowControl/>
        <w:numPr>
          <w:ilvl w:val="0"/>
          <w:numId w:val="18"/>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项目经理</w:t>
      </w:r>
      <w:r>
        <w:rPr>
          <w:rFonts w:hint="eastAsia" w:ascii="宋体" w:hAnsi="宋体"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lang w:val="en-US" w:eastAsia="zh-CN"/>
        </w:rPr>
        <w:t>包组1，</w:t>
      </w:r>
      <w:r>
        <w:rPr>
          <w:rFonts w:hint="eastAsia" w:ascii="宋体" w:hAnsi="宋体" w:eastAsia="宋体" w:cs="宋体"/>
          <w:color w:val="auto"/>
          <w:spacing w:val="2"/>
          <w:sz w:val="24"/>
          <w:szCs w:val="24"/>
          <w:highlight w:val="none"/>
        </w:rPr>
        <w:t>至少配备</w:t>
      </w: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名本科(含)以上学历的项目经理</w:t>
      </w:r>
      <w:r>
        <w:rPr>
          <w:rFonts w:hint="eastAsia" w:ascii="宋体" w:hAnsi="宋体"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lang w:val="en-US" w:eastAsia="zh-CN"/>
        </w:rPr>
        <w:t>包组2，</w:t>
      </w:r>
      <w:r>
        <w:rPr>
          <w:rFonts w:hint="eastAsia" w:ascii="宋体" w:hAnsi="宋体" w:eastAsia="宋体" w:cs="宋体"/>
          <w:color w:val="auto"/>
          <w:spacing w:val="2"/>
          <w:sz w:val="24"/>
          <w:szCs w:val="24"/>
          <w:highlight w:val="none"/>
        </w:rPr>
        <w:t>至少配备</w:t>
      </w: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名本科(含)以上学历的项目经理</w:t>
      </w:r>
      <w:r>
        <w:rPr>
          <w:rFonts w:hint="eastAsia" w:ascii="宋体" w:hAnsi="宋体"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rPr>
        <w:t>负责与</w:t>
      </w:r>
      <w:r>
        <w:rPr>
          <w:rFonts w:hint="eastAsia" w:ascii="宋体" w:hAnsi="宋体" w:eastAsia="宋体" w:cs="宋体"/>
          <w:color w:val="auto"/>
          <w:spacing w:val="2"/>
          <w:sz w:val="24"/>
          <w:szCs w:val="24"/>
          <w:highlight w:val="none"/>
          <w:lang w:eastAsia="zh-CN"/>
        </w:rPr>
        <w:t>招租方</w:t>
      </w:r>
      <w:r>
        <w:rPr>
          <w:rFonts w:hint="eastAsia" w:ascii="宋体" w:hAnsi="宋体" w:eastAsia="宋体" w:cs="宋体"/>
          <w:color w:val="auto"/>
          <w:spacing w:val="2"/>
          <w:sz w:val="24"/>
          <w:szCs w:val="24"/>
          <w:highlight w:val="none"/>
        </w:rPr>
        <w:t>管理人员沟通和管理食堂，该管理人员须有良好的沟通能力及从业经验</w:t>
      </w:r>
    </w:p>
    <w:p w14:paraId="7D11A9E5">
      <w:pPr>
        <w:keepNext w:val="0"/>
        <w:keepLines w:val="0"/>
        <w:pageBreakBefore w:val="0"/>
        <w:widowControl/>
        <w:numPr>
          <w:ilvl w:val="0"/>
          <w:numId w:val="18"/>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营养室：包组1，</w:t>
      </w:r>
      <w:r>
        <w:rPr>
          <w:rFonts w:hint="eastAsia" w:ascii="宋体" w:hAnsi="宋体" w:eastAsia="宋体" w:cs="宋体"/>
          <w:color w:val="auto"/>
          <w:spacing w:val="2"/>
          <w:sz w:val="24"/>
          <w:szCs w:val="24"/>
          <w:highlight w:val="none"/>
        </w:rPr>
        <w:t>至少配备</w:t>
      </w: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名具有相关证书的营养师(</w:t>
      </w:r>
      <w:r>
        <w:rPr>
          <w:rFonts w:hint="eastAsia" w:ascii="宋体" w:hAnsi="宋体" w:eastAsia="宋体" w:cs="宋体"/>
          <w:color w:val="auto"/>
          <w:spacing w:val="2"/>
          <w:sz w:val="24"/>
          <w:szCs w:val="24"/>
          <w:highlight w:val="none"/>
          <w:lang w:val="en-US" w:eastAsia="zh-CN"/>
        </w:rPr>
        <w:t>三</w:t>
      </w:r>
      <w:r>
        <w:rPr>
          <w:rFonts w:hint="eastAsia" w:ascii="宋体" w:hAnsi="宋体" w:eastAsia="宋体" w:cs="宋体"/>
          <w:color w:val="auto"/>
          <w:spacing w:val="2"/>
          <w:sz w:val="24"/>
          <w:szCs w:val="24"/>
          <w:highlight w:val="none"/>
        </w:rPr>
        <w:t>级及以上)资格证书</w:t>
      </w:r>
      <w:r>
        <w:rPr>
          <w:rFonts w:hint="eastAsia" w:ascii="宋体" w:hAnsi="宋体"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lang w:val="en-US" w:eastAsia="zh-CN"/>
        </w:rPr>
        <w:t>包组2，</w:t>
      </w:r>
      <w:r>
        <w:rPr>
          <w:rFonts w:hint="eastAsia" w:ascii="宋体" w:hAnsi="宋体" w:eastAsia="宋体" w:cs="宋体"/>
          <w:color w:val="auto"/>
          <w:spacing w:val="2"/>
          <w:sz w:val="24"/>
          <w:szCs w:val="24"/>
          <w:highlight w:val="none"/>
        </w:rPr>
        <w:t>至少配备</w:t>
      </w: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名具有相关证书的营养师(</w:t>
      </w:r>
      <w:r>
        <w:rPr>
          <w:rFonts w:hint="eastAsia" w:ascii="宋体" w:hAnsi="宋体" w:eastAsia="宋体" w:cs="宋体"/>
          <w:color w:val="auto"/>
          <w:spacing w:val="2"/>
          <w:sz w:val="24"/>
          <w:szCs w:val="24"/>
          <w:highlight w:val="none"/>
          <w:lang w:val="en-US" w:eastAsia="zh-CN"/>
        </w:rPr>
        <w:t>三</w:t>
      </w:r>
      <w:r>
        <w:rPr>
          <w:rFonts w:hint="eastAsia" w:ascii="宋体" w:hAnsi="宋体" w:eastAsia="宋体" w:cs="宋体"/>
          <w:color w:val="auto"/>
          <w:spacing w:val="2"/>
          <w:sz w:val="24"/>
          <w:szCs w:val="24"/>
          <w:highlight w:val="none"/>
        </w:rPr>
        <w:t>级及以上)资格证书</w:t>
      </w:r>
      <w:r>
        <w:rPr>
          <w:rFonts w:hint="eastAsia" w:ascii="宋体" w:hAnsi="宋体"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rPr>
        <w:t>负责患者膳食。</w:t>
      </w:r>
      <w:r>
        <w:rPr>
          <w:rFonts w:hint="eastAsia" w:ascii="宋体" w:hAnsi="宋体" w:eastAsia="宋体" w:cs="宋体"/>
          <w:color w:val="auto"/>
          <w:spacing w:val="2"/>
          <w:sz w:val="24"/>
          <w:szCs w:val="24"/>
          <w:highlight w:val="none"/>
          <w:lang w:eastAsia="zh-CN"/>
        </w:rPr>
        <w:t>营养师须定期开展膳食评估与个性化配餐方案制定，</w:t>
      </w:r>
      <w:r>
        <w:rPr>
          <w:rFonts w:hint="eastAsia" w:ascii="宋体" w:hAnsi="宋体" w:eastAsia="宋体" w:cs="宋体"/>
          <w:color w:val="auto"/>
          <w:spacing w:val="2"/>
          <w:sz w:val="24"/>
          <w:szCs w:val="24"/>
          <w:highlight w:val="none"/>
          <w:lang w:val="en-US" w:eastAsia="zh-CN"/>
        </w:rPr>
        <w:t>同时建立膳食反馈机制。</w:t>
      </w:r>
    </w:p>
    <w:p w14:paraId="3A2DE99B">
      <w:pPr>
        <w:keepNext w:val="0"/>
        <w:keepLines w:val="0"/>
        <w:pageBreakBefore w:val="0"/>
        <w:widowControl/>
        <w:numPr>
          <w:ilvl w:val="0"/>
          <w:numId w:val="18"/>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lang w:eastAsia="zh-CN"/>
        </w:rPr>
        <w:t>招租方</w:t>
      </w:r>
      <w:r>
        <w:rPr>
          <w:rFonts w:ascii="宋体" w:hAnsi="宋体" w:eastAsia="宋体" w:cs="宋体"/>
          <w:color w:val="auto"/>
          <w:spacing w:val="-1"/>
          <w:sz w:val="24"/>
          <w:szCs w:val="24"/>
          <w:highlight w:val="none"/>
        </w:rPr>
        <w:t>保留对不符合要求的人员提出更换的权利。如</w:t>
      </w:r>
      <w:r>
        <w:rPr>
          <w:rFonts w:hint="eastAsia" w:ascii="宋体" w:hAnsi="宋体" w:eastAsia="宋体" w:cs="宋体"/>
          <w:color w:val="auto"/>
          <w:spacing w:val="-1"/>
          <w:sz w:val="24"/>
          <w:szCs w:val="24"/>
          <w:highlight w:val="none"/>
          <w:lang w:eastAsia="zh-CN"/>
        </w:rPr>
        <w:t>承租方</w:t>
      </w:r>
      <w:r>
        <w:rPr>
          <w:rFonts w:ascii="宋体" w:hAnsi="宋体" w:eastAsia="宋体" w:cs="宋体"/>
          <w:color w:val="auto"/>
          <w:spacing w:val="-1"/>
          <w:sz w:val="24"/>
          <w:szCs w:val="24"/>
          <w:highlight w:val="none"/>
        </w:rPr>
        <w:t>需调整驻场管理层，需提前</w:t>
      </w:r>
      <w:r>
        <w:rPr>
          <w:rFonts w:ascii="宋体" w:hAnsi="宋体" w:eastAsia="宋体" w:cs="宋体"/>
          <w:color w:val="auto"/>
          <w:spacing w:val="-32"/>
          <w:sz w:val="24"/>
          <w:szCs w:val="24"/>
          <w:highlight w:val="none"/>
        </w:rPr>
        <w:t xml:space="preserve"> </w:t>
      </w:r>
      <w:r>
        <w:rPr>
          <w:rFonts w:ascii="宋体" w:hAnsi="宋体" w:eastAsia="宋体" w:cs="宋体"/>
          <w:color w:val="auto"/>
          <w:spacing w:val="-1"/>
          <w:sz w:val="24"/>
          <w:szCs w:val="24"/>
          <w:highlight w:val="none"/>
        </w:rPr>
        <w:t>1</w:t>
      </w:r>
      <w:r>
        <w:rPr>
          <w:rFonts w:ascii="宋体" w:hAnsi="宋体" w:eastAsia="宋体" w:cs="宋体"/>
          <w:color w:val="auto"/>
          <w:spacing w:val="-50"/>
          <w:sz w:val="24"/>
          <w:szCs w:val="24"/>
          <w:highlight w:val="none"/>
        </w:rPr>
        <w:t xml:space="preserve"> </w:t>
      </w:r>
      <w:r>
        <w:rPr>
          <w:rFonts w:ascii="宋体" w:hAnsi="宋体" w:eastAsia="宋体" w:cs="宋体"/>
          <w:color w:val="auto"/>
          <w:spacing w:val="-1"/>
          <w:sz w:val="24"/>
          <w:szCs w:val="24"/>
          <w:highlight w:val="none"/>
        </w:rPr>
        <w:t>个月书面通知</w:t>
      </w:r>
      <w:r>
        <w:rPr>
          <w:rFonts w:hint="eastAsia" w:ascii="宋体" w:hAnsi="宋体" w:eastAsia="宋体" w:cs="宋体"/>
          <w:color w:val="auto"/>
          <w:spacing w:val="-1"/>
          <w:sz w:val="24"/>
          <w:szCs w:val="24"/>
          <w:highlight w:val="none"/>
          <w:lang w:eastAsia="zh-CN"/>
        </w:rPr>
        <w:t>招租方</w:t>
      </w:r>
      <w:r>
        <w:rPr>
          <w:rFonts w:ascii="宋体" w:hAnsi="宋体" w:eastAsia="宋体" w:cs="宋体"/>
          <w:color w:val="auto"/>
          <w:spacing w:val="-2"/>
          <w:sz w:val="24"/>
          <w:szCs w:val="24"/>
          <w:highlight w:val="none"/>
        </w:rPr>
        <w:t>，</w:t>
      </w:r>
      <w:r>
        <w:rPr>
          <w:rFonts w:hint="eastAsia" w:ascii="宋体" w:hAnsi="宋体" w:eastAsia="宋体" w:cs="宋体"/>
          <w:color w:val="auto"/>
          <w:spacing w:val="-2"/>
          <w:sz w:val="24"/>
          <w:szCs w:val="24"/>
          <w:highlight w:val="none"/>
          <w:lang w:eastAsia="zh-CN"/>
        </w:rPr>
        <w:t>招租方</w:t>
      </w:r>
      <w:r>
        <w:rPr>
          <w:rFonts w:ascii="宋体" w:hAnsi="宋体" w:eastAsia="宋体" w:cs="宋体"/>
          <w:color w:val="auto"/>
          <w:spacing w:val="-2"/>
          <w:sz w:val="24"/>
          <w:szCs w:val="24"/>
          <w:highlight w:val="none"/>
        </w:rPr>
        <w:t>同意后方可更换。</w:t>
      </w:r>
      <w:r>
        <w:rPr>
          <w:rFonts w:hint="eastAsia" w:ascii="宋体" w:hAnsi="宋体" w:eastAsia="宋体" w:cs="宋体"/>
          <w:color w:val="auto"/>
          <w:spacing w:val="-2"/>
          <w:sz w:val="24"/>
          <w:szCs w:val="24"/>
          <w:highlight w:val="none"/>
          <w:lang w:eastAsia="zh-CN"/>
        </w:rPr>
        <w:t>招租方</w:t>
      </w:r>
      <w:r>
        <w:rPr>
          <w:rFonts w:ascii="宋体" w:hAnsi="宋体" w:eastAsia="宋体" w:cs="宋体"/>
          <w:color w:val="auto"/>
          <w:spacing w:val="-2"/>
          <w:sz w:val="24"/>
          <w:szCs w:val="24"/>
          <w:highlight w:val="none"/>
        </w:rPr>
        <w:t>有权对不满</w:t>
      </w:r>
      <w:r>
        <w:rPr>
          <w:rFonts w:ascii="宋体" w:hAnsi="宋体" w:eastAsia="宋体" w:cs="宋体"/>
          <w:color w:val="auto"/>
          <w:spacing w:val="-1"/>
          <w:sz w:val="24"/>
          <w:szCs w:val="24"/>
          <w:highlight w:val="none"/>
        </w:rPr>
        <w:t>意的管理层提出人员调配或更换要求，</w:t>
      </w:r>
      <w:r>
        <w:rPr>
          <w:rFonts w:hint="eastAsia" w:ascii="宋体" w:hAnsi="宋体" w:eastAsia="宋体" w:cs="宋体"/>
          <w:color w:val="auto"/>
          <w:spacing w:val="-1"/>
          <w:sz w:val="24"/>
          <w:szCs w:val="24"/>
          <w:highlight w:val="none"/>
          <w:lang w:eastAsia="zh-CN"/>
        </w:rPr>
        <w:t>承租方</w:t>
      </w:r>
      <w:r>
        <w:rPr>
          <w:rFonts w:ascii="宋体" w:hAnsi="宋体" w:eastAsia="宋体" w:cs="宋体"/>
          <w:color w:val="auto"/>
          <w:spacing w:val="-1"/>
          <w:sz w:val="24"/>
          <w:szCs w:val="24"/>
          <w:highlight w:val="none"/>
        </w:rPr>
        <w:t>在</w:t>
      </w:r>
      <w:r>
        <w:rPr>
          <w:rFonts w:ascii="宋体" w:hAnsi="宋体" w:eastAsia="宋体" w:cs="宋体"/>
          <w:color w:val="auto"/>
          <w:spacing w:val="-2"/>
          <w:sz w:val="24"/>
          <w:szCs w:val="24"/>
          <w:highlight w:val="none"/>
        </w:rPr>
        <w:t>收到书面通知</w:t>
      </w:r>
      <w:r>
        <w:rPr>
          <w:rFonts w:ascii="宋体" w:hAnsi="宋体" w:eastAsia="宋体" w:cs="宋体"/>
          <w:color w:val="auto"/>
          <w:spacing w:val="-32"/>
          <w:sz w:val="24"/>
          <w:szCs w:val="24"/>
          <w:highlight w:val="none"/>
        </w:rPr>
        <w:t xml:space="preserve"> </w:t>
      </w:r>
      <w:r>
        <w:rPr>
          <w:rFonts w:ascii="宋体" w:hAnsi="宋体" w:eastAsia="宋体" w:cs="宋体"/>
          <w:color w:val="auto"/>
          <w:spacing w:val="-2"/>
          <w:sz w:val="24"/>
          <w:szCs w:val="24"/>
          <w:highlight w:val="none"/>
        </w:rPr>
        <w:t>1</w:t>
      </w:r>
      <w:r>
        <w:rPr>
          <w:rFonts w:ascii="宋体" w:hAnsi="宋体" w:eastAsia="宋体" w:cs="宋体"/>
          <w:color w:val="auto"/>
          <w:spacing w:val="-50"/>
          <w:sz w:val="24"/>
          <w:szCs w:val="24"/>
          <w:highlight w:val="none"/>
        </w:rPr>
        <w:t xml:space="preserve"> </w:t>
      </w:r>
      <w:r>
        <w:rPr>
          <w:rFonts w:ascii="宋体" w:hAnsi="宋体" w:eastAsia="宋体" w:cs="宋体"/>
          <w:color w:val="auto"/>
          <w:spacing w:val="-2"/>
          <w:sz w:val="24"/>
          <w:szCs w:val="24"/>
          <w:highlight w:val="none"/>
        </w:rPr>
        <w:t>个月内调配或更换或补充人员。</w:t>
      </w:r>
      <w:r>
        <w:rPr>
          <w:rFonts w:ascii="宋体" w:hAnsi="宋体" w:eastAsia="宋体" w:cs="宋体"/>
          <w:color w:val="auto"/>
          <w:sz w:val="24"/>
          <w:szCs w:val="24"/>
          <w:highlight w:val="none"/>
        </w:rPr>
        <w:t>投入本项目的人员需要有餐饮服务相关工作经验或与</w:t>
      </w:r>
      <w:r>
        <w:rPr>
          <w:rFonts w:ascii="宋体" w:hAnsi="宋体" w:eastAsia="宋体" w:cs="宋体"/>
          <w:color w:val="auto"/>
          <w:spacing w:val="-1"/>
          <w:sz w:val="24"/>
          <w:szCs w:val="24"/>
          <w:highlight w:val="none"/>
        </w:rPr>
        <w:t>餐饮相关的理论或专业知识</w:t>
      </w:r>
      <w:r>
        <w:rPr>
          <w:rFonts w:hint="eastAsia" w:ascii="宋体" w:hAnsi="宋体" w:eastAsia="宋体" w:cs="宋体"/>
          <w:color w:val="auto"/>
          <w:spacing w:val="-1"/>
          <w:sz w:val="24"/>
          <w:szCs w:val="24"/>
          <w:highlight w:val="none"/>
          <w:lang w:eastAsia="zh-CN"/>
        </w:rPr>
        <w:t>。</w:t>
      </w:r>
    </w:p>
    <w:p w14:paraId="04514446">
      <w:pPr>
        <w:keepNext w:val="0"/>
        <w:keepLines w:val="0"/>
        <w:pageBreakBefore w:val="0"/>
        <w:widowControl/>
        <w:numPr>
          <w:ilvl w:val="0"/>
          <w:numId w:val="18"/>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lang w:eastAsia="zh-CN"/>
        </w:rPr>
        <w:t>承租方</w:t>
      </w:r>
      <w:r>
        <w:rPr>
          <w:rFonts w:ascii="宋体" w:hAnsi="宋体" w:eastAsia="宋体" w:cs="宋体"/>
          <w:color w:val="auto"/>
          <w:spacing w:val="-1"/>
          <w:sz w:val="24"/>
          <w:szCs w:val="24"/>
          <w:highlight w:val="none"/>
        </w:rPr>
        <w:t>需有</w:t>
      </w:r>
      <w:r>
        <w:rPr>
          <w:rFonts w:hint="eastAsia" w:ascii="宋体" w:hAnsi="宋体" w:eastAsia="宋体" w:cs="宋体"/>
          <w:color w:val="auto"/>
          <w:spacing w:val="-1"/>
          <w:sz w:val="24"/>
          <w:szCs w:val="24"/>
          <w:highlight w:val="none"/>
          <w:lang w:val="en-US" w:eastAsia="zh-CN"/>
        </w:rPr>
        <w:t>能力</w:t>
      </w:r>
      <w:r>
        <w:rPr>
          <w:rFonts w:ascii="宋体" w:hAnsi="宋体" w:eastAsia="宋体" w:cs="宋体"/>
          <w:color w:val="auto"/>
          <w:spacing w:val="-1"/>
          <w:sz w:val="24"/>
          <w:szCs w:val="24"/>
          <w:highlight w:val="none"/>
        </w:rPr>
        <w:t>为本项目提供支持服务的人员，</w:t>
      </w:r>
      <w:r>
        <w:rPr>
          <w:rFonts w:ascii="宋体" w:hAnsi="宋体" w:eastAsia="宋体" w:cs="宋体"/>
          <w:color w:val="auto"/>
          <w:spacing w:val="-3"/>
          <w:sz w:val="24"/>
          <w:szCs w:val="24"/>
          <w:highlight w:val="none"/>
        </w:rPr>
        <w:t>如</w:t>
      </w:r>
      <w:r>
        <w:rPr>
          <w:rFonts w:hint="eastAsia" w:ascii="宋体" w:hAnsi="宋体" w:eastAsia="宋体" w:cs="宋体"/>
          <w:color w:val="auto"/>
          <w:spacing w:val="-3"/>
          <w:sz w:val="24"/>
          <w:szCs w:val="24"/>
          <w:highlight w:val="none"/>
          <w:lang w:eastAsia="zh-CN"/>
        </w:rPr>
        <w:t>招租方</w:t>
      </w:r>
      <w:r>
        <w:rPr>
          <w:rFonts w:ascii="宋体" w:hAnsi="宋体" w:eastAsia="宋体" w:cs="宋体"/>
          <w:color w:val="auto"/>
          <w:spacing w:val="-3"/>
          <w:sz w:val="24"/>
          <w:szCs w:val="24"/>
          <w:highlight w:val="none"/>
        </w:rPr>
        <w:t>有需求，能为现场提供支持服务，包括营养师</w:t>
      </w:r>
      <w:r>
        <w:rPr>
          <w:rFonts w:ascii="宋体" w:hAnsi="宋体" w:eastAsia="宋体" w:cs="宋体"/>
          <w:color w:val="auto"/>
          <w:spacing w:val="-31"/>
          <w:sz w:val="24"/>
          <w:szCs w:val="24"/>
          <w:highlight w:val="none"/>
        </w:rPr>
        <w:t xml:space="preserve"> </w:t>
      </w:r>
      <w:r>
        <w:rPr>
          <w:rFonts w:ascii="宋体" w:hAnsi="宋体" w:eastAsia="宋体" w:cs="宋体"/>
          <w:color w:val="auto"/>
          <w:spacing w:val="-3"/>
          <w:sz w:val="24"/>
          <w:szCs w:val="24"/>
          <w:highlight w:val="none"/>
        </w:rPr>
        <w:t>1</w:t>
      </w:r>
      <w:r>
        <w:rPr>
          <w:rFonts w:ascii="宋体" w:hAnsi="宋体" w:eastAsia="宋体" w:cs="宋体"/>
          <w:color w:val="auto"/>
          <w:spacing w:val="-48"/>
          <w:sz w:val="24"/>
          <w:szCs w:val="24"/>
          <w:highlight w:val="none"/>
        </w:rPr>
        <w:t xml:space="preserve"> </w:t>
      </w:r>
      <w:r>
        <w:rPr>
          <w:rFonts w:ascii="宋体" w:hAnsi="宋体" w:eastAsia="宋体" w:cs="宋体"/>
          <w:color w:val="auto"/>
          <w:spacing w:val="-3"/>
          <w:sz w:val="24"/>
          <w:szCs w:val="24"/>
          <w:highlight w:val="none"/>
        </w:rPr>
        <w:t>名及安全总监</w:t>
      </w:r>
      <w:r>
        <w:rPr>
          <w:rFonts w:ascii="宋体" w:hAnsi="宋体" w:eastAsia="宋体" w:cs="宋体"/>
          <w:color w:val="auto"/>
          <w:spacing w:val="-33"/>
          <w:sz w:val="24"/>
          <w:szCs w:val="24"/>
          <w:highlight w:val="none"/>
        </w:rPr>
        <w:t xml:space="preserve"> </w:t>
      </w:r>
      <w:r>
        <w:rPr>
          <w:rFonts w:ascii="宋体" w:hAnsi="宋体" w:eastAsia="宋体" w:cs="宋体"/>
          <w:color w:val="auto"/>
          <w:spacing w:val="-4"/>
          <w:sz w:val="24"/>
          <w:szCs w:val="24"/>
          <w:highlight w:val="none"/>
        </w:rPr>
        <w:t>1</w:t>
      </w:r>
      <w:r>
        <w:rPr>
          <w:rFonts w:ascii="宋体" w:hAnsi="宋体" w:eastAsia="宋体" w:cs="宋体"/>
          <w:color w:val="auto"/>
          <w:spacing w:val="-47"/>
          <w:sz w:val="24"/>
          <w:szCs w:val="24"/>
          <w:highlight w:val="none"/>
        </w:rPr>
        <w:t xml:space="preserve"> </w:t>
      </w:r>
      <w:r>
        <w:rPr>
          <w:rFonts w:ascii="宋体" w:hAnsi="宋体" w:eastAsia="宋体" w:cs="宋体"/>
          <w:color w:val="auto"/>
          <w:spacing w:val="-4"/>
          <w:sz w:val="24"/>
          <w:szCs w:val="24"/>
          <w:highlight w:val="none"/>
        </w:rPr>
        <w:t>名。</w:t>
      </w:r>
    </w:p>
    <w:p w14:paraId="0370EF4B">
      <w:pPr>
        <w:keepNext w:val="0"/>
        <w:keepLines w:val="0"/>
        <w:pageBreakBefore w:val="0"/>
        <w:widowControl/>
        <w:numPr>
          <w:ilvl w:val="0"/>
          <w:numId w:val="18"/>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aps w:val="0"/>
          <w:smallCaps w:val="0"/>
          <w:color w:val="auto"/>
          <w:spacing w:val="0"/>
          <w:w w:val="100"/>
          <w:kern w:val="21"/>
          <w:sz w:val="24"/>
          <w:highlight w:val="none"/>
        </w:rPr>
        <w:t>承租方须严格遵守《中华人民共和国劳动合同法》及《中华人民共和国妇女权益保障法》中关于劳动和社会保障权益的相关规定，依法与员工建立合法有效的劳动关系。鉴于</w:t>
      </w:r>
      <w:r>
        <w:rPr>
          <w:rFonts w:hint="eastAsia" w:ascii="宋体" w:hAnsi="宋体" w:eastAsia="宋体" w:cs="宋体"/>
          <w:caps w:val="0"/>
          <w:smallCaps w:val="0"/>
          <w:color w:val="auto"/>
          <w:spacing w:val="0"/>
          <w:w w:val="100"/>
          <w:kern w:val="21"/>
          <w:sz w:val="24"/>
          <w:highlight w:val="none"/>
        </w:rPr>
        <w:t>本</w:t>
      </w:r>
      <w:r>
        <w:rPr>
          <w:rFonts w:hint="eastAsia" w:ascii="宋体" w:hAnsi="宋体" w:eastAsia="宋体" w:cs="宋体"/>
          <w:caps w:val="0"/>
          <w:smallCaps w:val="0"/>
          <w:color w:val="auto"/>
          <w:spacing w:val="0"/>
          <w:w w:val="100"/>
          <w:kern w:val="21"/>
          <w:sz w:val="24"/>
          <w:highlight w:val="none"/>
          <w:lang w:eastAsia="zh-CN"/>
        </w:rPr>
        <w:t>项目包组</w:t>
      </w:r>
      <w:r>
        <w:rPr>
          <w:rFonts w:hint="eastAsia" w:ascii="宋体" w:hAnsi="宋体" w:eastAsia="宋体" w:cs="宋体"/>
          <w:caps w:val="0"/>
          <w:smallCaps w:val="0"/>
          <w:color w:val="auto"/>
          <w:spacing w:val="0"/>
          <w:w w:val="100"/>
          <w:kern w:val="21"/>
          <w:sz w:val="24"/>
          <w:highlight w:val="none"/>
          <w:lang w:val="en-US" w:eastAsia="zh-CN"/>
        </w:rPr>
        <w:t>1、包组2</w:t>
      </w:r>
      <w:r>
        <w:rPr>
          <w:rFonts w:hint="eastAsia" w:ascii="宋体" w:hAnsi="宋体" w:eastAsia="宋体" w:cs="宋体"/>
          <w:caps w:val="0"/>
          <w:smallCaps w:val="0"/>
          <w:color w:val="auto"/>
          <w:spacing w:val="0"/>
          <w:w w:val="100"/>
          <w:kern w:val="21"/>
          <w:sz w:val="24"/>
          <w:highlight w:val="none"/>
        </w:rPr>
        <w:t>需要</w:t>
      </w:r>
      <w:r>
        <w:rPr>
          <w:rFonts w:ascii="宋体" w:hAnsi="宋体" w:eastAsia="宋体" w:cs="宋体"/>
          <w:caps w:val="0"/>
          <w:smallCaps w:val="0"/>
          <w:color w:val="auto"/>
          <w:spacing w:val="0"/>
          <w:w w:val="100"/>
          <w:kern w:val="21"/>
          <w:sz w:val="24"/>
          <w:highlight w:val="none"/>
        </w:rPr>
        <w:t>全年无休的运营特点，承租方须严格按照劳动法规定合理安排员工轮岗。承租方须自行妥善处理各类劳资纠纷，若因劳资问题影响</w:t>
      </w:r>
      <w:r>
        <w:rPr>
          <w:rFonts w:hint="eastAsia" w:ascii="宋体" w:hAnsi="宋体" w:eastAsia="宋体" w:cs="宋体"/>
          <w:caps w:val="0"/>
          <w:smallCaps w:val="0"/>
          <w:color w:val="auto"/>
          <w:spacing w:val="0"/>
          <w:w w:val="100"/>
          <w:kern w:val="21"/>
          <w:sz w:val="24"/>
          <w:highlight w:val="none"/>
          <w:lang w:eastAsia="zh-CN"/>
        </w:rPr>
        <w:t>餐厅和</w:t>
      </w:r>
      <w:r>
        <w:rPr>
          <w:rFonts w:ascii="宋体" w:hAnsi="宋体" w:eastAsia="宋体" w:cs="宋体"/>
          <w:caps w:val="0"/>
          <w:smallCaps w:val="0"/>
          <w:color w:val="auto"/>
          <w:spacing w:val="0"/>
          <w:w w:val="100"/>
          <w:kern w:val="21"/>
          <w:sz w:val="24"/>
          <w:highlight w:val="none"/>
        </w:rPr>
        <w:t>出租方正常运营，出租方有权终止合同并要求承租方赔偿相应损失。</w:t>
      </w:r>
      <w:r>
        <w:rPr>
          <w:rFonts w:hint="eastAsia" w:ascii="宋体" w:hAnsi="宋体" w:eastAsia="宋体" w:cs="宋体"/>
          <w:caps w:val="0"/>
          <w:smallCaps w:val="0"/>
          <w:color w:val="auto"/>
          <w:spacing w:val="0"/>
          <w:w w:val="100"/>
          <w:kern w:val="21"/>
          <w:sz w:val="24"/>
          <w:highlight w:val="none"/>
        </w:rPr>
        <w:t>【注：意向承租方提供书面承诺并加盖公章，格式自定】</w:t>
      </w:r>
    </w:p>
    <w:p w14:paraId="7F8DA24A">
      <w:pPr>
        <w:keepNext w:val="0"/>
        <w:keepLines w:val="0"/>
        <w:pageBreakBefore w:val="0"/>
        <w:widowControl/>
        <w:numPr>
          <w:ilvl w:val="0"/>
          <w:numId w:val="18"/>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服饰要求：</w:t>
      </w:r>
    </w:p>
    <w:p w14:paraId="5AA71176">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 xml:space="preserve">(1) </w:t>
      </w:r>
      <w:r>
        <w:rPr>
          <w:rFonts w:hint="eastAsia" w:ascii="宋体" w:hAnsi="宋体" w:eastAsia="宋体" w:cs="宋体"/>
          <w:color w:val="auto"/>
          <w:spacing w:val="-2"/>
          <w:sz w:val="24"/>
          <w:szCs w:val="24"/>
          <w:highlight w:val="none"/>
          <w:lang w:eastAsia="zh-CN"/>
        </w:rPr>
        <w:t>承租方所投入本项目的工作人员的工作服饰及</w:t>
      </w:r>
      <w:r>
        <w:rPr>
          <w:rFonts w:ascii="宋体" w:hAnsi="宋体" w:eastAsia="宋体" w:cs="宋体"/>
          <w:color w:val="auto"/>
          <w:spacing w:val="-2"/>
          <w:sz w:val="24"/>
          <w:szCs w:val="24"/>
          <w:highlight w:val="none"/>
        </w:rPr>
        <w:t>款式</w:t>
      </w:r>
      <w:r>
        <w:rPr>
          <w:rFonts w:hint="eastAsia" w:ascii="宋体" w:hAnsi="宋体" w:eastAsia="宋体" w:cs="宋体"/>
          <w:color w:val="auto"/>
          <w:spacing w:val="-2"/>
          <w:sz w:val="24"/>
          <w:szCs w:val="24"/>
          <w:highlight w:val="none"/>
          <w:lang w:eastAsia="zh-CN"/>
        </w:rPr>
        <w:t>均</w:t>
      </w:r>
      <w:r>
        <w:rPr>
          <w:rFonts w:ascii="宋体" w:hAnsi="宋体" w:eastAsia="宋体" w:cs="宋体"/>
          <w:color w:val="auto"/>
          <w:spacing w:val="-2"/>
          <w:sz w:val="24"/>
          <w:szCs w:val="24"/>
          <w:highlight w:val="none"/>
        </w:rPr>
        <w:t>需</w:t>
      </w:r>
      <w:r>
        <w:rPr>
          <w:rFonts w:hint="eastAsia" w:ascii="宋体" w:hAnsi="宋体" w:eastAsia="宋体" w:cs="宋体"/>
          <w:color w:val="auto"/>
          <w:spacing w:val="-2"/>
          <w:sz w:val="24"/>
          <w:szCs w:val="24"/>
          <w:highlight w:val="none"/>
          <w:lang w:eastAsia="zh-CN"/>
        </w:rPr>
        <w:t>提供一份样式图给招租方备案</w:t>
      </w:r>
      <w:r>
        <w:rPr>
          <w:rFonts w:ascii="宋体" w:hAnsi="宋体" w:eastAsia="宋体" w:cs="宋体"/>
          <w:color w:val="auto"/>
          <w:spacing w:val="-2"/>
          <w:sz w:val="24"/>
          <w:szCs w:val="24"/>
          <w:highlight w:val="none"/>
        </w:rPr>
        <w:t>。</w:t>
      </w:r>
      <w:r>
        <w:rPr>
          <w:rFonts w:hint="eastAsia" w:ascii="宋体" w:hAnsi="宋体" w:eastAsia="宋体" w:cs="宋体"/>
          <w:color w:val="auto"/>
          <w:spacing w:val="-2"/>
          <w:sz w:val="24"/>
          <w:szCs w:val="24"/>
          <w:highlight w:val="none"/>
          <w:lang w:eastAsia="zh-CN"/>
        </w:rPr>
        <w:t>承租方须保证每个在本项目工作的</w:t>
      </w:r>
      <w:r>
        <w:rPr>
          <w:rFonts w:ascii="宋体" w:hAnsi="宋体" w:eastAsia="宋体" w:cs="宋体"/>
          <w:color w:val="auto"/>
          <w:spacing w:val="-2"/>
          <w:sz w:val="24"/>
          <w:szCs w:val="24"/>
          <w:highlight w:val="none"/>
        </w:rPr>
        <w:t>员工着装必须保持整洁。</w:t>
      </w:r>
    </w:p>
    <w:p w14:paraId="0FBDD749">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ascii="宋体" w:hAnsi="宋体" w:eastAsia="宋体" w:cs="宋体"/>
          <w:color w:val="auto"/>
          <w:spacing w:val="-5"/>
          <w:sz w:val="24"/>
          <w:szCs w:val="24"/>
          <w:highlight w:val="none"/>
        </w:rPr>
      </w:pPr>
      <w:r>
        <w:rPr>
          <w:rFonts w:ascii="宋体" w:hAnsi="宋体" w:eastAsia="宋体" w:cs="宋体"/>
          <w:color w:val="auto"/>
          <w:spacing w:val="-6"/>
          <w:sz w:val="24"/>
          <w:szCs w:val="24"/>
          <w:highlight w:val="none"/>
        </w:rPr>
        <w:t>(2) 项目经理、楼面经理、服务经理、经理助理、办公人员等要求穿着得体，</w:t>
      </w:r>
      <w:r>
        <w:rPr>
          <w:rFonts w:ascii="宋体" w:hAnsi="宋体" w:eastAsia="宋体" w:cs="宋体"/>
          <w:color w:val="auto"/>
          <w:spacing w:val="64"/>
          <w:sz w:val="24"/>
          <w:szCs w:val="24"/>
          <w:highlight w:val="none"/>
        </w:rPr>
        <w:t xml:space="preserve"> </w:t>
      </w:r>
      <w:r>
        <w:rPr>
          <w:rFonts w:ascii="宋体" w:hAnsi="宋体" w:eastAsia="宋体" w:cs="宋体"/>
          <w:color w:val="auto"/>
          <w:spacing w:val="-6"/>
          <w:sz w:val="24"/>
          <w:szCs w:val="24"/>
          <w:highlight w:val="none"/>
        </w:rPr>
        <w:t>在</w:t>
      </w:r>
      <w:r>
        <w:rPr>
          <w:rFonts w:hint="eastAsia" w:ascii="宋体" w:hAnsi="宋体" w:eastAsia="宋体" w:cs="宋体"/>
          <w:color w:val="auto"/>
          <w:spacing w:val="-6"/>
          <w:sz w:val="24"/>
          <w:szCs w:val="24"/>
          <w:highlight w:val="none"/>
          <w:lang w:eastAsia="zh-CN"/>
        </w:rPr>
        <w:t>招租方</w:t>
      </w:r>
      <w:r>
        <w:rPr>
          <w:rFonts w:ascii="宋体" w:hAnsi="宋体" w:eastAsia="宋体" w:cs="宋体"/>
          <w:color w:val="auto"/>
          <w:spacing w:val="-6"/>
          <w:sz w:val="24"/>
          <w:szCs w:val="24"/>
          <w:highlight w:val="none"/>
        </w:rPr>
        <w:t>要求</w:t>
      </w:r>
      <w:r>
        <w:rPr>
          <w:rFonts w:ascii="宋体" w:hAnsi="宋体" w:eastAsia="宋体" w:cs="宋体"/>
          <w:color w:val="auto"/>
          <w:spacing w:val="-5"/>
          <w:sz w:val="24"/>
          <w:szCs w:val="24"/>
          <w:highlight w:val="none"/>
        </w:rPr>
        <w:t>时应穿着正装并淡妆工作。</w:t>
      </w:r>
    </w:p>
    <w:p w14:paraId="42AFCC72">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(3)</w:t>
      </w:r>
      <w:r>
        <w:rPr>
          <w:rFonts w:ascii="宋体" w:hAnsi="宋体" w:eastAsia="宋体" w:cs="宋体"/>
          <w:color w:val="auto"/>
          <w:spacing w:val="32"/>
          <w:sz w:val="24"/>
          <w:szCs w:val="24"/>
          <w:highlight w:val="none"/>
        </w:rPr>
        <w:t xml:space="preserve"> </w:t>
      </w:r>
      <w:r>
        <w:rPr>
          <w:rFonts w:ascii="宋体" w:hAnsi="宋体" w:eastAsia="宋体" w:cs="宋体"/>
          <w:color w:val="auto"/>
          <w:spacing w:val="-6"/>
          <w:sz w:val="24"/>
          <w:szCs w:val="24"/>
          <w:highlight w:val="none"/>
        </w:rPr>
        <w:t>厨师统一服饰、点心师统一服饰、其他食材加工人员统一服饰、服务人员</w:t>
      </w:r>
      <w:r>
        <w:rPr>
          <w:rFonts w:ascii="宋体" w:hAnsi="宋体" w:eastAsia="宋体" w:cs="宋体"/>
          <w:color w:val="auto"/>
          <w:spacing w:val="-7"/>
          <w:sz w:val="24"/>
          <w:szCs w:val="24"/>
          <w:highlight w:val="none"/>
        </w:rPr>
        <w:t>统一服饰。</w:t>
      </w:r>
    </w:p>
    <w:p w14:paraId="0021A986">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(4) 应按相关食品加工操作要求，在需要时戴清洁帽、口罩、手套、穿防滑水鞋/胶鞋上岗</w:t>
      </w:r>
      <w:r>
        <w:rPr>
          <w:rFonts w:ascii="宋体" w:hAnsi="宋体" w:eastAsia="宋体" w:cs="宋体"/>
          <w:color w:val="auto"/>
          <w:spacing w:val="-2"/>
          <w:sz w:val="24"/>
          <w:szCs w:val="24"/>
          <w:highlight w:val="none"/>
        </w:rPr>
        <w:t>并保持干净整洁，食品加工人员不得佩戴任何</w:t>
      </w:r>
      <w:r>
        <w:rPr>
          <w:rFonts w:ascii="宋体" w:hAnsi="宋体" w:eastAsia="宋体" w:cs="宋体"/>
          <w:color w:val="auto"/>
          <w:spacing w:val="-3"/>
          <w:sz w:val="24"/>
          <w:szCs w:val="24"/>
          <w:highlight w:val="none"/>
        </w:rPr>
        <w:t>首饰。</w:t>
      </w:r>
    </w:p>
    <w:p w14:paraId="554DF3D7">
      <w:pPr>
        <w:keepNext w:val="0"/>
        <w:keepLines w:val="0"/>
        <w:pageBreakBefore w:val="0"/>
        <w:widowControl/>
        <w:numPr>
          <w:ilvl w:val="0"/>
          <w:numId w:val="18"/>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lang w:eastAsia="zh-CN"/>
        </w:rPr>
        <w:t>承租方</w:t>
      </w:r>
      <w:r>
        <w:rPr>
          <w:rFonts w:ascii="宋体" w:hAnsi="宋体" w:eastAsia="宋体" w:cs="宋体"/>
          <w:color w:val="auto"/>
          <w:spacing w:val="2"/>
          <w:sz w:val="24"/>
          <w:szCs w:val="24"/>
          <w:highlight w:val="none"/>
        </w:rPr>
        <w:t>必须要求所有派驻服务人员服从</w:t>
      </w:r>
      <w:r>
        <w:rPr>
          <w:rFonts w:hint="eastAsia" w:ascii="宋体" w:hAnsi="宋体" w:eastAsia="宋体" w:cs="宋体"/>
          <w:color w:val="auto"/>
          <w:spacing w:val="2"/>
          <w:sz w:val="24"/>
          <w:szCs w:val="24"/>
          <w:highlight w:val="none"/>
          <w:lang w:eastAsia="zh-CN"/>
        </w:rPr>
        <w:t>招租方</w:t>
      </w:r>
      <w:r>
        <w:rPr>
          <w:rFonts w:ascii="宋体" w:hAnsi="宋体" w:eastAsia="宋体" w:cs="宋体"/>
          <w:color w:val="auto"/>
          <w:spacing w:val="2"/>
          <w:sz w:val="24"/>
          <w:szCs w:val="24"/>
          <w:highlight w:val="none"/>
        </w:rPr>
        <w:t>的管理，严格执行</w:t>
      </w:r>
      <w:r>
        <w:rPr>
          <w:rFonts w:hint="eastAsia" w:ascii="宋体" w:hAnsi="宋体" w:eastAsia="宋体" w:cs="宋体"/>
          <w:color w:val="auto"/>
          <w:spacing w:val="2"/>
          <w:sz w:val="24"/>
          <w:szCs w:val="24"/>
          <w:highlight w:val="none"/>
          <w:lang w:eastAsia="zh-CN"/>
        </w:rPr>
        <w:t>招租方</w:t>
      </w:r>
      <w:r>
        <w:rPr>
          <w:rFonts w:ascii="宋体" w:hAnsi="宋体" w:eastAsia="宋体" w:cs="宋体"/>
          <w:color w:val="auto"/>
          <w:spacing w:val="2"/>
          <w:sz w:val="24"/>
          <w:szCs w:val="24"/>
          <w:highlight w:val="none"/>
        </w:rPr>
        <w:t>的规章制度及工</w:t>
      </w:r>
      <w:r>
        <w:rPr>
          <w:rFonts w:ascii="宋体" w:hAnsi="宋体" w:eastAsia="宋体" w:cs="宋体"/>
          <w:color w:val="auto"/>
          <w:spacing w:val="-3"/>
          <w:sz w:val="24"/>
          <w:szCs w:val="24"/>
          <w:highlight w:val="none"/>
        </w:rPr>
        <w:t>作内容，并完成</w:t>
      </w:r>
      <w:r>
        <w:rPr>
          <w:rFonts w:hint="eastAsia" w:ascii="宋体" w:hAnsi="宋体" w:eastAsia="宋体" w:cs="宋体"/>
          <w:color w:val="auto"/>
          <w:spacing w:val="-3"/>
          <w:sz w:val="24"/>
          <w:szCs w:val="24"/>
          <w:highlight w:val="none"/>
          <w:lang w:eastAsia="zh-CN"/>
        </w:rPr>
        <w:t>招租方</w:t>
      </w:r>
      <w:r>
        <w:rPr>
          <w:rFonts w:ascii="宋体" w:hAnsi="宋体" w:eastAsia="宋体" w:cs="宋体"/>
          <w:color w:val="auto"/>
          <w:spacing w:val="-3"/>
          <w:sz w:val="24"/>
          <w:szCs w:val="24"/>
          <w:highlight w:val="none"/>
        </w:rPr>
        <w:t>指派的各项工作任务。</w:t>
      </w:r>
    </w:p>
    <w:p w14:paraId="4002650E">
      <w:pPr>
        <w:keepNext w:val="0"/>
        <w:keepLines w:val="0"/>
        <w:pageBreakBefore w:val="0"/>
        <w:widowControl/>
        <w:numPr>
          <w:ilvl w:val="0"/>
          <w:numId w:val="18"/>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lang w:eastAsia="zh-CN"/>
        </w:rPr>
        <w:t>承租方</w:t>
      </w:r>
      <w:r>
        <w:rPr>
          <w:rFonts w:ascii="宋体" w:hAnsi="宋体" w:eastAsia="宋体" w:cs="宋体"/>
          <w:color w:val="auto"/>
          <w:spacing w:val="1"/>
          <w:sz w:val="24"/>
          <w:szCs w:val="24"/>
          <w:highlight w:val="none"/>
        </w:rPr>
        <w:t>驻场员工考勤方式采取人脸或指模考勤机进行，相关设备与系统由</w:t>
      </w:r>
      <w:r>
        <w:rPr>
          <w:rFonts w:hint="eastAsia" w:ascii="宋体" w:hAnsi="宋体" w:eastAsia="宋体" w:cs="宋体"/>
          <w:color w:val="auto"/>
          <w:spacing w:val="1"/>
          <w:sz w:val="24"/>
          <w:szCs w:val="24"/>
          <w:highlight w:val="none"/>
          <w:lang w:eastAsia="zh-CN"/>
        </w:rPr>
        <w:t>承租方</w:t>
      </w:r>
      <w:r>
        <w:rPr>
          <w:rFonts w:ascii="宋体" w:hAnsi="宋体" w:eastAsia="宋体" w:cs="宋体"/>
          <w:color w:val="auto"/>
          <w:sz w:val="24"/>
          <w:szCs w:val="24"/>
          <w:highlight w:val="none"/>
        </w:rPr>
        <w:t>提供，</w:t>
      </w:r>
      <w:r>
        <w:rPr>
          <w:rFonts w:ascii="宋体" w:hAnsi="宋体" w:eastAsia="宋体" w:cs="宋体"/>
          <w:color w:val="auto"/>
          <w:spacing w:val="-3"/>
          <w:sz w:val="24"/>
          <w:szCs w:val="24"/>
          <w:highlight w:val="none"/>
        </w:rPr>
        <w:t>考勤记录为以考勤机打印的考勤表。</w:t>
      </w:r>
    </w:p>
    <w:p w14:paraId="3BD933F2">
      <w:pPr>
        <w:keepNext w:val="0"/>
        <w:keepLines w:val="0"/>
        <w:pageBreakBefore w:val="0"/>
        <w:widowControl/>
        <w:numPr>
          <w:ilvl w:val="0"/>
          <w:numId w:val="18"/>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lang w:eastAsia="zh-CN"/>
        </w:rPr>
        <w:t>承租方</w:t>
      </w:r>
      <w:r>
        <w:rPr>
          <w:rFonts w:ascii="宋体" w:hAnsi="宋体" w:eastAsia="宋体" w:cs="宋体"/>
          <w:color w:val="auto"/>
          <w:spacing w:val="-1"/>
          <w:sz w:val="24"/>
          <w:szCs w:val="24"/>
          <w:highlight w:val="none"/>
        </w:rPr>
        <w:t>必须提供所有驻场服务人员的工作服、工牌、及劳保用品和职工餐厅废弃垃</w:t>
      </w:r>
      <w:r>
        <w:rPr>
          <w:rFonts w:ascii="宋体" w:hAnsi="宋体" w:eastAsia="宋体" w:cs="宋体"/>
          <w:color w:val="auto"/>
          <w:spacing w:val="-2"/>
          <w:sz w:val="24"/>
          <w:szCs w:val="24"/>
          <w:highlight w:val="none"/>
        </w:rPr>
        <w:t>圾的</w:t>
      </w:r>
      <w:r>
        <w:rPr>
          <w:rFonts w:ascii="宋体" w:hAnsi="宋体" w:eastAsia="宋体" w:cs="宋体"/>
          <w:color w:val="auto"/>
          <w:spacing w:val="-1"/>
          <w:sz w:val="24"/>
          <w:szCs w:val="24"/>
          <w:highlight w:val="none"/>
        </w:rPr>
        <w:t>清理用品，服务人员要求统一着装、戴清洁帽、穿防滑水鞋/胶鞋上岗并保持干净整</w:t>
      </w:r>
      <w:r>
        <w:rPr>
          <w:rFonts w:ascii="宋体" w:hAnsi="宋体" w:eastAsia="宋体" w:cs="宋体"/>
          <w:color w:val="auto"/>
          <w:spacing w:val="-2"/>
          <w:sz w:val="24"/>
          <w:szCs w:val="24"/>
          <w:highlight w:val="none"/>
        </w:rPr>
        <w:t>洁。</w:t>
      </w:r>
    </w:p>
    <w:p w14:paraId="0166B313">
      <w:pPr>
        <w:keepNext w:val="0"/>
        <w:keepLines w:val="0"/>
        <w:pageBreakBefore w:val="0"/>
        <w:widowControl/>
        <w:numPr>
          <w:ilvl w:val="0"/>
          <w:numId w:val="18"/>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pacing w:val="-3"/>
          <w:sz w:val="24"/>
          <w:szCs w:val="24"/>
          <w:highlight w:val="none"/>
        </w:rPr>
      </w:pPr>
      <w:r>
        <w:rPr>
          <w:rFonts w:hint="eastAsia" w:ascii="宋体" w:hAnsi="宋体" w:eastAsia="宋体" w:cs="宋体"/>
          <w:color w:val="auto"/>
          <w:sz w:val="24"/>
          <w:szCs w:val="24"/>
          <w:highlight w:val="none"/>
          <w:lang w:eastAsia="zh-CN"/>
        </w:rPr>
        <w:t>承租方</w:t>
      </w:r>
      <w:r>
        <w:rPr>
          <w:rFonts w:ascii="宋体" w:hAnsi="宋体" w:eastAsia="宋体" w:cs="宋体"/>
          <w:color w:val="auto"/>
          <w:sz w:val="24"/>
          <w:szCs w:val="24"/>
          <w:highlight w:val="none"/>
        </w:rPr>
        <w:t>的所有驻场服务人员必须持有有效的餐饮人员健康证，病人配餐员要求形象好、</w:t>
      </w:r>
      <w:r>
        <w:rPr>
          <w:rFonts w:ascii="宋体" w:hAnsi="宋体" w:eastAsia="宋体" w:cs="宋体"/>
          <w:color w:val="auto"/>
          <w:spacing w:val="-5"/>
          <w:sz w:val="24"/>
          <w:szCs w:val="24"/>
          <w:highlight w:val="none"/>
        </w:rPr>
        <w:t>能熟练运用服务用语，能听懂粤语。</w:t>
      </w:r>
    </w:p>
    <w:p w14:paraId="0F3CA376">
      <w:pPr>
        <w:keepNext w:val="0"/>
        <w:keepLines w:val="0"/>
        <w:pageBreakBefore w:val="0"/>
        <w:widowControl/>
        <w:numPr>
          <w:ilvl w:val="0"/>
          <w:numId w:val="18"/>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lang w:eastAsia="zh-CN"/>
        </w:rPr>
        <w:t>承租方</w:t>
      </w:r>
      <w:r>
        <w:rPr>
          <w:rFonts w:ascii="宋体" w:hAnsi="宋体" w:eastAsia="宋体" w:cs="宋体"/>
          <w:color w:val="auto"/>
          <w:spacing w:val="-1"/>
          <w:sz w:val="24"/>
          <w:szCs w:val="24"/>
          <w:highlight w:val="none"/>
        </w:rPr>
        <w:t>必须要求所有驻场服务人员服从</w:t>
      </w:r>
      <w:r>
        <w:rPr>
          <w:rFonts w:hint="eastAsia" w:ascii="宋体" w:hAnsi="宋体" w:eastAsia="宋体" w:cs="宋体"/>
          <w:color w:val="auto"/>
          <w:spacing w:val="-1"/>
          <w:sz w:val="24"/>
          <w:szCs w:val="24"/>
          <w:highlight w:val="none"/>
          <w:lang w:eastAsia="zh-CN"/>
        </w:rPr>
        <w:t>招租方</w:t>
      </w:r>
      <w:r>
        <w:rPr>
          <w:rFonts w:ascii="宋体" w:hAnsi="宋体" w:eastAsia="宋体" w:cs="宋体"/>
          <w:color w:val="auto"/>
          <w:spacing w:val="-1"/>
          <w:sz w:val="24"/>
          <w:szCs w:val="24"/>
          <w:highlight w:val="none"/>
        </w:rPr>
        <w:t>的管理，严格执行</w:t>
      </w:r>
      <w:r>
        <w:rPr>
          <w:rFonts w:hint="eastAsia" w:ascii="宋体" w:hAnsi="宋体" w:eastAsia="宋体" w:cs="宋体"/>
          <w:color w:val="auto"/>
          <w:spacing w:val="-1"/>
          <w:sz w:val="24"/>
          <w:szCs w:val="24"/>
          <w:highlight w:val="none"/>
          <w:lang w:eastAsia="zh-CN"/>
        </w:rPr>
        <w:t>招租方</w:t>
      </w:r>
      <w:r>
        <w:rPr>
          <w:rFonts w:ascii="宋体" w:hAnsi="宋体" w:eastAsia="宋体" w:cs="宋体"/>
          <w:color w:val="auto"/>
          <w:spacing w:val="-1"/>
          <w:sz w:val="24"/>
          <w:szCs w:val="24"/>
          <w:highlight w:val="none"/>
        </w:rPr>
        <w:t>的规章</w:t>
      </w:r>
      <w:r>
        <w:rPr>
          <w:rFonts w:ascii="宋体" w:hAnsi="宋体" w:eastAsia="宋体" w:cs="宋体"/>
          <w:color w:val="auto"/>
          <w:spacing w:val="-2"/>
          <w:sz w:val="24"/>
          <w:szCs w:val="24"/>
          <w:highlight w:val="none"/>
        </w:rPr>
        <w:t>制度及工作内容，并无条件完成</w:t>
      </w:r>
      <w:r>
        <w:rPr>
          <w:rFonts w:hint="eastAsia" w:ascii="宋体" w:hAnsi="宋体" w:eastAsia="宋体" w:cs="宋体"/>
          <w:color w:val="auto"/>
          <w:spacing w:val="-2"/>
          <w:sz w:val="24"/>
          <w:szCs w:val="24"/>
          <w:highlight w:val="none"/>
          <w:lang w:eastAsia="zh-CN"/>
        </w:rPr>
        <w:t>招租方</w:t>
      </w:r>
      <w:r>
        <w:rPr>
          <w:rFonts w:ascii="宋体" w:hAnsi="宋体" w:eastAsia="宋体" w:cs="宋体"/>
          <w:color w:val="auto"/>
          <w:spacing w:val="-2"/>
          <w:sz w:val="24"/>
          <w:szCs w:val="24"/>
          <w:highlight w:val="none"/>
        </w:rPr>
        <w:t>指派的各项合同条款规定的工作任务。</w:t>
      </w:r>
    </w:p>
    <w:p w14:paraId="4F6A3F7C">
      <w:pPr>
        <w:keepNext w:val="0"/>
        <w:keepLines w:val="0"/>
        <w:pageBreakBefore w:val="0"/>
        <w:widowControl/>
        <w:numPr>
          <w:ilvl w:val="0"/>
          <w:numId w:val="1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w:t>
      </w:r>
      <w:r>
        <w:rPr>
          <w:rFonts w:hint="eastAsia" w:ascii="宋体" w:hAnsi="宋体" w:eastAsia="宋体" w:cs="宋体"/>
          <w:b/>
          <w:bCs/>
          <w:color w:val="auto"/>
          <w:spacing w:val="-5"/>
          <w:sz w:val="24"/>
          <w:szCs w:val="24"/>
          <w:highlight w:val="none"/>
          <w:lang w:val="en-US" w:eastAsia="zh-CN"/>
        </w:rPr>
        <w:t>质</w:t>
      </w:r>
      <w:r>
        <w:rPr>
          <w:rFonts w:ascii="宋体" w:hAnsi="宋体" w:eastAsia="宋体" w:cs="宋体"/>
          <w:b/>
          <w:bCs/>
          <w:color w:val="auto"/>
          <w:spacing w:val="-5"/>
          <w:sz w:val="24"/>
          <w:szCs w:val="24"/>
          <w:highlight w:val="none"/>
        </w:rPr>
        <w:t>量考核方案</w:t>
      </w:r>
    </w:p>
    <w:p w14:paraId="1E066725">
      <w:pPr>
        <w:keepNext w:val="0"/>
        <w:keepLines w:val="0"/>
        <w:pageBreakBefore w:val="0"/>
        <w:widowControl/>
        <w:numPr>
          <w:ilvl w:val="0"/>
          <w:numId w:val="19"/>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如</w:t>
      </w:r>
      <w:r>
        <w:rPr>
          <w:rFonts w:hint="eastAsia" w:ascii="宋体" w:hAnsi="宋体" w:eastAsia="宋体" w:cs="宋体"/>
          <w:color w:val="auto"/>
          <w:spacing w:val="-5"/>
          <w:sz w:val="24"/>
          <w:szCs w:val="24"/>
          <w:highlight w:val="none"/>
          <w:lang w:eastAsia="zh-CN"/>
        </w:rPr>
        <w:t>承租方</w:t>
      </w:r>
      <w:r>
        <w:rPr>
          <w:rFonts w:ascii="宋体" w:hAnsi="宋体" w:eastAsia="宋体" w:cs="宋体"/>
          <w:color w:val="auto"/>
          <w:spacing w:val="-5"/>
          <w:sz w:val="24"/>
          <w:szCs w:val="24"/>
          <w:highlight w:val="none"/>
        </w:rPr>
        <w:t>有转包、分包、挂靠，</w:t>
      </w:r>
      <w:r>
        <w:rPr>
          <w:rFonts w:hint="eastAsia" w:ascii="宋体" w:hAnsi="宋体" w:eastAsia="宋体" w:cs="宋体"/>
          <w:color w:val="auto"/>
          <w:spacing w:val="-5"/>
          <w:sz w:val="24"/>
          <w:szCs w:val="24"/>
          <w:highlight w:val="none"/>
          <w:lang w:eastAsia="zh-CN"/>
        </w:rPr>
        <w:t>招租方</w:t>
      </w:r>
      <w:r>
        <w:rPr>
          <w:rFonts w:ascii="宋体" w:hAnsi="宋体" w:eastAsia="宋体" w:cs="宋体"/>
          <w:color w:val="auto"/>
          <w:spacing w:val="-5"/>
          <w:sz w:val="24"/>
          <w:szCs w:val="24"/>
          <w:highlight w:val="none"/>
        </w:rPr>
        <w:t>没收全部</w:t>
      </w:r>
      <w:r>
        <w:rPr>
          <w:rFonts w:ascii="宋体" w:hAnsi="宋体" w:eastAsia="宋体" w:cs="宋体"/>
          <w:color w:val="auto"/>
          <w:spacing w:val="-6"/>
          <w:sz w:val="24"/>
          <w:szCs w:val="24"/>
          <w:highlight w:val="none"/>
        </w:rPr>
        <w:t>履约保证金，并有权</w:t>
      </w:r>
      <w:r>
        <w:rPr>
          <w:rFonts w:ascii="宋体" w:hAnsi="宋体" w:eastAsia="宋体" w:cs="宋体"/>
          <w:color w:val="auto"/>
          <w:spacing w:val="-8"/>
          <w:sz w:val="24"/>
          <w:szCs w:val="24"/>
          <w:highlight w:val="none"/>
        </w:rPr>
        <w:t>终止合同。</w:t>
      </w:r>
    </w:p>
    <w:p w14:paraId="33DE32EF">
      <w:pPr>
        <w:keepNext w:val="0"/>
        <w:keepLines w:val="0"/>
        <w:pageBreakBefore w:val="0"/>
        <w:widowControl/>
        <w:numPr>
          <w:ilvl w:val="0"/>
          <w:numId w:val="19"/>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本项目实行质量与服务月度考核方案，并严格执行，</w:t>
      </w:r>
      <w:r>
        <w:rPr>
          <w:rFonts w:hint="eastAsia" w:ascii="宋体" w:hAnsi="宋体" w:eastAsia="宋体" w:cs="宋体"/>
          <w:color w:val="auto"/>
          <w:spacing w:val="-1"/>
          <w:sz w:val="24"/>
          <w:szCs w:val="24"/>
          <w:highlight w:val="none"/>
          <w:lang w:eastAsia="zh-CN"/>
        </w:rPr>
        <w:t>招租方</w:t>
      </w:r>
      <w:r>
        <w:rPr>
          <w:rFonts w:ascii="宋体" w:hAnsi="宋体" w:eastAsia="宋体" w:cs="宋体"/>
          <w:color w:val="auto"/>
          <w:spacing w:val="-1"/>
          <w:sz w:val="24"/>
          <w:szCs w:val="24"/>
          <w:highlight w:val="none"/>
        </w:rPr>
        <w:t>每月对</w:t>
      </w:r>
      <w:r>
        <w:rPr>
          <w:rFonts w:hint="eastAsia" w:ascii="宋体" w:hAnsi="宋体" w:eastAsia="宋体" w:cs="宋体"/>
          <w:color w:val="auto"/>
          <w:spacing w:val="-1"/>
          <w:sz w:val="24"/>
          <w:szCs w:val="24"/>
          <w:highlight w:val="none"/>
          <w:lang w:eastAsia="zh-CN"/>
        </w:rPr>
        <w:t>承租方</w:t>
      </w:r>
      <w:r>
        <w:rPr>
          <w:rFonts w:ascii="宋体" w:hAnsi="宋体" w:eastAsia="宋体" w:cs="宋体"/>
          <w:color w:val="auto"/>
          <w:spacing w:val="-1"/>
          <w:sz w:val="24"/>
          <w:szCs w:val="24"/>
          <w:highlight w:val="none"/>
        </w:rPr>
        <w:t>提供的服务进行</w:t>
      </w:r>
      <w:r>
        <w:rPr>
          <w:rFonts w:ascii="宋体" w:hAnsi="宋体" w:eastAsia="宋体" w:cs="宋体"/>
          <w:color w:val="auto"/>
          <w:spacing w:val="-7"/>
          <w:sz w:val="24"/>
          <w:szCs w:val="24"/>
          <w:highlight w:val="none"/>
        </w:rPr>
        <w:t>月度考核，如当期合同内累计2次月考核得分低于70</w:t>
      </w:r>
      <w:r>
        <w:rPr>
          <w:rFonts w:ascii="宋体" w:hAnsi="宋体" w:eastAsia="宋体" w:cs="宋体"/>
          <w:color w:val="auto"/>
          <w:spacing w:val="-48"/>
          <w:sz w:val="24"/>
          <w:szCs w:val="24"/>
          <w:highlight w:val="none"/>
        </w:rPr>
        <w:t xml:space="preserve"> </w:t>
      </w:r>
      <w:r>
        <w:rPr>
          <w:rFonts w:ascii="宋体" w:hAnsi="宋体" w:eastAsia="宋体" w:cs="宋体"/>
          <w:color w:val="auto"/>
          <w:spacing w:val="-7"/>
          <w:sz w:val="24"/>
          <w:szCs w:val="24"/>
          <w:highlight w:val="none"/>
        </w:rPr>
        <w:t>分（不含70分）或</w:t>
      </w:r>
      <w:r>
        <w:rPr>
          <w:rFonts w:ascii="宋体" w:hAnsi="宋体" w:eastAsia="宋体" w:cs="宋体"/>
          <w:color w:val="auto"/>
          <w:spacing w:val="-8"/>
          <w:sz w:val="24"/>
          <w:szCs w:val="24"/>
          <w:highlight w:val="none"/>
        </w:rPr>
        <w:t>累计</w:t>
      </w:r>
      <w:r>
        <w:rPr>
          <w:rFonts w:ascii="宋体" w:hAnsi="宋体" w:eastAsia="宋体" w:cs="宋体"/>
          <w:color w:val="auto"/>
          <w:spacing w:val="-32"/>
          <w:sz w:val="24"/>
          <w:szCs w:val="24"/>
          <w:highlight w:val="none"/>
        </w:rPr>
        <w:t xml:space="preserve"> </w:t>
      </w:r>
      <w:r>
        <w:rPr>
          <w:rFonts w:ascii="宋体" w:hAnsi="宋体" w:eastAsia="宋体" w:cs="宋体"/>
          <w:color w:val="auto"/>
          <w:spacing w:val="-8"/>
          <w:sz w:val="24"/>
          <w:szCs w:val="24"/>
          <w:highlight w:val="none"/>
        </w:rPr>
        <w:t>1</w:t>
      </w:r>
      <w:r>
        <w:rPr>
          <w:rFonts w:ascii="宋体" w:hAnsi="宋体" w:eastAsia="宋体" w:cs="宋体"/>
          <w:color w:val="auto"/>
          <w:spacing w:val="-44"/>
          <w:sz w:val="24"/>
          <w:szCs w:val="24"/>
          <w:highlight w:val="none"/>
        </w:rPr>
        <w:t xml:space="preserve"> </w:t>
      </w:r>
      <w:r>
        <w:rPr>
          <w:rFonts w:ascii="宋体" w:hAnsi="宋体" w:eastAsia="宋体" w:cs="宋体"/>
          <w:color w:val="auto"/>
          <w:spacing w:val="-8"/>
          <w:sz w:val="24"/>
          <w:szCs w:val="24"/>
          <w:highlight w:val="none"/>
        </w:rPr>
        <w:t>次低于</w:t>
      </w:r>
      <w:r>
        <w:rPr>
          <w:rFonts w:ascii="宋体" w:hAnsi="宋体" w:eastAsia="宋体" w:cs="宋体"/>
          <w:color w:val="auto"/>
          <w:spacing w:val="-49"/>
          <w:sz w:val="24"/>
          <w:szCs w:val="24"/>
          <w:highlight w:val="none"/>
        </w:rPr>
        <w:t xml:space="preserve"> </w:t>
      </w:r>
      <w:r>
        <w:rPr>
          <w:rFonts w:ascii="宋体" w:hAnsi="宋体" w:eastAsia="宋体" w:cs="宋体"/>
          <w:color w:val="auto"/>
          <w:spacing w:val="-8"/>
          <w:sz w:val="24"/>
          <w:szCs w:val="24"/>
          <w:highlight w:val="none"/>
        </w:rPr>
        <w:t>60</w:t>
      </w:r>
      <w:r>
        <w:rPr>
          <w:rFonts w:ascii="宋体" w:hAnsi="宋体" w:eastAsia="宋体" w:cs="宋体"/>
          <w:color w:val="auto"/>
          <w:spacing w:val="-47"/>
          <w:sz w:val="24"/>
          <w:szCs w:val="24"/>
          <w:highlight w:val="none"/>
        </w:rPr>
        <w:t xml:space="preserve"> </w:t>
      </w:r>
      <w:r>
        <w:rPr>
          <w:rFonts w:ascii="宋体" w:hAnsi="宋体" w:eastAsia="宋体" w:cs="宋体"/>
          <w:color w:val="auto"/>
          <w:spacing w:val="-8"/>
          <w:sz w:val="24"/>
          <w:szCs w:val="24"/>
          <w:highlight w:val="none"/>
        </w:rPr>
        <w:t>分（不</w:t>
      </w:r>
      <w:r>
        <w:rPr>
          <w:rFonts w:ascii="宋体" w:hAnsi="宋体" w:eastAsia="宋体" w:cs="宋体"/>
          <w:color w:val="auto"/>
          <w:spacing w:val="-1"/>
          <w:sz w:val="24"/>
          <w:szCs w:val="24"/>
          <w:highlight w:val="none"/>
        </w:rPr>
        <w:t>含 60 分</w:t>
      </w:r>
      <w:r>
        <w:rPr>
          <w:rFonts w:ascii="宋体" w:hAnsi="宋体" w:eastAsia="宋体" w:cs="宋体"/>
          <w:color w:val="auto"/>
          <w:spacing w:val="7"/>
          <w:sz w:val="24"/>
          <w:szCs w:val="24"/>
          <w:highlight w:val="none"/>
        </w:rPr>
        <w:t>），</w:t>
      </w:r>
      <w:r>
        <w:rPr>
          <w:rFonts w:hint="eastAsia" w:ascii="宋体" w:hAnsi="宋体" w:eastAsia="宋体" w:cs="宋体"/>
          <w:color w:val="auto"/>
          <w:spacing w:val="-1"/>
          <w:sz w:val="24"/>
          <w:szCs w:val="24"/>
          <w:highlight w:val="none"/>
          <w:lang w:eastAsia="zh-CN"/>
        </w:rPr>
        <w:t>招租方</w:t>
      </w:r>
      <w:r>
        <w:rPr>
          <w:rFonts w:ascii="宋体" w:hAnsi="宋体" w:eastAsia="宋体" w:cs="宋体"/>
          <w:color w:val="auto"/>
          <w:spacing w:val="-1"/>
          <w:sz w:val="24"/>
          <w:szCs w:val="24"/>
          <w:highlight w:val="none"/>
        </w:rPr>
        <w:t>有权终止合同，相关损失由</w:t>
      </w:r>
      <w:r>
        <w:rPr>
          <w:rFonts w:hint="eastAsia" w:ascii="宋体" w:hAnsi="宋体" w:eastAsia="宋体" w:cs="宋体"/>
          <w:color w:val="auto"/>
          <w:spacing w:val="-1"/>
          <w:sz w:val="24"/>
          <w:szCs w:val="24"/>
          <w:highlight w:val="none"/>
          <w:lang w:eastAsia="zh-CN"/>
        </w:rPr>
        <w:t>承租方</w:t>
      </w:r>
      <w:r>
        <w:rPr>
          <w:rFonts w:ascii="宋体" w:hAnsi="宋体" w:eastAsia="宋体" w:cs="宋体"/>
          <w:color w:val="auto"/>
          <w:spacing w:val="-1"/>
          <w:sz w:val="24"/>
          <w:szCs w:val="24"/>
          <w:highlight w:val="none"/>
        </w:rPr>
        <w:t>自行承担。月度考核评分表如下所示（每</w:t>
      </w:r>
      <w:r>
        <w:rPr>
          <w:rFonts w:ascii="宋体" w:hAnsi="宋体" w:eastAsia="宋体" w:cs="宋体"/>
          <w:color w:val="auto"/>
          <w:spacing w:val="-4"/>
          <w:sz w:val="24"/>
          <w:szCs w:val="24"/>
          <w:highlight w:val="none"/>
        </w:rPr>
        <w:t>半年该评价表细则可经双方协议再修订</w:t>
      </w:r>
      <w:r>
        <w:rPr>
          <w:rFonts w:ascii="宋体" w:hAnsi="宋体" w:eastAsia="宋体" w:cs="宋体"/>
          <w:color w:val="auto"/>
          <w:spacing w:val="2"/>
          <w:sz w:val="24"/>
          <w:szCs w:val="24"/>
          <w:highlight w:val="none"/>
        </w:rPr>
        <w:t>）</w:t>
      </w:r>
      <w:r>
        <w:rPr>
          <w:rFonts w:hint="eastAsia" w:ascii="宋体" w:hAnsi="宋体" w:eastAsia="宋体" w:cs="宋体"/>
          <w:color w:val="auto"/>
          <w:spacing w:val="2"/>
          <w:sz w:val="24"/>
          <w:szCs w:val="24"/>
          <w:highlight w:val="none"/>
          <w:lang w:eastAsia="zh-CN"/>
        </w:rPr>
        <w:t>。</w:t>
      </w:r>
    </w:p>
    <w:p w14:paraId="1ECE11E1">
      <w:pPr>
        <w:pStyle w:val="4"/>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rFonts w:hint="eastAsia" w:ascii="新宋体" w:hAnsi="新宋体" w:eastAsia="新宋体" w:cs="新宋体"/>
          <w:b/>
          <w:bCs/>
          <w:color w:val="auto"/>
          <w:spacing w:val="-13"/>
          <w:sz w:val="24"/>
          <w:szCs w:val="24"/>
          <w:highlight w:val="none"/>
          <w:lang w:val="en-US" w:eastAsia="zh-CN"/>
        </w:rPr>
      </w:pPr>
      <w:r>
        <w:rPr>
          <w:rFonts w:hint="eastAsia" w:ascii="新宋体" w:hAnsi="新宋体" w:eastAsia="新宋体" w:cs="新宋体"/>
          <w:b/>
          <w:bCs/>
          <w:color w:val="auto"/>
          <w:spacing w:val="-13"/>
          <w:sz w:val="24"/>
          <w:szCs w:val="24"/>
          <w:highlight w:val="none"/>
          <w:lang w:val="en-US" w:eastAsia="zh-CN"/>
        </w:rPr>
        <w:t>合同的终止</w:t>
      </w:r>
    </w:p>
    <w:p w14:paraId="40B844D5">
      <w:pPr>
        <w:pStyle w:val="4"/>
        <w:keepNext w:val="0"/>
        <w:keepLines w:val="0"/>
        <w:pageBreakBefore w:val="0"/>
        <w:widowControl/>
        <w:numPr>
          <w:ilvl w:val="0"/>
          <w:numId w:val="20"/>
        </w:numPr>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z w:val="24"/>
          <w:szCs w:val="24"/>
          <w:highlight w:val="none"/>
          <w:lang w:eastAsia="zh-CN"/>
        </w:rPr>
      </w:pPr>
      <w:r>
        <w:rPr>
          <w:rFonts w:hint="eastAsia" w:ascii="新宋体" w:hAnsi="新宋体" w:eastAsia="新宋体" w:cs="新宋体"/>
          <w:color w:val="auto"/>
          <w:spacing w:val="19"/>
          <w:sz w:val="24"/>
          <w:szCs w:val="24"/>
          <w:highlight w:val="none"/>
        </w:rPr>
        <w:t>在合同有效期内，发生以下情况时，</w:t>
      </w:r>
      <w:r>
        <w:rPr>
          <w:rFonts w:hint="eastAsia" w:ascii="新宋体" w:hAnsi="新宋体" w:eastAsia="新宋体" w:cs="新宋体"/>
          <w:color w:val="auto"/>
          <w:spacing w:val="19"/>
          <w:sz w:val="24"/>
          <w:szCs w:val="24"/>
          <w:highlight w:val="none"/>
          <w:lang w:eastAsia="zh-CN"/>
        </w:rPr>
        <w:t>招租方</w:t>
      </w:r>
      <w:r>
        <w:rPr>
          <w:rFonts w:hint="eastAsia" w:ascii="新宋体" w:hAnsi="新宋体" w:eastAsia="新宋体" w:cs="新宋体"/>
          <w:color w:val="auto"/>
          <w:spacing w:val="19"/>
          <w:sz w:val="24"/>
          <w:szCs w:val="24"/>
          <w:highlight w:val="none"/>
        </w:rPr>
        <w:t>有权</w:t>
      </w:r>
      <w:r>
        <w:rPr>
          <w:rFonts w:hint="eastAsia" w:ascii="新宋体" w:hAnsi="新宋体" w:eastAsia="新宋体" w:cs="新宋体"/>
          <w:color w:val="auto"/>
          <w:spacing w:val="18"/>
          <w:sz w:val="24"/>
          <w:szCs w:val="24"/>
          <w:highlight w:val="none"/>
        </w:rPr>
        <w:t>提前终止合</w:t>
      </w:r>
      <w:r>
        <w:rPr>
          <w:rFonts w:hint="eastAsia" w:ascii="新宋体" w:hAnsi="新宋体" w:eastAsia="新宋体" w:cs="新宋体"/>
          <w:color w:val="auto"/>
          <w:sz w:val="24"/>
          <w:szCs w:val="24"/>
          <w:highlight w:val="none"/>
        </w:rPr>
        <w:t>同，违约责任由</w:t>
      </w:r>
      <w:r>
        <w:rPr>
          <w:rFonts w:hint="eastAsia" w:ascii="新宋体" w:hAnsi="新宋体" w:eastAsia="新宋体" w:cs="新宋体"/>
          <w:color w:val="auto"/>
          <w:sz w:val="24"/>
          <w:szCs w:val="24"/>
          <w:highlight w:val="none"/>
          <w:lang w:eastAsia="zh-CN"/>
        </w:rPr>
        <w:t>承租方</w:t>
      </w:r>
      <w:r>
        <w:rPr>
          <w:rFonts w:hint="eastAsia" w:ascii="新宋体" w:hAnsi="新宋体" w:eastAsia="新宋体" w:cs="新宋体"/>
          <w:color w:val="auto"/>
          <w:sz w:val="24"/>
          <w:szCs w:val="24"/>
          <w:highlight w:val="none"/>
        </w:rPr>
        <w:t>负责，由此造成的一切损失均由</w:t>
      </w:r>
      <w:r>
        <w:rPr>
          <w:rFonts w:hint="eastAsia" w:ascii="新宋体" w:hAnsi="新宋体" w:eastAsia="新宋体" w:cs="新宋体"/>
          <w:color w:val="auto"/>
          <w:sz w:val="24"/>
          <w:szCs w:val="24"/>
          <w:highlight w:val="none"/>
          <w:lang w:eastAsia="zh-CN"/>
        </w:rPr>
        <w:t>承租方</w:t>
      </w:r>
      <w:r>
        <w:rPr>
          <w:rFonts w:hint="eastAsia" w:ascii="新宋体" w:hAnsi="新宋体" w:eastAsia="新宋体" w:cs="新宋体"/>
          <w:color w:val="auto"/>
          <w:sz w:val="24"/>
          <w:szCs w:val="24"/>
          <w:highlight w:val="none"/>
        </w:rPr>
        <w:t>负责。</w:t>
      </w:r>
    </w:p>
    <w:p w14:paraId="1A6281BB">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z w:val="24"/>
          <w:szCs w:val="24"/>
          <w:highlight w:val="none"/>
        </w:rPr>
      </w:pPr>
      <w:r>
        <w:rPr>
          <w:rFonts w:hint="eastAsia" w:ascii="新宋体" w:hAnsi="新宋体" w:eastAsia="新宋体" w:cs="新宋体"/>
          <w:color w:val="auto"/>
          <w:spacing w:val="15"/>
          <w:sz w:val="24"/>
          <w:szCs w:val="24"/>
          <w:highlight w:val="none"/>
        </w:rPr>
        <w:t>2. 合同的前六个月为试用期，试用期内</w:t>
      </w:r>
      <w:r>
        <w:rPr>
          <w:rFonts w:hint="eastAsia" w:ascii="新宋体" w:hAnsi="新宋体" w:eastAsia="新宋体" w:cs="新宋体"/>
          <w:color w:val="auto"/>
          <w:spacing w:val="15"/>
          <w:sz w:val="24"/>
          <w:szCs w:val="24"/>
          <w:highlight w:val="none"/>
          <w:lang w:eastAsia="zh-CN"/>
        </w:rPr>
        <w:t>招租方</w:t>
      </w:r>
      <w:r>
        <w:rPr>
          <w:rFonts w:hint="eastAsia" w:ascii="新宋体" w:hAnsi="新宋体" w:eastAsia="新宋体" w:cs="新宋体"/>
          <w:color w:val="auto"/>
          <w:spacing w:val="15"/>
          <w:sz w:val="24"/>
          <w:szCs w:val="24"/>
          <w:highlight w:val="none"/>
        </w:rPr>
        <w:t>对</w:t>
      </w:r>
      <w:r>
        <w:rPr>
          <w:rFonts w:hint="eastAsia" w:ascii="新宋体" w:hAnsi="新宋体" w:eastAsia="新宋体" w:cs="新宋体"/>
          <w:color w:val="auto"/>
          <w:spacing w:val="15"/>
          <w:sz w:val="24"/>
          <w:szCs w:val="24"/>
          <w:highlight w:val="none"/>
          <w:lang w:eastAsia="zh-CN"/>
        </w:rPr>
        <w:t>承租方</w:t>
      </w:r>
      <w:r>
        <w:rPr>
          <w:rFonts w:hint="eastAsia" w:ascii="新宋体" w:hAnsi="新宋体" w:eastAsia="新宋体" w:cs="新宋体"/>
          <w:color w:val="auto"/>
          <w:spacing w:val="15"/>
          <w:sz w:val="24"/>
          <w:szCs w:val="24"/>
          <w:highlight w:val="none"/>
        </w:rPr>
        <w:t>的服务质</w:t>
      </w:r>
      <w:r>
        <w:rPr>
          <w:rFonts w:hint="eastAsia" w:ascii="新宋体" w:hAnsi="新宋体" w:eastAsia="新宋体" w:cs="新宋体"/>
          <w:color w:val="auto"/>
          <w:spacing w:val="21"/>
          <w:sz w:val="24"/>
          <w:szCs w:val="24"/>
          <w:highlight w:val="none"/>
        </w:rPr>
        <w:t>量进行满意度测评。如</w:t>
      </w:r>
      <w:r>
        <w:rPr>
          <w:rFonts w:hint="eastAsia" w:ascii="新宋体" w:hAnsi="新宋体" w:eastAsia="新宋体" w:cs="新宋体"/>
          <w:color w:val="auto"/>
          <w:spacing w:val="21"/>
          <w:sz w:val="24"/>
          <w:szCs w:val="24"/>
          <w:highlight w:val="none"/>
          <w:lang w:eastAsia="zh-CN"/>
        </w:rPr>
        <w:t>承租方</w:t>
      </w:r>
      <w:r>
        <w:rPr>
          <w:rFonts w:hint="eastAsia" w:ascii="新宋体" w:hAnsi="新宋体" w:eastAsia="新宋体" w:cs="新宋体"/>
          <w:color w:val="auto"/>
          <w:spacing w:val="21"/>
          <w:sz w:val="24"/>
          <w:szCs w:val="24"/>
          <w:highlight w:val="none"/>
        </w:rPr>
        <w:t>出现一次满意度得分低于70</w:t>
      </w:r>
      <w:r>
        <w:rPr>
          <w:rFonts w:hint="eastAsia" w:ascii="新宋体" w:hAnsi="新宋体" w:eastAsia="新宋体" w:cs="新宋体"/>
          <w:color w:val="auto"/>
          <w:spacing w:val="20"/>
          <w:sz w:val="24"/>
          <w:szCs w:val="24"/>
          <w:highlight w:val="none"/>
        </w:rPr>
        <w:t>分的情</w:t>
      </w:r>
      <w:r>
        <w:rPr>
          <w:rFonts w:hint="eastAsia" w:ascii="新宋体" w:hAnsi="新宋体" w:eastAsia="新宋体" w:cs="新宋体"/>
          <w:color w:val="auto"/>
          <w:spacing w:val="21"/>
          <w:sz w:val="24"/>
          <w:szCs w:val="24"/>
          <w:highlight w:val="none"/>
        </w:rPr>
        <w:t>况，</w:t>
      </w:r>
      <w:r>
        <w:rPr>
          <w:rFonts w:hint="eastAsia" w:ascii="新宋体" w:hAnsi="新宋体" w:eastAsia="新宋体" w:cs="新宋体"/>
          <w:color w:val="auto"/>
          <w:spacing w:val="21"/>
          <w:sz w:val="24"/>
          <w:szCs w:val="24"/>
          <w:highlight w:val="none"/>
          <w:lang w:eastAsia="zh-CN"/>
        </w:rPr>
        <w:t>招租方</w:t>
      </w:r>
      <w:r>
        <w:rPr>
          <w:rFonts w:hint="eastAsia" w:ascii="新宋体" w:hAnsi="新宋体" w:eastAsia="新宋体" w:cs="新宋体"/>
          <w:color w:val="auto"/>
          <w:spacing w:val="21"/>
          <w:sz w:val="24"/>
          <w:szCs w:val="24"/>
          <w:highlight w:val="none"/>
        </w:rPr>
        <w:t>限期整改；如</w:t>
      </w:r>
      <w:r>
        <w:rPr>
          <w:rFonts w:hint="eastAsia" w:ascii="新宋体" w:hAnsi="新宋体" w:eastAsia="新宋体" w:cs="新宋体"/>
          <w:color w:val="auto"/>
          <w:spacing w:val="21"/>
          <w:sz w:val="24"/>
          <w:szCs w:val="24"/>
          <w:highlight w:val="none"/>
          <w:lang w:eastAsia="zh-CN"/>
        </w:rPr>
        <w:t>承租方</w:t>
      </w:r>
      <w:r>
        <w:rPr>
          <w:rFonts w:hint="eastAsia" w:ascii="新宋体" w:hAnsi="新宋体" w:eastAsia="新宋体" w:cs="新宋体"/>
          <w:color w:val="auto"/>
          <w:spacing w:val="21"/>
          <w:sz w:val="24"/>
          <w:szCs w:val="24"/>
          <w:highlight w:val="none"/>
        </w:rPr>
        <w:t>连续3次出现满意度得分低于70分的</w:t>
      </w:r>
      <w:r>
        <w:rPr>
          <w:rFonts w:hint="eastAsia" w:ascii="新宋体" w:hAnsi="新宋体" w:eastAsia="新宋体" w:cs="新宋体"/>
          <w:color w:val="auto"/>
          <w:spacing w:val="9"/>
          <w:sz w:val="24"/>
          <w:szCs w:val="24"/>
          <w:highlight w:val="none"/>
        </w:rPr>
        <w:t>情况，</w:t>
      </w:r>
      <w:r>
        <w:rPr>
          <w:rFonts w:hint="eastAsia" w:ascii="新宋体" w:hAnsi="新宋体" w:eastAsia="新宋体" w:cs="新宋体"/>
          <w:color w:val="auto"/>
          <w:spacing w:val="9"/>
          <w:sz w:val="24"/>
          <w:szCs w:val="24"/>
          <w:highlight w:val="none"/>
          <w:lang w:eastAsia="zh-CN"/>
        </w:rPr>
        <w:t>招租方</w:t>
      </w:r>
      <w:r>
        <w:rPr>
          <w:rFonts w:hint="eastAsia" w:ascii="新宋体" w:hAnsi="新宋体" w:eastAsia="新宋体" w:cs="新宋体"/>
          <w:color w:val="auto"/>
          <w:spacing w:val="9"/>
          <w:sz w:val="24"/>
          <w:szCs w:val="24"/>
          <w:highlight w:val="none"/>
        </w:rPr>
        <w:t>有权终止合同。</w:t>
      </w:r>
    </w:p>
    <w:p w14:paraId="48F15289">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pacing w:val="-5"/>
          <w:sz w:val="24"/>
          <w:szCs w:val="24"/>
          <w:highlight w:val="none"/>
          <w:lang w:eastAsia="zh-CN"/>
        </w:rPr>
      </w:pPr>
      <w:r>
        <w:rPr>
          <w:rFonts w:hint="eastAsia" w:ascii="新宋体" w:hAnsi="新宋体" w:eastAsia="新宋体" w:cs="新宋体"/>
          <w:color w:val="auto"/>
          <w:spacing w:val="-3"/>
          <w:sz w:val="24"/>
          <w:szCs w:val="24"/>
          <w:highlight w:val="none"/>
        </w:rPr>
        <w:t>3.</w:t>
      </w:r>
      <w:r>
        <w:rPr>
          <w:rFonts w:hint="eastAsia" w:ascii="新宋体" w:hAnsi="新宋体" w:eastAsia="新宋体" w:cs="新宋体"/>
          <w:color w:val="auto"/>
          <w:spacing w:val="37"/>
          <w:sz w:val="24"/>
          <w:szCs w:val="24"/>
          <w:highlight w:val="none"/>
        </w:rPr>
        <w:t xml:space="preserve"> </w:t>
      </w:r>
      <w:r>
        <w:rPr>
          <w:rFonts w:hint="eastAsia" w:ascii="新宋体" w:hAnsi="新宋体" w:eastAsia="新宋体" w:cs="新宋体"/>
          <w:color w:val="auto"/>
          <w:spacing w:val="-3"/>
          <w:sz w:val="24"/>
          <w:szCs w:val="24"/>
          <w:highlight w:val="none"/>
          <w:lang w:eastAsia="zh-CN"/>
        </w:rPr>
        <w:t>承租方</w:t>
      </w:r>
      <w:r>
        <w:rPr>
          <w:rFonts w:hint="eastAsia" w:ascii="新宋体" w:hAnsi="新宋体" w:eastAsia="新宋体" w:cs="新宋体"/>
          <w:color w:val="auto"/>
          <w:spacing w:val="-3"/>
          <w:sz w:val="24"/>
          <w:szCs w:val="24"/>
          <w:highlight w:val="none"/>
        </w:rPr>
        <w:t>达不到</w:t>
      </w:r>
      <w:r>
        <w:rPr>
          <w:rFonts w:hint="eastAsia" w:ascii="新宋体" w:hAnsi="新宋体" w:eastAsia="新宋体" w:cs="新宋体"/>
          <w:color w:val="auto"/>
          <w:spacing w:val="-3"/>
          <w:sz w:val="24"/>
          <w:szCs w:val="24"/>
          <w:highlight w:val="none"/>
          <w:lang w:eastAsia="zh-CN"/>
        </w:rPr>
        <w:t>招租方</w:t>
      </w:r>
      <w:r>
        <w:rPr>
          <w:rFonts w:hint="eastAsia" w:ascii="新宋体" w:hAnsi="新宋体" w:eastAsia="新宋体" w:cs="新宋体"/>
          <w:color w:val="auto"/>
          <w:spacing w:val="-3"/>
          <w:sz w:val="24"/>
          <w:szCs w:val="24"/>
          <w:highlight w:val="none"/>
        </w:rPr>
        <w:t>提出的服务要求，</w:t>
      </w:r>
      <w:r>
        <w:rPr>
          <w:rFonts w:hint="eastAsia" w:ascii="新宋体" w:hAnsi="新宋体" w:eastAsia="新宋体" w:cs="新宋体"/>
          <w:color w:val="auto"/>
          <w:spacing w:val="-3"/>
          <w:sz w:val="24"/>
          <w:szCs w:val="24"/>
          <w:highlight w:val="none"/>
          <w:lang w:eastAsia="zh-CN"/>
        </w:rPr>
        <w:t>招租方</w:t>
      </w:r>
      <w:r>
        <w:rPr>
          <w:rFonts w:hint="eastAsia" w:ascii="新宋体" w:hAnsi="新宋体" w:eastAsia="新宋体" w:cs="新宋体"/>
          <w:color w:val="auto"/>
          <w:spacing w:val="-3"/>
          <w:sz w:val="24"/>
          <w:szCs w:val="24"/>
          <w:highlight w:val="none"/>
        </w:rPr>
        <w:t>通知整改，</w:t>
      </w:r>
      <w:r>
        <w:rPr>
          <w:rFonts w:hint="eastAsia" w:ascii="新宋体" w:hAnsi="新宋体" w:eastAsia="新宋体" w:cs="新宋体"/>
          <w:color w:val="auto"/>
          <w:spacing w:val="-3"/>
          <w:sz w:val="24"/>
          <w:szCs w:val="24"/>
          <w:highlight w:val="none"/>
          <w:lang w:eastAsia="zh-CN"/>
        </w:rPr>
        <w:t>承租方</w:t>
      </w:r>
      <w:r>
        <w:rPr>
          <w:rFonts w:hint="eastAsia" w:ascii="新宋体" w:hAnsi="新宋体" w:eastAsia="新宋体" w:cs="新宋体"/>
          <w:color w:val="auto"/>
          <w:spacing w:val="-3"/>
          <w:sz w:val="24"/>
          <w:szCs w:val="24"/>
          <w:highlight w:val="none"/>
        </w:rPr>
        <w:t>未按期</w:t>
      </w:r>
      <w:r>
        <w:rPr>
          <w:rFonts w:hint="eastAsia" w:ascii="新宋体" w:hAnsi="新宋体" w:eastAsia="新宋体" w:cs="新宋体"/>
          <w:color w:val="auto"/>
          <w:sz w:val="24"/>
          <w:szCs w:val="24"/>
          <w:highlight w:val="none"/>
        </w:rPr>
        <w:t xml:space="preserve"> </w:t>
      </w:r>
      <w:r>
        <w:rPr>
          <w:rFonts w:hint="eastAsia" w:ascii="新宋体" w:hAnsi="新宋体" w:eastAsia="新宋体" w:cs="新宋体"/>
          <w:color w:val="auto"/>
          <w:spacing w:val="2"/>
          <w:sz w:val="24"/>
          <w:szCs w:val="24"/>
          <w:highlight w:val="none"/>
        </w:rPr>
        <w:t>完成或第三次再出现达不到</w:t>
      </w:r>
      <w:r>
        <w:rPr>
          <w:rFonts w:hint="eastAsia" w:ascii="新宋体" w:hAnsi="新宋体" w:eastAsia="新宋体" w:cs="新宋体"/>
          <w:color w:val="auto"/>
          <w:spacing w:val="2"/>
          <w:sz w:val="24"/>
          <w:szCs w:val="24"/>
          <w:highlight w:val="none"/>
          <w:lang w:eastAsia="zh-CN"/>
        </w:rPr>
        <w:t>招租方</w:t>
      </w:r>
      <w:r>
        <w:rPr>
          <w:rFonts w:hint="eastAsia" w:ascii="新宋体" w:hAnsi="新宋体" w:eastAsia="新宋体" w:cs="新宋体"/>
          <w:color w:val="auto"/>
          <w:spacing w:val="2"/>
          <w:sz w:val="24"/>
          <w:szCs w:val="24"/>
          <w:highlight w:val="none"/>
        </w:rPr>
        <w:t>提出的服务要求的，</w:t>
      </w:r>
      <w:r>
        <w:rPr>
          <w:rFonts w:hint="eastAsia" w:ascii="新宋体" w:hAnsi="新宋体" w:eastAsia="新宋体" w:cs="新宋体"/>
          <w:color w:val="auto"/>
          <w:spacing w:val="2"/>
          <w:sz w:val="24"/>
          <w:szCs w:val="24"/>
          <w:highlight w:val="none"/>
          <w:lang w:eastAsia="zh-CN"/>
        </w:rPr>
        <w:t>招租方</w:t>
      </w:r>
      <w:r>
        <w:rPr>
          <w:rFonts w:hint="eastAsia" w:ascii="新宋体" w:hAnsi="新宋体" w:eastAsia="新宋体" w:cs="新宋体"/>
          <w:color w:val="auto"/>
          <w:spacing w:val="2"/>
          <w:sz w:val="24"/>
          <w:szCs w:val="24"/>
          <w:highlight w:val="none"/>
        </w:rPr>
        <w:t>有权终止</w:t>
      </w:r>
      <w:r>
        <w:rPr>
          <w:rFonts w:hint="eastAsia" w:ascii="新宋体" w:hAnsi="新宋体" w:eastAsia="新宋体" w:cs="新宋体"/>
          <w:color w:val="auto"/>
          <w:spacing w:val="-5"/>
          <w:sz w:val="24"/>
          <w:szCs w:val="24"/>
          <w:highlight w:val="none"/>
        </w:rPr>
        <w:t>合同。</w:t>
      </w:r>
    </w:p>
    <w:p w14:paraId="140BD56D">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z w:val="24"/>
          <w:szCs w:val="24"/>
          <w:highlight w:val="none"/>
        </w:rPr>
      </w:pPr>
      <w:r>
        <w:rPr>
          <w:rFonts w:hint="eastAsia" w:ascii="新宋体" w:hAnsi="新宋体" w:eastAsia="新宋体" w:cs="新宋体"/>
          <w:color w:val="auto"/>
          <w:spacing w:val="14"/>
          <w:sz w:val="24"/>
          <w:szCs w:val="24"/>
          <w:highlight w:val="none"/>
        </w:rPr>
        <w:t>4. 在合同履行期间，</w:t>
      </w:r>
      <w:r>
        <w:rPr>
          <w:rFonts w:hint="eastAsia" w:ascii="新宋体" w:hAnsi="新宋体" w:eastAsia="新宋体" w:cs="新宋体"/>
          <w:color w:val="auto"/>
          <w:spacing w:val="14"/>
          <w:sz w:val="24"/>
          <w:szCs w:val="24"/>
          <w:highlight w:val="none"/>
          <w:lang w:eastAsia="zh-CN"/>
        </w:rPr>
        <w:t>承租方</w:t>
      </w:r>
      <w:r>
        <w:rPr>
          <w:rFonts w:hint="eastAsia" w:ascii="新宋体" w:hAnsi="新宋体" w:eastAsia="新宋体" w:cs="新宋体"/>
          <w:color w:val="auto"/>
          <w:spacing w:val="14"/>
          <w:sz w:val="24"/>
          <w:szCs w:val="24"/>
          <w:highlight w:val="none"/>
        </w:rPr>
        <w:t>将此项目转包或分包给其他单位、</w:t>
      </w:r>
      <w:r>
        <w:rPr>
          <w:rFonts w:hint="eastAsia" w:ascii="新宋体" w:hAnsi="新宋体" w:eastAsia="新宋体" w:cs="新宋体"/>
          <w:color w:val="auto"/>
          <w:spacing w:val="12"/>
          <w:sz w:val="24"/>
          <w:szCs w:val="24"/>
          <w:highlight w:val="none"/>
        </w:rPr>
        <w:t>组织或个人的承担由此造成的一切损失。</w:t>
      </w:r>
      <w:r>
        <w:rPr>
          <w:rFonts w:hint="eastAsia" w:ascii="新宋体" w:hAnsi="新宋体" w:eastAsia="新宋体" w:cs="新宋体"/>
          <w:color w:val="auto"/>
          <w:spacing w:val="12"/>
          <w:sz w:val="24"/>
          <w:szCs w:val="24"/>
          <w:highlight w:val="none"/>
          <w:lang w:eastAsia="zh-CN"/>
        </w:rPr>
        <w:t>招租方</w:t>
      </w:r>
      <w:r>
        <w:rPr>
          <w:rFonts w:hint="eastAsia" w:ascii="新宋体" w:hAnsi="新宋体" w:eastAsia="新宋体" w:cs="新宋体"/>
          <w:color w:val="auto"/>
          <w:spacing w:val="12"/>
          <w:sz w:val="24"/>
          <w:szCs w:val="24"/>
          <w:highlight w:val="none"/>
        </w:rPr>
        <w:t>有权</w:t>
      </w:r>
      <w:r>
        <w:rPr>
          <w:rFonts w:hint="eastAsia" w:ascii="新宋体" w:hAnsi="新宋体" w:eastAsia="新宋体" w:cs="新宋体"/>
          <w:color w:val="auto"/>
          <w:spacing w:val="11"/>
          <w:sz w:val="24"/>
          <w:szCs w:val="24"/>
          <w:highlight w:val="none"/>
        </w:rPr>
        <w:t>终止合同。</w:t>
      </w:r>
    </w:p>
    <w:p w14:paraId="73749821">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z w:val="24"/>
          <w:szCs w:val="24"/>
          <w:highlight w:val="none"/>
        </w:rPr>
      </w:pPr>
      <w:r>
        <w:rPr>
          <w:rFonts w:hint="eastAsia" w:ascii="新宋体" w:hAnsi="新宋体" w:eastAsia="新宋体" w:cs="新宋体"/>
          <w:color w:val="auto"/>
          <w:spacing w:val="-1"/>
          <w:sz w:val="24"/>
          <w:szCs w:val="24"/>
          <w:highlight w:val="none"/>
        </w:rPr>
        <w:t>5.</w:t>
      </w:r>
      <w:r>
        <w:rPr>
          <w:rFonts w:hint="eastAsia" w:ascii="新宋体" w:hAnsi="新宋体" w:eastAsia="新宋体" w:cs="新宋体"/>
          <w:color w:val="auto"/>
          <w:spacing w:val="-16"/>
          <w:sz w:val="24"/>
          <w:szCs w:val="24"/>
          <w:highlight w:val="none"/>
        </w:rPr>
        <w:t xml:space="preserve"> </w:t>
      </w:r>
      <w:r>
        <w:rPr>
          <w:rFonts w:hint="eastAsia" w:ascii="新宋体" w:hAnsi="新宋体" w:eastAsia="新宋体" w:cs="新宋体"/>
          <w:color w:val="auto"/>
          <w:spacing w:val="-1"/>
          <w:sz w:val="24"/>
          <w:szCs w:val="24"/>
          <w:highlight w:val="none"/>
        </w:rPr>
        <w:t>未做好员工的沟通、解释工作，由于工作或劳</w:t>
      </w:r>
      <w:r>
        <w:rPr>
          <w:rFonts w:hint="eastAsia" w:ascii="新宋体" w:hAnsi="新宋体" w:eastAsia="新宋体" w:cs="新宋体"/>
          <w:color w:val="auto"/>
          <w:spacing w:val="-2"/>
          <w:sz w:val="24"/>
          <w:szCs w:val="24"/>
          <w:highlight w:val="none"/>
        </w:rPr>
        <w:t>资纠纷等而引起</w:t>
      </w:r>
      <w:r>
        <w:rPr>
          <w:rFonts w:hint="eastAsia" w:ascii="新宋体" w:hAnsi="新宋体" w:eastAsia="新宋体" w:cs="新宋体"/>
          <w:color w:val="auto"/>
          <w:spacing w:val="4"/>
          <w:sz w:val="24"/>
          <w:szCs w:val="24"/>
          <w:highlight w:val="none"/>
        </w:rPr>
        <w:t>员工罢工的情况发生</w:t>
      </w:r>
      <w:r>
        <w:rPr>
          <w:rFonts w:hint="eastAsia" w:ascii="新宋体" w:hAnsi="新宋体" w:eastAsia="新宋体" w:cs="新宋体"/>
          <w:color w:val="auto"/>
          <w:spacing w:val="4"/>
          <w:sz w:val="24"/>
          <w:szCs w:val="24"/>
          <w:highlight w:val="none"/>
          <w:lang w:val="en-US" w:eastAsia="zh-CN"/>
        </w:rPr>
        <w:t>,</w:t>
      </w:r>
      <w:r>
        <w:rPr>
          <w:rFonts w:hint="eastAsia" w:ascii="新宋体" w:hAnsi="新宋体" w:eastAsia="新宋体" w:cs="新宋体"/>
          <w:color w:val="auto"/>
          <w:spacing w:val="4"/>
          <w:sz w:val="24"/>
          <w:szCs w:val="24"/>
          <w:highlight w:val="none"/>
          <w:lang w:eastAsia="zh-CN"/>
        </w:rPr>
        <w:t>招租方</w:t>
      </w:r>
      <w:r>
        <w:rPr>
          <w:rFonts w:hint="eastAsia" w:ascii="新宋体" w:hAnsi="新宋体" w:eastAsia="新宋体" w:cs="新宋体"/>
          <w:color w:val="auto"/>
          <w:spacing w:val="4"/>
          <w:sz w:val="24"/>
          <w:szCs w:val="24"/>
          <w:highlight w:val="none"/>
        </w:rPr>
        <w:t>有权终止合同。</w:t>
      </w:r>
    </w:p>
    <w:p w14:paraId="4815ADBF">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z w:val="24"/>
          <w:szCs w:val="24"/>
          <w:highlight w:val="none"/>
        </w:rPr>
      </w:pPr>
      <w:r>
        <w:rPr>
          <w:rFonts w:hint="eastAsia" w:ascii="新宋体" w:hAnsi="新宋体" w:eastAsia="新宋体" w:cs="新宋体"/>
          <w:color w:val="auto"/>
          <w:spacing w:val="5"/>
          <w:sz w:val="24"/>
          <w:szCs w:val="24"/>
          <w:highlight w:val="none"/>
        </w:rPr>
        <w:t>6.因</w:t>
      </w:r>
      <w:r>
        <w:rPr>
          <w:rFonts w:hint="eastAsia" w:ascii="新宋体" w:hAnsi="新宋体" w:eastAsia="新宋体" w:cs="新宋体"/>
          <w:color w:val="auto"/>
          <w:spacing w:val="5"/>
          <w:sz w:val="24"/>
          <w:szCs w:val="24"/>
          <w:highlight w:val="none"/>
          <w:lang w:eastAsia="zh-CN"/>
        </w:rPr>
        <w:t>承租方</w:t>
      </w:r>
      <w:r>
        <w:rPr>
          <w:rFonts w:hint="eastAsia" w:ascii="新宋体" w:hAnsi="新宋体" w:eastAsia="新宋体" w:cs="新宋体"/>
          <w:color w:val="auto"/>
          <w:spacing w:val="5"/>
          <w:sz w:val="24"/>
          <w:szCs w:val="24"/>
          <w:highlight w:val="none"/>
        </w:rPr>
        <w:t>原因对</w:t>
      </w:r>
      <w:r>
        <w:rPr>
          <w:rFonts w:hint="eastAsia" w:ascii="新宋体" w:hAnsi="新宋体" w:eastAsia="新宋体" w:cs="新宋体"/>
          <w:color w:val="auto"/>
          <w:spacing w:val="5"/>
          <w:sz w:val="24"/>
          <w:szCs w:val="24"/>
          <w:highlight w:val="none"/>
          <w:lang w:eastAsia="zh-CN"/>
        </w:rPr>
        <w:t>招租方</w:t>
      </w:r>
      <w:r>
        <w:rPr>
          <w:rFonts w:hint="eastAsia" w:ascii="新宋体" w:hAnsi="新宋体" w:eastAsia="新宋体" w:cs="新宋体"/>
          <w:color w:val="auto"/>
          <w:spacing w:val="5"/>
          <w:sz w:val="24"/>
          <w:szCs w:val="24"/>
          <w:highlight w:val="none"/>
        </w:rPr>
        <w:t>造成严重损失或对</w:t>
      </w:r>
      <w:r>
        <w:rPr>
          <w:rFonts w:hint="eastAsia" w:ascii="新宋体" w:hAnsi="新宋体" w:eastAsia="新宋体" w:cs="新宋体"/>
          <w:color w:val="auto"/>
          <w:spacing w:val="5"/>
          <w:sz w:val="24"/>
          <w:szCs w:val="24"/>
          <w:highlight w:val="none"/>
          <w:lang w:eastAsia="zh-CN"/>
        </w:rPr>
        <w:t>招租方</w:t>
      </w:r>
      <w:r>
        <w:rPr>
          <w:rFonts w:hint="eastAsia" w:ascii="新宋体" w:hAnsi="新宋体" w:eastAsia="新宋体" w:cs="新宋体"/>
          <w:color w:val="auto"/>
          <w:spacing w:val="4"/>
          <w:sz w:val="24"/>
          <w:szCs w:val="24"/>
          <w:highlight w:val="none"/>
        </w:rPr>
        <w:t>形象造成严重损害</w:t>
      </w:r>
      <w:r>
        <w:rPr>
          <w:rFonts w:hint="eastAsia" w:ascii="新宋体" w:hAnsi="新宋体" w:eastAsia="新宋体" w:cs="新宋体"/>
          <w:color w:val="auto"/>
          <w:spacing w:val="-2"/>
          <w:sz w:val="24"/>
          <w:szCs w:val="24"/>
          <w:highlight w:val="none"/>
        </w:rPr>
        <w:t>的，</w:t>
      </w:r>
      <w:r>
        <w:rPr>
          <w:rFonts w:hint="eastAsia" w:ascii="新宋体" w:hAnsi="新宋体" w:eastAsia="新宋体" w:cs="新宋体"/>
          <w:color w:val="auto"/>
          <w:spacing w:val="-2"/>
          <w:sz w:val="24"/>
          <w:szCs w:val="24"/>
          <w:highlight w:val="none"/>
          <w:lang w:eastAsia="zh-CN"/>
        </w:rPr>
        <w:t>招租方</w:t>
      </w:r>
      <w:r>
        <w:rPr>
          <w:rFonts w:hint="eastAsia" w:ascii="新宋体" w:hAnsi="新宋体" w:eastAsia="新宋体" w:cs="新宋体"/>
          <w:color w:val="auto"/>
          <w:spacing w:val="-2"/>
          <w:sz w:val="24"/>
          <w:szCs w:val="24"/>
          <w:highlight w:val="none"/>
        </w:rPr>
        <w:t>有权直接对</w:t>
      </w:r>
      <w:r>
        <w:rPr>
          <w:rFonts w:hint="eastAsia" w:ascii="新宋体" w:hAnsi="新宋体" w:eastAsia="新宋体" w:cs="新宋体"/>
          <w:color w:val="auto"/>
          <w:spacing w:val="-2"/>
          <w:sz w:val="24"/>
          <w:szCs w:val="24"/>
          <w:highlight w:val="none"/>
          <w:lang w:eastAsia="zh-CN"/>
        </w:rPr>
        <w:t>承租方</w:t>
      </w:r>
      <w:r>
        <w:rPr>
          <w:rFonts w:hint="eastAsia" w:ascii="新宋体" w:hAnsi="新宋体" w:eastAsia="新宋体" w:cs="新宋体"/>
          <w:color w:val="auto"/>
          <w:spacing w:val="-2"/>
          <w:sz w:val="24"/>
          <w:szCs w:val="24"/>
          <w:highlight w:val="none"/>
        </w:rPr>
        <w:t>进行处罚，并有权提前终止合约，违约责任</w:t>
      </w:r>
      <w:r>
        <w:rPr>
          <w:rFonts w:hint="eastAsia" w:ascii="新宋体" w:hAnsi="新宋体" w:eastAsia="新宋体" w:cs="新宋体"/>
          <w:color w:val="auto"/>
          <w:spacing w:val="-3"/>
          <w:sz w:val="24"/>
          <w:szCs w:val="24"/>
          <w:highlight w:val="none"/>
        </w:rPr>
        <w:t>由</w:t>
      </w:r>
      <w:r>
        <w:rPr>
          <w:rFonts w:hint="eastAsia" w:ascii="新宋体" w:hAnsi="新宋体" w:eastAsia="新宋体" w:cs="新宋体"/>
          <w:color w:val="auto"/>
          <w:spacing w:val="-3"/>
          <w:sz w:val="24"/>
          <w:szCs w:val="24"/>
          <w:highlight w:val="none"/>
          <w:lang w:eastAsia="zh-CN"/>
        </w:rPr>
        <w:t>承租方</w:t>
      </w:r>
      <w:r>
        <w:rPr>
          <w:rFonts w:hint="eastAsia" w:ascii="新宋体" w:hAnsi="新宋体" w:eastAsia="新宋体" w:cs="新宋体"/>
          <w:color w:val="auto"/>
          <w:spacing w:val="-3"/>
          <w:sz w:val="24"/>
          <w:szCs w:val="24"/>
          <w:highlight w:val="none"/>
        </w:rPr>
        <w:t>承担。在国家、省、市的检查或突击性任务中，发生属</w:t>
      </w:r>
      <w:r>
        <w:rPr>
          <w:rFonts w:hint="eastAsia" w:ascii="新宋体" w:hAnsi="新宋体" w:eastAsia="新宋体" w:cs="新宋体"/>
          <w:color w:val="auto"/>
          <w:spacing w:val="-3"/>
          <w:sz w:val="24"/>
          <w:szCs w:val="24"/>
          <w:highlight w:val="none"/>
          <w:lang w:eastAsia="zh-CN"/>
        </w:rPr>
        <w:t>承租方</w:t>
      </w:r>
      <w:r>
        <w:rPr>
          <w:rFonts w:hint="eastAsia" w:ascii="新宋体" w:hAnsi="新宋体" w:eastAsia="新宋体" w:cs="新宋体"/>
          <w:color w:val="auto"/>
          <w:spacing w:val="-3"/>
          <w:sz w:val="24"/>
          <w:szCs w:val="24"/>
          <w:highlight w:val="none"/>
        </w:rPr>
        <w:t>质</w:t>
      </w:r>
      <w:r>
        <w:rPr>
          <w:rFonts w:hint="eastAsia" w:ascii="新宋体" w:hAnsi="新宋体" w:eastAsia="新宋体" w:cs="新宋体"/>
          <w:color w:val="auto"/>
          <w:spacing w:val="-2"/>
          <w:sz w:val="24"/>
          <w:szCs w:val="24"/>
          <w:highlight w:val="none"/>
        </w:rPr>
        <w:t>量责任问题，经查属实，且</w:t>
      </w:r>
      <w:r>
        <w:rPr>
          <w:rFonts w:hint="eastAsia" w:ascii="新宋体" w:hAnsi="新宋体" w:eastAsia="新宋体" w:cs="新宋体"/>
          <w:color w:val="auto"/>
          <w:spacing w:val="-2"/>
          <w:sz w:val="24"/>
          <w:szCs w:val="24"/>
          <w:highlight w:val="none"/>
          <w:lang w:eastAsia="zh-CN"/>
        </w:rPr>
        <w:t>承租方</w:t>
      </w:r>
      <w:r>
        <w:rPr>
          <w:rFonts w:hint="eastAsia" w:ascii="新宋体" w:hAnsi="新宋体" w:eastAsia="新宋体" w:cs="新宋体"/>
          <w:color w:val="auto"/>
          <w:spacing w:val="-2"/>
          <w:sz w:val="24"/>
          <w:szCs w:val="24"/>
          <w:highlight w:val="none"/>
        </w:rPr>
        <w:t>不及时或不配合整改，使</w:t>
      </w:r>
      <w:r>
        <w:rPr>
          <w:rFonts w:hint="eastAsia" w:ascii="新宋体" w:hAnsi="新宋体" w:eastAsia="新宋体" w:cs="新宋体"/>
          <w:color w:val="auto"/>
          <w:spacing w:val="-2"/>
          <w:sz w:val="24"/>
          <w:szCs w:val="24"/>
          <w:highlight w:val="none"/>
          <w:lang w:eastAsia="zh-CN"/>
        </w:rPr>
        <w:t>招租方</w:t>
      </w:r>
      <w:r>
        <w:rPr>
          <w:rFonts w:hint="eastAsia" w:ascii="新宋体" w:hAnsi="新宋体" w:eastAsia="新宋体" w:cs="新宋体"/>
          <w:color w:val="auto"/>
          <w:spacing w:val="-3"/>
          <w:sz w:val="24"/>
          <w:szCs w:val="24"/>
          <w:highlight w:val="none"/>
        </w:rPr>
        <w:t>受到上</w:t>
      </w:r>
      <w:r>
        <w:rPr>
          <w:rFonts w:hint="eastAsia" w:ascii="新宋体" w:hAnsi="新宋体" w:eastAsia="新宋体" w:cs="新宋体"/>
          <w:color w:val="auto"/>
          <w:spacing w:val="5"/>
          <w:sz w:val="24"/>
          <w:szCs w:val="24"/>
          <w:highlight w:val="none"/>
        </w:rPr>
        <w:t>级批评或处罚的。</w:t>
      </w:r>
      <w:r>
        <w:rPr>
          <w:rFonts w:hint="eastAsia" w:ascii="新宋体" w:hAnsi="新宋体" w:eastAsia="新宋体" w:cs="新宋体"/>
          <w:color w:val="auto"/>
          <w:spacing w:val="5"/>
          <w:sz w:val="24"/>
          <w:szCs w:val="24"/>
          <w:highlight w:val="none"/>
          <w:lang w:eastAsia="zh-CN"/>
        </w:rPr>
        <w:t>招租方</w:t>
      </w:r>
      <w:r>
        <w:rPr>
          <w:rFonts w:hint="eastAsia" w:ascii="新宋体" w:hAnsi="新宋体" w:eastAsia="新宋体" w:cs="新宋体"/>
          <w:color w:val="auto"/>
          <w:spacing w:val="5"/>
          <w:sz w:val="24"/>
          <w:szCs w:val="24"/>
          <w:highlight w:val="none"/>
        </w:rPr>
        <w:t>有权终止合同。</w:t>
      </w:r>
    </w:p>
    <w:p w14:paraId="5A8D9928">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z w:val="24"/>
          <w:szCs w:val="24"/>
          <w:highlight w:val="none"/>
        </w:rPr>
      </w:pPr>
      <w:r>
        <w:rPr>
          <w:rFonts w:hint="eastAsia" w:ascii="新宋体" w:hAnsi="新宋体" w:eastAsia="新宋体" w:cs="新宋体"/>
          <w:color w:val="auto"/>
          <w:spacing w:val="-1"/>
          <w:sz w:val="24"/>
          <w:szCs w:val="24"/>
          <w:highlight w:val="none"/>
        </w:rPr>
        <w:t>6. 如</w:t>
      </w:r>
      <w:r>
        <w:rPr>
          <w:rFonts w:hint="eastAsia" w:ascii="新宋体" w:hAnsi="新宋体" w:eastAsia="新宋体" w:cs="新宋体"/>
          <w:color w:val="auto"/>
          <w:spacing w:val="-1"/>
          <w:sz w:val="24"/>
          <w:szCs w:val="24"/>
          <w:highlight w:val="none"/>
          <w:lang w:eastAsia="zh-CN"/>
        </w:rPr>
        <w:t>承租方</w:t>
      </w:r>
      <w:r>
        <w:rPr>
          <w:rFonts w:hint="eastAsia" w:ascii="新宋体" w:hAnsi="新宋体" w:eastAsia="新宋体" w:cs="新宋体"/>
          <w:color w:val="auto"/>
          <w:spacing w:val="-1"/>
          <w:sz w:val="24"/>
          <w:szCs w:val="24"/>
          <w:highlight w:val="none"/>
        </w:rPr>
        <w:t>自行降低食材验收标准，或者私自更换产品参考品</w:t>
      </w:r>
      <w:r>
        <w:rPr>
          <w:rFonts w:hint="eastAsia" w:ascii="新宋体" w:hAnsi="新宋体" w:eastAsia="新宋体" w:cs="新宋体"/>
          <w:color w:val="auto"/>
          <w:spacing w:val="-2"/>
          <w:sz w:val="24"/>
          <w:szCs w:val="24"/>
          <w:highlight w:val="none"/>
        </w:rPr>
        <w:t>牌及</w:t>
      </w:r>
      <w:r>
        <w:rPr>
          <w:rFonts w:hint="eastAsia" w:ascii="新宋体" w:hAnsi="新宋体" w:eastAsia="新宋体" w:cs="新宋体"/>
          <w:color w:val="auto"/>
          <w:spacing w:val="3"/>
          <w:sz w:val="24"/>
          <w:szCs w:val="24"/>
          <w:highlight w:val="none"/>
        </w:rPr>
        <w:t>等次未提前报</w:t>
      </w:r>
      <w:r>
        <w:rPr>
          <w:rFonts w:hint="eastAsia" w:ascii="新宋体" w:hAnsi="新宋体" w:eastAsia="新宋体" w:cs="新宋体"/>
          <w:color w:val="auto"/>
          <w:spacing w:val="3"/>
          <w:sz w:val="24"/>
          <w:szCs w:val="24"/>
          <w:highlight w:val="none"/>
          <w:lang w:eastAsia="zh-CN"/>
        </w:rPr>
        <w:t>招租方</w:t>
      </w:r>
      <w:r>
        <w:rPr>
          <w:rFonts w:hint="eastAsia" w:ascii="新宋体" w:hAnsi="新宋体" w:eastAsia="新宋体" w:cs="新宋体"/>
          <w:color w:val="auto"/>
          <w:spacing w:val="3"/>
          <w:sz w:val="24"/>
          <w:szCs w:val="24"/>
          <w:highlight w:val="none"/>
        </w:rPr>
        <w:t>同意的并达到第三次的。</w:t>
      </w:r>
      <w:r>
        <w:rPr>
          <w:rFonts w:hint="eastAsia" w:ascii="新宋体" w:hAnsi="新宋体" w:eastAsia="新宋体" w:cs="新宋体"/>
          <w:color w:val="auto"/>
          <w:spacing w:val="3"/>
          <w:sz w:val="24"/>
          <w:szCs w:val="24"/>
          <w:highlight w:val="none"/>
          <w:lang w:eastAsia="zh-CN"/>
        </w:rPr>
        <w:t>招租方</w:t>
      </w:r>
      <w:r>
        <w:rPr>
          <w:rFonts w:hint="eastAsia" w:ascii="新宋体" w:hAnsi="新宋体" w:eastAsia="新宋体" w:cs="新宋体"/>
          <w:color w:val="auto"/>
          <w:spacing w:val="3"/>
          <w:sz w:val="24"/>
          <w:szCs w:val="24"/>
          <w:highlight w:val="none"/>
        </w:rPr>
        <w:t>有权终止合同。</w:t>
      </w:r>
    </w:p>
    <w:p w14:paraId="4B3DAE2C">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z w:val="24"/>
          <w:szCs w:val="24"/>
          <w:highlight w:val="none"/>
        </w:rPr>
      </w:pPr>
      <w:r>
        <w:rPr>
          <w:rFonts w:hint="eastAsia" w:ascii="新宋体" w:hAnsi="新宋体" w:eastAsia="新宋体" w:cs="新宋体"/>
          <w:color w:val="auto"/>
          <w:spacing w:val="1"/>
          <w:sz w:val="24"/>
          <w:szCs w:val="24"/>
          <w:highlight w:val="none"/>
        </w:rPr>
        <w:t>7.</w:t>
      </w:r>
      <w:r>
        <w:rPr>
          <w:rFonts w:hint="eastAsia" w:ascii="新宋体" w:hAnsi="新宋体" w:eastAsia="新宋体" w:cs="新宋体"/>
          <w:color w:val="auto"/>
          <w:spacing w:val="38"/>
          <w:sz w:val="24"/>
          <w:szCs w:val="24"/>
          <w:highlight w:val="none"/>
        </w:rPr>
        <w:t xml:space="preserve"> </w:t>
      </w:r>
      <w:r>
        <w:rPr>
          <w:rFonts w:hint="eastAsia" w:ascii="新宋体" w:hAnsi="新宋体" w:eastAsia="新宋体" w:cs="新宋体"/>
          <w:color w:val="auto"/>
          <w:spacing w:val="1"/>
          <w:sz w:val="24"/>
          <w:szCs w:val="24"/>
          <w:highlight w:val="none"/>
          <w:lang w:eastAsia="zh-CN"/>
        </w:rPr>
        <w:t>招租方</w:t>
      </w:r>
      <w:r>
        <w:rPr>
          <w:rFonts w:hint="eastAsia" w:ascii="新宋体" w:hAnsi="新宋体" w:eastAsia="新宋体" w:cs="新宋体"/>
          <w:color w:val="auto"/>
          <w:spacing w:val="1"/>
          <w:sz w:val="24"/>
          <w:szCs w:val="24"/>
          <w:highlight w:val="none"/>
        </w:rPr>
        <w:t>发现</w:t>
      </w:r>
      <w:r>
        <w:rPr>
          <w:rFonts w:hint="eastAsia" w:ascii="新宋体" w:hAnsi="新宋体" w:eastAsia="新宋体" w:cs="新宋体"/>
          <w:color w:val="auto"/>
          <w:spacing w:val="1"/>
          <w:sz w:val="24"/>
          <w:szCs w:val="24"/>
          <w:highlight w:val="none"/>
          <w:lang w:eastAsia="zh-CN"/>
        </w:rPr>
        <w:t>承租方</w:t>
      </w:r>
      <w:r>
        <w:rPr>
          <w:rFonts w:hint="eastAsia" w:ascii="新宋体" w:hAnsi="新宋体" w:eastAsia="新宋体" w:cs="新宋体"/>
          <w:color w:val="auto"/>
          <w:spacing w:val="1"/>
          <w:sz w:val="24"/>
          <w:szCs w:val="24"/>
          <w:highlight w:val="none"/>
        </w:rPr>
        <w:t>在投标时承诺或声明不实，其在投标截止前5年</w:t>
      </w:r>
      <w:r>
        <w:rPr>
          <w:rFonts w:hint="eastAsia" w:ascii="新宋体" w:hAnsi="新宋体" w:eastAsia="新宋体" w:cs="新宋体"/>
          <w:color w:val="auto"/>
          <w:spacing w:val="-3"/>
          <w:sz w:val="24"/>
          <w:szCs w:val="24"/>
          <w:highlight w:val="none"/>
        </w:rPr>
        <w:t>内发生过食品安全事故、消防安全、履行合</w:t>
      </w:r>
      <w:r>
        <w:rPr>
          <w:rFonts w:hint="eastAsia" w:ascii="新宋体" w:hAnsi="新宋体" w:eastAsia="新宋体" w:cs="新宋体"/>
          <w:color w:val="auto"/>
          <w:spacing w:val="-4"/>
          <w:sz w:val="24"/>
          <w:szCs w:val="24"/>
          <w:highlight w:val="none"/>
        </w:rPr>
        <w:t>同等方面的不良记录或在</w:t>
      </w:r>
      <w:r>
        <w:rPr>
          <w:rFonts w:hint="eastAsia" w:ascii="新宋体" w:hAnsi="新宋体" w:eastAsia="新宋体" w:cs="新宋体"/>
          <w:color w:val="auto"/>
          <w:spacing w:val="7"/>
          <w:sz w:val="24"/>
          <w:szCs w:val="24"/>
          <w:highlight w:val="none"/>
        </w:rPr>
        <w:t>投标截止前3年内在经营活动中存在重大违法记录。</w:t>
      </w:r>
      <w:r>
        <w:rPr>
          <w:rFonts w:hint="eastAsia" w:ascii="新宋体" w:hAnsi="新宋体" w:eastAsia="新宋体" w:cs="新宋体"/>
          <w:color w:val="auto"/>
          <w:spacing w:val="7"/>
          <w:sz w:val="24"/>
          <w:szCs w:val="24"/>
          <w:highlight w:val="none"/>
          <w:lang w:eastAsia="zh-CN"/>
        </w:rPr>
        <w:t>招租方</w:t>
      </w:r>
      <w:r>
        <w:rPr>
          <w:rFonts w:hint="eastAsia" w:ascii="新宋体" w:hAnsi="新宋体" w:eastAsia="新宋体" w:cs="新宋体"/>
          <w:color w:val="auto"/>
          <w:spacing w:val="7"/>
          <w:sz w:val="24"/>
          <w:szCs w:val="24"/>
          <w:highlight w:val="none"/>
        </w:rPr>
        <w:t>有权终止</w:t>
      </w:r>
      <w:r>
        <w:rPr>
          <w:rFonts w:hint="eastAsia" w:ascii="新宋体" w:hAnsi="新宋体" w:eastAsia="新宋体" w:cs="新宋体"/>
          <w:color w:val="auto"/>
          <w:spacing w:val="-5"/>
          <w:sz w:val="24"/>
          <w:szCs w:val="24"/>
          <w:highlight w:val="none"/>
        </w:rPr>
        <w:t>合同。</w:t>
      </w:r>
    </w:p>
    <w:p w14:paraId="5CAE343A">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z w:val="24"/>
          <w:szCs w:val="24"/>
          <w:highlight w:val="none"/>
        </w:rPr>
      </w:pPr>
      <w:r>
        <w:rPr>
          <w:rFonts w:hint="eastAsia" w:ascii="新宋体" w:hAnsi="新宋体" w:eastAsia="新宋体" w:cs="新宋体"/>
          <w:color w:val="auto"/>
          <w:spacing w:val="-3"/>
          <w:sz w:val="24"/>
          <w:szCs w:val="24"/>
          <w:highlight w:val="none"/>
        </w:rPr>
        <w:t>8.</w:t>
      </w:r>
      <w:r>
        <w:rPr>
          <w:rFonts w:hint="eastAsia" w:ascii="新宋体" w:hAnsi="新宋体" w:eastAsia="新宋体" w:cs="新宋体"/>
          <w:color w:val="auto"/>
          <w:spacing w:val="34"/>
          <w:sz w:val="24"/>
          <w:szCs w:val="24"/>
          <w:highlight w:val="none"/>
        </w:rPr>
        <w:t xml:space="preserve"> </w:t>
      </w:r>
      <w:r>
        <w:rPr>
          <w:rFonts w:hint="eastAsia" w:ascii="新宋体" w:hAnsi="新宋体" w:eastAsia="新宋体" w:cs="新宋体"/>
          <w:color w:val="auto"/>
          <w:spacing w:val="-3"/>
          <w:sz w:val="24"/>
          <w:szCs w:val="24"/>
          <w:highlight w:val="none"/>
          <w:lang w:eastAsia="zh-CN"/>
        </w:rPr>
        <w:t>承租方</w:t>
      </w:r>
      <w:r>
        <w:rPr>
          <w:rFonts w:hint="eastAsia" w:ascii="新宋体" w:hAnsi="新宋体" w:eastAsia="新宋体" w:cs="新宋体"/>
          <w:color w:val="auto"/>
          <w:spacing w:val="-3"/>
          <w:sz w:val="24"/>
          <w:szCs w:val="24"/>
          <w:highlight w:val="none"/>
        </w:rPr>
        <w:t>在履约过程中发生食品安全事故，或因</w:t>
      </w:r>
      <w:r>
        <w:rPr>
          <w:rFonts w:hint="eastAsia" w:ascii="新宋体" w:hAnsi="新宋体" w:eastAsia="新宋体" w:cs="新宋体"/>
          <w:color w:val="auto"/>
          <w:spacing w:val="-3"/>
          <w:sz w:val="24"/>
          <w:szCs w:val="24"/>
          <w:highlight w:val="none"/>
          <w:lang w:eastAsia="zh-CN"/>
        </w:rPr>
        <w:t>承租方</w:t>
      </w:r>
      <w:r>
        <w:rPr>
          <w:rFonts w:hint="eastAsia" w:ascii="新宋体" w:hAnsi="新宋体" w:eastAsia="新宋体" w:cs="新宋体"/>
          <w:color w:val="auto"/>
          <w:spacing w:val="-3"/>
          <w:sz w:val="24"/>
          <w:szCs w:val="24"/>
          <w:highlight w:val="none"/>
        </w:rPr>
        <w:t>原因导致</w:t>
      </w:r>
      <w:r>
        <w:rPr>
          <w:rFonts w:hint="eastAsia" w:ascii="新宋体" w:hAnsi="新宋体" w:eastAsia="新宋体" w:cs="新宋体"/>
          <w:color w:val="auto"/>
          <w:spacing w:val="-3"/>
          <w:sz w:val="24"/>
          <w:szCs w:val="24"/>
          <w:highlight w:val="none"/>
          <w:lang w:eastAsia="zh-CN"/>
        </w:rPr>
        <w:t>招租方</w:t>
      </w:r>
      <w:r>
        <w:rPr>
          <w:rFonts w:hint="eastAsia" w:ascii="新宋体" w:hAnsi="新宋体" w:eastAsia="新宋体" w:cs="新宋体"/>
          <w:color w:val="auto"/>
          <w:spacing w:val="-2"/>
          <w:sz w:val="24"/>
          <w:szCs w:val="24"/>
          <w:highlight w:val="none"/>
        </w:rPr>
        <w:t>被相关行政机关予以行政处罚，或因</w:t>
      </w:r>
      <w:r>
        <w:rPr>
          <w:rFonts w:hint="eastAsia" w:ascii="新宋体" w:hAnsi="新宋体" w:eastAsia="新宋体" w:cs="新宋体"/>
          <w:color w:val="auto"/>
          <w:spacing w:val="-2"/>
          <w:sz w:val="24"/>
          <w:szCs w:val="24"/>
          <w:highlight w:val="none"/>
          <w:lang w:eastAsia="zh-CN"/>
        </w:rPr>
        <w:t>承租方</w:t>
      </w:r>
      <w:r>
        <w:rPr>
          <w:rFonts w:hint="eastAsia" w:ascii="新宋体" w:hAnsi="新宋体" w:eastAsia="新宋体" w:cs="新宋体"/>
          <w:color w:val="auto"/>
          <w:spacing w:val="-2"/>
          <w:sz w:val="24"/>
          <w:szCs w:val="24"/>
          <w:highlight w:val="none"/>
        </w:rPr>
        <w:t>自身</w:t>
      </w:r>
      <w:r>
        <w:rPr>
          <w:rFonts w:hint="eastAsia" w:ascii="新宋体" w:hAnsi="新宋体" w:eastAsia="新宋体" w:cs="新宋体"/>
          <w:color w:val="auto"/>
          <w:spacing w:val="-3"/>
          <w:sz w:val="24"/>
          <w:szCs w:val="24"/>
          <w:highlight w:val="none"/>
        </w:rPr>
        <w:t>原因导致其被行政机关</w:t>
      </w:r>
      <w:r>
        <w:rPr>
          <w:rFonts w:hint="eastAsia" w:ascii="新宋体" w:hAnsi="新宋体" w:eastAsia="新宋体" w:cs="新宋体"/>
          <w:color w:val="auto"/>
          <w:spacing w:val="4"/>
          <w:sz w:val="24"/>
          <w:szCs w:val="24"/>
          <w:highlight w:val="none"/>
        </w:rPr>
        <w:t>处罚并停业整顿、被吊销营业执照的。</w:t>
      </w:r>
      <w:r>
        <w:rPr>
          <w:rFonts w:hint="eastAsia" w:ascii="新宋体" w:hAnsi="新宋体" w:eastAsia="新宋体" w:cs="新宋体"/>
          <w:color w:val="auto"/>
          <w:spacing w:val="4"/>
          <w:sz w:val="24"/>
          <w:szCs w:val="24"/>
          <w:highlight w:val="none"/>
          <w:lang w:eastAsia="zh-CN"/>
        </w:rPr>
        <w:t>招租方</w:t>
      </w:r>
      <w:r>
        <w:rPr>
          <w:rFonts w:hint="eastAsia" w:ascii="新宋体" w:hAnsi="新宋体" w:eastAsia="新宋体" w:cs="新宋体"/>
          <w:color w:val="auto"/>
          <w:spacing w:val="4"/>
          <w:sz w:val="24"/>
          <w:szCs w:val="24"/>
          <w:highlight w:val="none"/>
        </w:rPr>
        <w:t>有权</w:t>
      </w:r>
      <w:r>
        <w:rPr>
          <w:rFonts w:hint="eastAsia" w:ascii="新宋体" w:hAnsi="新宋体" w:eastAsia="新宋体" w:cs="新宋体"/>
          <w:color w:val="auto"/>
          <w:spacing w:val="3"/>
          <w:sz w:val="24"/>
          <w:szCs w:val="24"/>
          <w:highlight w:val="none"/>
        </w:rPr>
        <w:t>终止合同。</w:t>
      </w:r>
    </w:p>
    <w:p w14:paraId="2098DA10">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z w:val="24"/>
          <w:szCs w:val="24"/>
          <w:highlight w:val="none"/>
        </w:rPr>
      </w:pPr>
      <w:r>
        <w:rPr>
          <w:rFonts w:hint="eastAsia" w:ascii="新宋体" w:hAnsi="新宋体" w:eastAsia="新宋体" w:cs="新宋体"/>
          <w:color w:val="auto"/>
          <w:spacing w:val="-2"/>
          <w:sz w:val="24"/>
          <w:szCs w:val="24"/>
          <w:highlight w:val="none"/>
        </w:rPr>
        <w:t>9.</w:t>
      </w:r>
      <w:r>
        <w:rPr>
          <w:rFonts w:hint="eastAsia" w:ascii="新宋体" w:hAnsi="新宋体" w:eastAsia="新宋体" w:cs="新宋体"/>
          <w:color w:val="auto"/>
          <w:spacing w:val="28"/>
          <w:sz w:val="24"/>
          <w:szCs w:val="24"/>
          <w:highlight w:val="none"/>
        </w:rPr>
        <w:t xml:space="preserve"> </w:t>
      </w:r>
      <w:r>
        <w:rPr>
          <w:rFonts w:hint="eastAsia" w:ascii="新宋体" w:hAnsi="新宋体" w:eastAsia="新宋体" w:cs="新宋体"/>
          <w:color w:val="auto"/>
          <w:spacing w:val="-2"/>
          <w:sz w:val="24"/>
          <w:szCs w:val="24"/>
          <w:highlight w:val="none"/>
          <w:lang w:eastAsia="zh-CN"/>
        </w:rPr>
        <w:t>承租方</w:t>
      </w:r>
      <w:r>
        <w:rPr>
          <w:rFonts w:hint="eastAsia" w:ascii="新宋体" w:hAnsi="新宋体" w:eastAsia="新宋体" w:cs="新宋体"/>
          <w:color w:val="auto"/>
          <w:spacing w:val="-2"/>
          <w:sz w:val="24"/>
          <w:szCs w:val="24"/>
          <w:highlight w:val="none"/>
        </w:rPr>
        <w:t>必须按照</w:t>
      </w:r>
      <w:r>
        <w:rPr>
          <w:rFonts w:hint="eastAsia" w:ascii="新宋体" w:hAnsi="新宋体" w:eastAsia="新宋体" w:cs="新宋体"/>
          <w:color w:val="auto"/>
          <w:spacing w:val="-2"/>
          <w:sz w:val="24"/>
          <w:szCs w:val="24"/>
          <w:highlight w:val="none"/>
          <w:lang w:eastAsia="zh-CN"/>
        </w:rPr>
        <w:t>招租方</w:t>
      </w:r>
      <w:r>
        <w:rPr>
          <w:rFonts w:hint="eastAsia" w:ascii="新宋体" w:hAnsi="新宋体" w:eastAsia="新宋体" w:cs="新宋体"/>
          <w:color w:val="auto"/>
          <w:spacing w:val="-2"/>
          <w:sz w:val="24"/>
          <w:szCs w:val="24"/>
          <w:highlight w:val="none"/>
        </w:rPr>
        <w:t>的要求，严格按照</w:t>
      </w:r>
      <w:r>
        <w:rPr>
          <w:rFonts w:hint="eastAsia" w:ascii="新宋体" w:hAnsi="新宋体" w:eastAsia="新宋体" w:cs="新宋体"/>
          <w:color w:val="auto"/>
          <w:spacing w:val="-2"/>
          <w:sz w:val="24"/>
          <w:szCs w:val="24"/>
          <w:highlight w:val="none"/>
          <w:lang w:eastAsia="zh-CN"/>
        </w:rPr>
        <w:t>招租方</w:t>
      </w:r>
      <w:r>
        <w:rPr>
          <w:rFonts w:hint="eastAsia" w:ascii="新宋体" w:hAnsi="新宋体" w:eastAsia="新宋体" w:cs="新宋体"/>
          <w:color w:val="auto"/>
          <w:spacing w:val="-2"/>
          <w:sz w:val="24"/>
          <w:szCs w:val="24"/>
          <w:highlight w:val="none"/>
        </w:rPr>
        <w:t>统筹安排的厨房生产</w:t>
      </w:r>
      <w:r>
        <w:rPr>
          <w:rFonts w:hint="eastAsia" w:ascii="新宋体" w:hAnsi="新宋体" w:eastAsia="新宋体" w:cs="新宋体"/>
          <w:color w:val="auto"/>
          <w:spacing w:val="-3"/>
          <w:sz w:val="24"/>
          <w:szCs w:val="24"/>
          <w:highlight w:val="none"/>
        </w:rPr>
        <w:t>场地、经营场地和设施设备进场经营，若出现不配合的情况，</w:t>
      </w:r>
      <w:r>
        <w:rPr>
          <w:rFonts w:hint="eastAsia" w:ascii="新宋体" w:hAnsi="新宋体" w:eastAsia="新宋体" w:cs="新宋体"/>
          <w:color w:val="auto"/>
          <w:spacing w:val="-4"/>
          <w:sz w:val="24"/>
          <w:szCs w:val="24"/>
          <w:highlight w:val="none"/>
          <w:lang w:eastAsia="zh-CN"/>
        </w:rPr>
        <w:t>招租方</w:t>
      </w:r>
      <w:r>
        <w:rPr>
          <w:rFonts w:hint="eastAsia" w:ascii="新宋体" w:hAnsi="新宋体" w:eastAsia="新宋体" w:cs="新宋体"/>
          <w:color w:val="auto"/>
          <w:spacing w:val="-4"/>
          <w:sz w:val="24"/>
          <w:szCs w:val="24"/>
          <w:highlight w:val="none"/>
        </w:rPr>
        <w:t>有</w:t>
      </w:r>
      <w:r>
        <w:rPr>
          <w:rFonts w:hint="eastAsia" w:ascii="新宋体" w:hAnsi="新宋体" w:eastAsia="新宋体" w:cs="新宋体"/>
          <w:color w:val="auto"/>
          <w:spacing w:val="-8"/>
          <w:sz w:val="24"/>
          <w:szCs w:val="24"/>
          <w:highlight w:val="none"/>
        </w:rPr>
        <w:t>权终止合同。</w:t>
      </w:r>
    </w:p>
    <w:p w14:paraId="5F0B4E40">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color w:val="auto"/>
          <w:sz w:val="24"/>
          <w:szCs w:val="24"/>
          <w:highlight w:val="none"/>
        </w:rPr>
      </w:pPr>
      <w:r>
        <w:rPr>
          <w:rFonts w:hint="eastAsia" w:ascii="新宋体" w:hAnsi="新宋体" w:eastAsia="新宋体" w:cs="新宋体"/>
          <w:color w:val="auto"/>
          <w:spacing w:val="6"/>
          <w:sz w:val="24"/>
          <w:szCs w:val="24"/>
          <w:highlight w:val="none"/>
        </w:rPr>
        <w:t>10. 合同终止后，</w:t>
      </w:r>
      <w:r>
        <w:rPr>
          <w:rFonts w:hint="eastAsia" w:ascii="新宋体" w:hAnsi="新宋体" w:eastAsia="新宋体" w:cs="新宋体"/>
          <w:color w:val="auto"/>
          <w:spacing w:val="6"/>
          <w:sz w:val="24"/>
          <w:szCs w:val="24"/>
          <w:highlight w:val="none"/>
          <w:lang w:eastAsia="zh-CN"/>
        </w:rPr>
        <w:t>承租方</w:t>
      </w:r>
      <w:r>
        <w:rPr>
          <w:rFonts w:hint="eastAsia" w:ascii="新宋体" w:hAnsi="新宋体" w:eastAsia="新宋体" w:cs="新宋体"/>
          <w:color w:val="auto"/>
          <w:spacing w:val="6"/>
          <w:sz w:val="24"/>
          <w:szCs w:val="24"/>
          <w:highlight w:val="none"/>
        </w:rPr>
        <w:t>应按照接收</w:t>
      </w:r>
      <w:r>
        <w:rPr>
          <w:rFonts w:hint="eastAsia" w:ascii="新宋体" w:hAnsi="新宋体" w:eastAsia="新宋体" w:cs="新宋体"/>
          <w:color w:val="auto"/>
          <w:spacing w:val="6"/>
          <w:sz w:val="24"/>
          <w:szCs w:val="24"/>
          <w:highlight w:val="none"/>
          <w:lang w:eastAsia="zh-CN"/>
        </w:rPr>
        <w:t>招租方</w:t>
      </w:r>
      <w:r>
        <w:rPr>
          <w:rFonts w:hint="eastAsia" w:ascii="新宋体" w:hAnsi="新宋体" w:eastAsia="新宋体" w:cs="新宋体"/>
          <w:color w:val="auto"/>
          <w:spacing w:val="6"/>
          <w:sz w:val="24"/>
          <w:szCs w:val="24"/>
          <w:highlight w:val="none"/>
        </w:rPr>
        <w:t>餐厅和厨房(含排水设施</w:t>
      </w:r>
      <w:r>
        <w:rPr>
          <w:rFonts w:hint="eastAsia" w:ascii="新宋体" w:hAnsi="新宋体" w:eastAsia="新宋体" w:cs="新宋体"/>
          <w:color w:val="auto"/>
          <w:spacing w:val="3"/>
          <w:sz w:val="24"/>
          <w:szCs w:val="24"/>
          <w:highlight w:val="none"/>
        </w:rPr>
        <w:t>的室外部分)和空调、器具、监控系统以及相关设备设施时，</w:t>
      </w:r>
      <w:r>
        <w:rPr>
          <w:rFonts w:hint="eastAsia" w:ascii="新宋体" w:hAnsi="新宋体" w:eastAsia="新宋体" w:cs="新宋体"/>
          <w:color w:val="auto"/>
          <w:spacing w:val="2"/>
          <w:sz w:val="24"/>
          <w:szCs w:val="24"/>
          <w:highlight w:val="none"/>
          <w:lang w:eastAsia="zh-CN"/>
        </w:rPr>
        <w:t>招租方</w:t>
      </w:r>
      <w:r>
        <w:rPr>
          <w:rFonts w:hint="eastAsia" w:ascii="新宋体" w:hAnsi="新宋体" w:eastAsia="新宋体" w:cs="新宋体"/>
          <w:color w:val="auto"/>
          <w:spacing w:val="2"/>
          <w:sz w:val="24"/>
          <w:szCs w:val="24"/>
          <w:highlight w:val="none"/>
        </w:rPr>
        <w:t>盘</w:t>
      </w:r>
      <w:r>
        <w:rPr>
          <w:rFonts w:hint="eastAsia" w:ascii="新宋体" w:hAnsi="新宋体" w:eastAsia="新宋体" w:cs="新宋体"/>
          <w:color w:val="auto"/>
          <w:spacing w:val="-2"/>
          <w:sz w:val="24"/>
          <w:szCs w:val="24"/>
          <w:highlight w:val="none"/>
        </w:rPr>
        <w:t>点后所开列的清单记载内容将相关设施设备完好</w:t>
      </w:r>
      <w:r>
        <w:rPr>
          <w:rFonts w:hint="eastAsia" w:ascii="新宋体" w:hAnsi="新宋体" w:eastAsia="新宋体" w:cs="新宋体"/>
          <w:color w:val="auto"/>
          <w:spacing w:val="-3"/>
          <w:sz w:val="24"/>
          <w:szCs w:val="24"/>
          <w:highlight w:val="none"/>
        </w:rPr>
        <w:t>交回予</w:t>
      </w:r>
      <w:r>
        <w:rPr>
          <w:rFonts w:hint="eastAsia" w:ascii="新宋体" w:hAnsi="新宋体" w:eastAsia="新宋体" w:cs="新宋体"/>
          <w:color w:val="auto"/>
          <w:spacing w:val="-3"/>
          <w:sz w:val="24"/>
          <w:szCs w:val="24"/>
          <w:highlight w:val="none"/>
          <w:lang w:eastAsia="zh-CN"/>
        </w:rPr>
        <w:t>招租方</w:t>
      </w:r>
      <w:r>
        <w:rPr>
          <w:rFonts w:hint="eastAsia" w:ascii="新宋体" w:hAnsi="新宋体" w:eastAsia="新宋体" w:cs="新宋体"/>
          <w:color w:val="auto"/>
          <w:spacing w:val="-3"/>
          <w:sz w:val="24"/>
          <w:szCs w:val="24"/>
          <w:highlight w:val="none"/>
        </w:rPr>
        <w:t>，并需无</w:t>
      </w:r>
      <w:r>
        <w:rPr>
          <w:rFonts w:hint="eastAsia" w:ascii="新宋体" w:hAnsi="新宋体" w:eastAsia="新宋体" w:cs="新宋体"/>
          <w:color w:val="auto"/>
          <w:spacing w:val="3"/>
          <w:sz w:val="24"/>
          <w:szCs w:val="24"/>
          <w:highlight w:val="none"/>
        </w:rPr>
        <w:t>条件与</w:t>
      </w:r>
      <w:r>
        <w:rPr>
          <w:rFonts w:hint="eastAsia" w:ascii="新宋体" w:hAnsi="新宋体" w:eastAsia="新宋体" w:cs="新宋体"/>
          <w:color w:val="auto"/>
          <w:spacing w:val="3"/>
          <w:sz w:val="24"/>
          <w:szCs w:val="24"/>
          <w:highlight w:val="none"/>
          <w:lang w:eastAsia="zh-CN"/>
        </w:rPr>
        <w:t>招租方</w:t>
      </w:r>
      <w:r>
        <w:rPr>
          <w:rFonts w:hint="eastAsia" w:ascii="新宋体" w:hAnsi="新宋体" w:eastAsia="新宋体" w:cs="新宋体"/>
          <w:color w:val="auto"/>
          <w:spacing w:val="3"/>
          <w:sz w:val="24"/>
          <w:szCs w:val="24"/>
          <w:highlight w:val="none"/>
        </w:rPr>
        <w:t>做好交接手续。</w:t>
      </w:r>
      <w:r>
        <w:rPr>
          <w:rFonts w:hint="eastAsia" w:ascii="新宋体" w:hAnsi="新宋体" w:eastAsia="新宋体" w:cs="新宋体"/>
          <w:color w:val="auto"/>
          <w:spacing w:val="3"/>
          <w:sz w:val="24"/>
          <w:szCs w:val="24"/>
          <w:highlight w:val="none"/>
          <w:lang w:eastAsia="zh-CN"/>
        </w:rPr>
        <w:t>承租方</w:t>
      </w:r>
      <w:r>
        <w:rPr>
          <w:rFonts w:hint="eastAsia" w:ascii="新宋体" w:hAnsi="新宋体" w:eastAsia="新宋体" w:cs="新宋体"/>
          <w:color w:val="auto"/>
          <w:spacing w:val="3"/>
          <w:sz w:val="24"/>
          <w:szCs w:val="24"/>
          <w:highlight w:val="none"/>
        </w:rPr>
        <w:t>所属人员由</w:t>
      </w:r>
      <w:r>
        <w:rPr>
          <w:rFonts w:hint="eastAsia" w:ascii="新宋体" w:hAnsi="新宋体" w:eastAsia="新宋体" w:cs="新宋体"/>
          <w:color w:val="auto"/>
          <w:spacing w:val="3"/>
          <w:sz w:val="24"/>
          <w:szCs w:val="24"/>
          <w:highlight w:val="none"/>
          <w:lang w:eastAsia="zh-CN"/>
        </w:rPr>
        <w:t>承租方</w:t>
      </w:r>
      <w:r>
        <w:rPr>
          <w:rFonts w:hint="eastAsia" w:ascii="新宋体" w:hAnsi="新宋体" w:eastAsia="新宋体" w:cs="新宋体"/>
          <w:color w:val="auto"/>
          <w:spacing w:val="3"/>
          <w:sz w:val="24"/>
          <w:szCs w:val="24"/>
          <w:highlight w:val="none"/>
        </w:rPr>
        <w:t>自行处理(</w:t>
      </w:r>
      <w:r>
        <w:rPr>
          <w:rFonts w:hint="eastAsia" w:ascii="新宋体" w:hAnsi="新宋体" w:eastAsia="新宋体" w:cs="新宋体"/>
          <w:color w:val="auto"/>
          <w:spacing w:val="2"/>
          <w:sz w:val="24"/>
          <w:szCs w:val="24"/>
          <w:highlight w:val="none"/>
        </w:rPr>
        <w:t>含</w:t>
      </w:r>
      <w:r>
        <w:rPr>
          <w:rFonts w:hint="eastAsia" w:ascii="新宋体" w:hAnsi="新宋体" w:eastAsia="新宋体" w:cs="新宋体"/>
          <w:color w:val="auto"/>
          <w:spacing w:val="2"/>
          <w:sz w:val="24"/>
          <w:szCs w:val="24"/>
          <w:highlight w:val="none"/>
          <w:lang w:eastAsia="zh-CN"/>
        </w:rPr>
        <w:t>承租方</w:t>
      </w:r>
      <w:r>
        <w:rPr>
          <w:rFonts w:hint="eastAsia" w:ascii="新宋体" w:hAnsi="新宋体" w:eastAsia="新宋体" w:cs="新宋体"/>
          <w:color w:val="auto"/>
          <w:spacing w:val="2"/>
          <w:sz w:val="24"/>
          <w:szCs w:val="24"/>
          <w:highlight w:val="none"/>
        </w:rPr>
        <w:t>接</w:t>
      </w:r>
      <w:r>
        <w:rPr>
          <w:rFonts w:hint="eastAsia" w:ascii="新宋体" w:hAnsi="新宋体" w:eastAsia="新宋体" w:cs="新宋体"/>
          <w:color w:val="auto"/>
          <w:spacing w:val="8"/>
          <w:sz w:val="24"/>
          <w:szCs w:val="24"/>
          <w:highlight w:val="none"/>
        </w:rPr>
        <w:t>收并与之签订劳动合同的原</w:t>
      </w:r>
      <w:r>
        <w:rPr>
          <w:rFonts w:hint="eastAsia" w:ascii="新宋体" w:hAnsi="新宋体" w:eastAsia="新宋体" w:cs="新宋体"/>
          <w:color w:val="auto"/>
          <w:spacing w:val="8"/>
          <w:sz w:val="24"/>
          <w:szCs w:val="24"/>
          <w:highlight w:val="none"/>
          <w:lang w:eastAsia="zh-CN"/>
        </w:rPr>
        <w:t>招租方</w:t>
      </w:r>
      <w:r>
        <w:rPr>
          <w:rFonts w:hint="eastAsia" w:ascii="新宋体" w:hAnsi="新宋体" w:eastAsia="新宋体" w:cs="新宋体"/>
          <w:color w:val="auto"/>
          <w:spacing w:val="8"/>
          <w:sz w:val="24"/>
          <w:szCs w:val="24"/>
          <w:highlight w:val="none"/>
        </w:rPr>
        <w:t>食堂员工)。</w:t>
      </w:r>
      <w:r>
        <w:rPr>
          <w:rFonts w:hint="eastAsia" w:ascii="新宋体" w:hAnsi="新宋体" w:eastAsia="新宋体" w:cs="新宋体"/>
          <w:color w:val="auto"/>
          <w:spacing w:val="8"/>
          <w:sz w:val="24"/>
          <w:szCs w:val="24"/>
          <w:highlight w:val="none"/>
          <w:lang w:eastAsia="zh-CN"/>
        </w:rPr>
        <w:t>招租方</w:t>
      </w:r>
      <w:r>
        <w:rPr>
          <w:rFonts w:hint="eastAsia" w:ascii="新宋体" w:hAnsi="新宋体" w:eastAsia="新宋体" w:cs="新宋体"/>
          <w:color w:val="auto"/>
          <w:spacing w:val="8"/>
          <w:sz w:val="24"/>
          <w:szCs w:val="24"/>
          <w:highlight w:val="none"/>
        </w:rPr>
        <w:t>有权终止合同。</w:t>
      </w:r>
    </w:p>
    <w:p w14:paraId="6B40AEDB">
      <w:pPr>
        <w:pStyle w:val="4"/>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0" w:rightChars="0" w:firstLine="0" w:firstLineChars="0"/>
        <w:textAlignment w:val="baseline"/>
        <w:rPr>
          <w:rFonts w:hint="eastAsia" w:ascii="新宋体" w:hAnsi="新宋体" w:eastAsia="新宋体" w:cs="新宋体"/>
          <w:b/>
          <w:bCs/>
          <w:color w:val="auto"/>
          <w:spacing w:val="-13"/>
          <w:sz w:val="24"/>
          <w:szCs w:val="24"/>
          <w:highlight w:val="none"/>
          <w:lang w:val="en-US" w:eastAsia="zh-CN"/>
        </w:rPr>
      </w:pPr>
      <w:r>
        <w:rPr>
          <w:rFonts w:hint="eastAsia" w:ascii="新宋体" w:hAnsi="新宋体" w:eastAsia="新宋体" w:cs="新宋体"/>
          <w:b/>
          <w:bCs/>
          <w:color w:val="auto"/>
          <w:spacing w:val="-13"/>
          <w:sz w:val="24"/>
          <w:szCs w:val="24"/>
          <w:highlight w:val="none"/>
          <w:lang w:val="en-US" w:eastAsia="zh-CN"/>
        </w:rPr>
        <w:t>其他要求和事项说明</w:t>
      </w:r>
    </w:p>
    <w:p w14:paraId="598A53E7">
      <w:pPr>
        <w:pStyle w:val="4"/>
        <w:keepNext w:val="0"/>
        <w:keepLines w:val="0"/>
        <w:pageBreakBefore w:val="0"/>
        <w:widowControl/>
        <w:numPr>
          <w:ilvl w:val="0"/>
          <w:numId w:val="2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b w:val="0"/>
          <w:bCs w:val="0"/>
          <w:color w:val="auto"/>
          <w:spacing w:val="-2"/>
          <w:sz w:val="24"/>
          <w:szCs w:val="24"/>
          <w:highlight w:val="none"/>
        </w:rPr>
      </w:pP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必须发扬中国共产党的优良传统和作风，必须自觉培养高尚道德情操，努力弘扬中华民族传统美德，廉洁自律，接受监督，崇廉拒腐，清白做人，干净做事，自觉遵守廉政准则，切实增强廉洁自律意识。</w:t>
      </w:r>
    </w:p>
    <w:p w14:paraId="6CF8CF4F">
      <w:pPr>
        <w:pStyle w:val="4"/>
        <w:keepNext w:val="0"/>
        <w:keepLines w:val="0"/>
        <w:pageBreakBefore w:val="0"/>
        <w:widowControl/>
        <w:numPr>
          <w:ilvl w:val="0"/>
          <w:numId w:val="2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b w:val="0"/>
          <w:bCs w:val="0"/>
          <w:color w:val="auto"/>
          <w:spacing w:val="-2"/>
          <w:sz w:val="24"/>
          <w:szCs w:val="24"/>
          <w:highlight w:val="none"/>
        </w:rPr>
      </w:pP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应根据规定与</w:t>
      </w:r>
      <w:r>
        <w:rPr>
          <w:rFonts w:hint="eastAsia" w:ascii="新宋体" w:hAnsi="新宋体" w:eastAsia="新宋体" w:cs="新宋体"/>
          <w:b w:val="0"/>
          <w:bCs w:val="0"/>
          <w:color w:val="auto"/>
          <w:spacing w:val="-2"/>
          <w:sz w:val="24"/>
          <w:szCs w:val="24"/>
          <w:highlight w:val="none"/>
          <w:lang w:eastAsia="zh-CN"/>
        </w:rPr>
        <w:t>招租方</w:t>
      </w:r>
      <w:r>
        <w:rPr>
          <w:rFonts w:hint="eastAsia" w:ascii="新宋体" w:hAnsi="新宋体" w:eastAsia="新宋体" w:cs="新宋体"/>
          <w:b w:val="0"/>
          <w:bCs w:val="0"/>
          <w:color w:val="auto"/>
          <w:spacing w:val="-2"/>
          <w:sz w:val="24"/>
          <w:szCs w:val="24"/>
          <w:highlight w:val="none"/>
        </w:rPr>
        <w:t>的原服务公司完成场地、设备、材料等相关资料的交接工作。对于原服务公司的工作人员，如</w:t>
      </w: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有意向继续聘用，且相关人员自愿继续留任的，</w:t>
      </w: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可与这些人员协商续聘事宜。</w:t>
      </w: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需确保所有继续聘用的人员依法享有"五险"等社会保障。</w:t>
      </w:r>
    </w:p>
    <w:p w14:paraId="30095282">
      <w:pPr>
        <w:pStyle w:val="4"/>
        <w:keepNext w:val="0"/>
        <w:keepLines w:val="0"/>
        <w:pageBreakBefore w:val="0"/>
        <w:widowControl/>
        <w:numPr>
          <w:ilvl w:val="0"/>
          <w:numId w:val="2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b w:val="0"/>
          <w:bCs w:val="0"/>
          <w:color w:val="auto"/>
          <w:spacing w:val="-2"/>
          <w:sz w:val="24"/>
          <w:szCs w:val="24"/>
          <w:highlight w:val="none"/>
        </w:rPr>
      </w:pP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服务期满后，退场前要根据合同的规定与</w:t>
      </w:r>
      <w:r>
        <w:rPr>
          <w:rFonts w:hint="eastAsia" w:ascii="新宋体" w:hAnsi="新宋体" w:eastAsia="新宋体" w:cs="新宋体"/>
          <w:b w:val="0"/>
          <w:bCs w:val="0"/>
          <w:color w:val="auto"/>
          <w:spacing w:val="-2"/>
          <w:sz w:val="24"/>
          <w:szCs w:val="24"/>
          <w:highlight w:val="none"/>
          <w:lang w:eastAsia="zh-CN"/>
        </w:rPr>
        <w:t>招租方</w:t>
      </w:r>
      <w:r>
        <w:rPr>
          <w:rFonts w:hint="eastAsia" w:ascii="新宋体" w:hAnsi="新宋体" w:eastAsia="新宋体" w:cs="新宋体"/>
          <w:b w:val="0"/>
          <w:bCs w:val="0"/>
          <w:color w:val="auto"/>
          <w:spacing w:val="-2"/>
          <w:sz w:val="24"/>
          <w:szCs w:val="24"/>
          <w:highlight w:val="none"/>
        </w:rPr>
        <w:t>的新服务公司完成场地、设备、材料等相关资料的交接工作。如</w:t>
      </w: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的部分员工有意向继续在新服务公司工作， 且新服务公司同意聘用的，</w:t>
      </w: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应予以协助，并确保相关人员的"五险"等社会保障得到妥善处理。</w:t>
      </w:r>
    </w:p>
    <w:p w14:paraId="021EB0A7">
      <w:pPr>
        <w:pStyle w:val="4"/>
        <w:keepNext w:val="0"/>
        <w:keepLines w:val="0"/>
        <w:pageBreakBefore w:val="0"/>
        <w:widowControl/>
        <w:numPr>
          <w:ilvl w:val="0"/>
          <w:numId w:val="2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b w:val="0"/>
          <w:bCs w:val="0"/>
          <w:color w:val="auto"/>
          <w:spacing w:val="-2"/>
          <w:sz w:val="24"/>
          <w:szCs w:val="24"/>
          <w:highlight w:val="none"/>
        </w:rPr>
      </w:pPr>
      <w:r>
        <w:rPr>
          <w:rFonts w:hint="eastAsia" w:ascii="新宋体" w:hAnsi="新宋体" w:eastAsia="新宋体" w:cs="新宋体"/>
          <w:b w:val="0"/>
          <w:bCs w:val="0"/>
          <w:color w:val="auto"/>
          <w:spacing w:val="-2"/>
          <w:sz w:val="24"/>
          <w:szCs w:val="24"/>
          <w:highlight w:val="none"/>
        </w:rPr>
        <w:t>在整个交接过程中，各方应本着互相配合、友好协商的原则进行。如因一方不配合导致交接工作无法顺利完成，造成经济损失的，该方需承担由此产生的全部经济损失及相应责任。</w:t>
      </w:r>
    </w:p>
    <w:p w14:paraId="0ADEEFE8">
      <w:pPr>
        <w:pStyle w:val="4"/>
        <w:keepNext w:val="0"/>
        <w:keepLines w:val="0"/>
        <w:pageBreakBefore w:val="0"/>
        <w:widowControl/>
        <w:numPr>
          <w:ilvl w:val="0"/>
          <w:numId w:val="21"/>
        </w:numPr>
        <w:kinsoku w:val="0"/>
        <w:wordWrap/>
        <w:overflowPunct/>
        <w:topLinePunct w:val="0"/>
        <w:autoSpaceDE w:val="0"/>
        <w:autoSpaceDN w:val="0"/>
        <w:bidi w:val="0"/>
        <w:adjustRightInd w:val="0"/>
        <w:snapToGrid w:val="0"/>
        <w:spacing w:line="560" w:lineRule="exact"/>
        <w:ind w:left="0" w:leftChars="0" w:right="0" w:firstLine="0" w:firstLineChars="0"/>
        <w:textAlignment w:val="baseline"/>
        <w:rPr>
          <w:rFonts w:hint="eastAsia" w:ascii="新宋体" w:hAnsi="新宋体" w:eastAsia="新宋体" w:cs="新宋体"/>
          <w:b w:val="0"/>
          <w:bCs w:val="0"/>
          <w:color w:val="auto"/>
          <w:spacing w:val="-2"/>
          <w:sz w:val="24"/>
          <w:szCs w:val="24"/>
          <w:highlight w:val="none"/>
        </w:rPr>
      </w:pPr>
      <w:r>
        <w:rPr>
          <w:rFonts w:hint="eastAsia" w:ascii="新宋体" w:hAnsi="新宋体" w:eastAsia="新宋体" w:cs="新宋体"/>
          <w:b w:val="0"/>
          <w:bCs w:val="0"/>
          <w:color w:val="auto"/>
          <w:spacing w:val="-2"/>
          <w:sz w:val="24"/>
          <w:szCs w:val="24"/>
          <w:highlight w:val="none"/>
        </w:rPr>
        <w:t>★履约保证金</w:t>
      </w:r>
    </w:p>
    <w:p w14:paraId="302E2898">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b w:val="0"/>
          <w:bCs w:val="0"/>
          <w:color w:val="auto"/>
          <w:spacing w:val="-2"/>
          <w:sz w:val="24"/>
          <w:szCs w:val="24"/>
          <w:highlight w:val="none"/>
        </w:rPr>
      </w:pPr>
      <w:r>
        <w:rPr>
          <w:rFonts w:hint="eastAsia" w:ascii="新宋体" w:hAnsi="新宋体" w:eastAsia="新宋体" w:cs="新宋体"/>
          <w:b w:val="0"/>
          <w:bCs w:val="0"/>
          <w:color w:val="auto"/>
          <w:spacing w:val="-2"/>
          <w:sz w:val="24"/>
          <w:szCs w:val="24"/>
          <w:highlight w:val="none"/>
          <w:lang w:val="en-US" w:eastAsia="zh-CN"/>
        </w:rPr>
        <w:t>5</w:t>
      </w:r>
      <w:r>
        <w:rPr>
          <w:rFonts w:hint="eastAsia" w:ascii="新宋体" w:hAnsi="新宋体" w:eastAsia="新宋体" w:cs="新宋体"/>
          <w:b w:val="0"/>
          <w:bCs w:val="0"/>
          <w:color w:val="auto"/>
          <w:spacing w:val="-2"/>
          <w:sz w:val="24"/>
          <w:szCs w:val="24"/>
          <w:highlight w:val="none"/>
        </w:rPr>
        <w:t xml:space="preserve">.1 </w:t>
      </w:r>
      <w:r>
        <w:rPr>
          <w:rFonts w:hint="eastAsia" w:ascii="新宋体" w:hAnsi="新宋体" w:eastAsia="新宋体" w:cs="新宋体"/>
          <w:b w:val="0"/>
          <w:bCs w:val="0"/>
          <w:color w:val="auto"/>
          <w:spacing w:val="-2"/>
          <w:sz w:val="24"/>
          <w:szCs w:val="24"/>
          <w:highlight w:val="none"/>
          <w:lang w:val="en-US" w:eastAsia="zh-CN"/>
        </w:rPr>
        <w:t>包组1：</w:t>
      </w: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须在签订合同前，向</w:t>
      </w:r>
      <w:r>
        <w:rPr>
          <w:rFonts w:hint="eastAsia" w:ascii="新宋体" w:hAnsi="新宋体" w:eastAsia="新宋体" w:cs="新宋体"/>
          <w:b w:val="0"/>
          <w:bCs w:val="0"/>
          <w:color w:val="auto"/>
          <w:spacing w:val="-2"/>
          <w:sz w:val="24"/>
          <w:szCs w:val="24"/>
          <w:highlight w:val="none"/>
          <w:lang w:eastAsia="zh-CN"/>
        </w:rPr>
        <w:t>招租方</w:t>
      </w:r>
      <w:r>
        <w:rPr>
          <w:rFonts w:hint="eastAsia" w:ascii="新宋体" w:hAnsi="新宋体" w:eastAsia="新宋体" w:cs="新宋体"/>
          <w:b w:val="0"/>
          <w:bCs w:val="0"/>
          <w:color w:val="auto"/>
          <w:spacing w:val="-2"/>
          <w:sz w:val="24"/>
          <w:szCs w:val="24"/>
          <w:highlight w:val="none"/>
        </w:rPr>
        <w:t>缴纳本项目的履约保证金¥</w:t>
      </w:r>
      <w:r>
        <w:rPr>
          <w:rFonts w:hint="eastAsia" w:ascii="新宋体" w:hAnsi="新宋体" w:eastAsia="新宋体" w:cs="新宋体"/>
          <w:b w:val="0"/>
          <w:bCs w:val="0"/>
          <w:color w:val="auto"/>
          <w:spacing w:val="-2"/>
          <w:sz w:val="24"/>
          <w:szCs w:val="24"/>
          <w:highlight w:val="none"/>
          <w:lang w:val="en-US" w:eastAsia="zh-CN"/>
        </w:rPr>
        <w:t>100</w:t>
      </w:r>
      <w:r>
        <w:rPr>
          <w:rFonts w:hint="eastAsia" w:ascii="新宋体" w:hAnsi="新宋体" w:eastAsia="新宋体" w:cs="新宋体"/>
          <w:b w:val="0"/>
          <w:bCs w:val="0"/>
          <w:color w:val="auto"/>
          <w:spacing w:val="-2"/>
          <w:sz w:val="24"/>
          <w:szCs w:val="24"/>
          <w:highlight w:val="none"/>
        </w:rPr>
        <w:t>万元（大写：人民币壹佰万元整）</w:t>
      </w:r>
      <w:r>
        <w:rPr>
          <w:rFonts w:hint="eastAsia" w:ascii="新宋体" w:hAnsi="新宋体" w:eastAsia="新宋体" w:cs="新宋体"/>
          <w:b w:val="0"/>
          <w:bCs w:val="0"/>
          <w:color w:val="auto"/>
          <w:spacing w:val="-2"/>
          <w:sz w:val="24"/>
          <w:szCs w:val="24"/>
          <w:highlight w:val="none"/>
          <w:lang w:eastAsia="zh-CN"/>
        </w:rPr>
        <w:t>；</w:t>
      </w:r>
      <w:r>
        <w:rPr>
          <w:rFonts w:hint="eastAsia" w:ascii="新宋体" w:hAnsi="新宋体" w:eastAsia="新宋体" w:cs="新宋体"/>
          <w:b w:val="0"/>
          <w:bCs w:val="0"/>
          <w:color w:val="auto"/>
          <w:spacing w:val="-2"/>
          <w:sz w:val="24"/>
          <w:szCs w:val="24"/>
          <w:highlight w:val="none"/>
          <w:lang w:val="en-US" w:eastAsia="zh-CN"/>
        </w:rPr>
        <w:t>包组2：</w:t>
      </w: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须在签订合同前，向</w:t>
      </w:r>
      <w:r>
        <w:rPr>
          <w:rFonts w:hint="eastAsia" w:ascii="新宋体" w:hAnsi="新宋体" w:eastAsia="新宋体" w:cs="新宋体"/>
          <w:b w:val="0"/>
          <w:bCs w:val="0"/>
          <w:color w:val="auto"/>
          <w:spacing w:val="-2"/>
          <w:sz w:val="24"/>
          <w:szCs w:val="24"/>
          <w:highlight w:val="none"/>
          <w:lang w:eastAsia="zh-CN"/>
        </w:rPr>
        <w:t>招租方</w:t>
      </w:r>
      <w:r>
        <w:rPr>
          <w:rFonts w:hint="eastAsia" w:ascii="新宋体" w:hAnsi="新宋体" w:eastAsia="新宋体" w:cs="新宋体"/>
          <w:b w:val="0"/>
          <w:bCs w:val="0"/>
          <w:color w:val="auto"/>
          <w:spacing w:val="-2"/>
          <w:sz w:val="24"/>
          <w:szCs w:val="24"/>
          <w:highlight w:val="none"/>
        </w:rPr>
        <w:t>缴纳本项目的履约保证金¥</w:t>
      </w:r>
      <w:r>
        <w:rPr>
          <w:rFonts w:hint="eastAsia" w:ascii="新宋体" w:hAnsi="新宋体" w:eastAsia="新宋体" w:cs="新宋体"/>
          <w:b w:val="0"/>
          <w:bCs w:val="0"/>
          <w:color w:val="auto"/>
          <w:spacing w:val="-2"/>
          <w:sz w:val="24"/>
          <w:szCs w:val="24"/>
          <w:highlight w:val="none"/>
          <w:lang w:val="en-US" w:eastAsia="zh-CN"/>
        </w:rPr>
        <w:t>50</w:t>
      </w:r>
      <w:r>
        <w:rPr>
          <w:rFonts w:hint="eastAsia" w:ascii="新宋体" w:hAnsi="新宋体" w:eastAsia="新宋体" w:cs="新宋体"/>
          <w:b w:val="0"/>
          <w:bCs w:val="0"/>
          <w:color w:val="auto"/>
          <w:spacing w:val="-2"/>
          <w:sz w:val="24"/>
          <w:szCs w:val="24"/>
          <w:highlight w:val="none"/>
        </w:rPr>
        <w:t>万元（大写：人民币</w:t>
      </w:r>
      <w:r>
        <w:rPr>
          <w:rFonts w:hint="eastAsia" w:ascii="新宋体" w:hAnsi="新宋体" w:eastAsia="新宋体" w:cs="新宋体"/>
          <w:b w:val="0"/>
          <w:bCs w:val="0"/>
          <w:color w:val="auto"/>
          <w:spacing w:val="-2"/>
          <w:sz w:val="24"/>
          <w:szCs w:val="24"/>
          <w:highlight w:val="none"/>
          <w:lang w:val="en-US" w:eastAsia="zh-CN"/>
        </w:rPr>
        <w:t>伍拾</w:t>
      </w:r>
      <w:r>
        <w:rPr>
          <w:rFonts w:hint="eastAsia" w:ascii="新宋体" w:hAnsi="新宋体" w:eastAsia="新宋体" w:cs="新宋体"/>
          <w:b w:val="0"/>
          <w:bCs w:val="0"/>
          <w:color w:val="auto"/>
          <w:spacing w:val="-2"/>
          <w:sz w:val="24"/>
          <w:szCs w:val="24"/>
          <w:highlight w:val="none"/>
        </w:rPr>
        <w:t>万元整）。</w:t>
      </w:r>
    </w:p>
    <w:p w14:paraId="5D36DF19">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b w:val="0"/>
          <w:bCs w:val="0"/>
          <w:color w:val="auto"/>
          <w:spacing w:val="-2"/>
          <w:sz w:val="24"/>
          <w:szCs w:val="24"/>
          <w:highlight w:val="none"/>
        </w:rPr>
      </w:pPr>
      <w:r>
        <w:rPr>
          <w:rFonts w:hint="eastAsia" w:ascii="新宋体" w:hAnsi="新宋体" w:eastAsia="新宋体" w:cs="新宋体"/>
          <w:b w:val="0"/>
          <w:bCs w:val="0"/>
          <w:color w:val="auto"/>
          <w:spacing w:val="-2"/>
          <w:sz w:val="24"/>
          <w:szCs w:val="24"/>
          <w:highlight w:val="none"/>
          <w:lang w:val="en-US" w:eastAsia="zh-CN"/>
        </w:rPr>
        <w:t>5</w:t>
      </w:r>
      <w:r>
        <w:rPr>
          <w:rFonts w:hint="eastAsia" w:ascii="新宋体" w:hAnsi="新宋体" w:eastAsia="新宋体" w:cs="新宋体"/>
          <w:b w:val="0"/>
          <w:bCs w:val="0"/>
          <w:color w:val="auto"/>
          <w:spacing w:val="-2"/>
          <w:sz w:val="24"/>
          <w:szCs w:val="24"/>
          <w:highlight w:val="none"/>
        </w:rPr>
        <w:t>.2 履约保证金以转账方式或者履约保函等非现金形式提交。</w:t>
      </w:r>
    </w:p>
    <w:p w14:paraId="3EC7E051">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b w:val="0"/>
          <w:bCs w:val="0"/>
          <w:color w:val="auto"/>
          <w:spacing w:val="-2"/>
          <w:sz w:val="24"/>
          <w:szCs w:val="24"/>
          <w:highlight w:val="none"/>
        </w:rPr>
      </w:pPr>
      <w:r>
        <w:rPr>
          <w:rFonts w:hint="eastAsia" w:ascii="新宋体" w:hAnsi="新宋体" w:eastAsia="新宋体" w:cs="新宋体"/>
          <w:b w:val="0"/>
          <w:bCs w:val="0"/>
          <w:color w:val="auto"/>
          <w:spacing w:val="-2"/>
          <w:sz w:val="24"/>
          <w:szCs w:val="24"/>
          <w:highlight w:val="none"/>
          <w:lang w:val="en-US" w:eastAsia="zh-CN"/>
        </w:rPr>
        <w:t>5</w:t>
      </w:r>
      <w:r>
        <w:rPr>
          <w:rFonts w:hint="eastAsia" w:ascii="新宋体" w:hAnsi="新宋体" w:eastAsia="新宋体" w:cs="新宋体"/>
          <w:b w:val="0"/>
          <w:bCs w:val="0"/>
          <w:color w:val="auto"/>
          <w:spacing w:val="-2"/>
          <w:sz w:val="24"/>
          <w:szCs w:val="24"/>
          <w:highlight w:val="none"/>
        </w:rPr>
        <w:t>.3 本项目开始前3个月设置为履约能力考核月，在履约能力考核月里</w:t>
      </w: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月度考核得分如连续2次低于70分（不含70分）或出现1次低于60分（不含60分）的，则视为无法达到</w:t>
      </w:r>
      <w:r>
        <w:rPr>
          <w:rFonts w:hint="eastAsia" w:ascii="新宋体" w:hAnsi="新宋体" w:eastAsia="新宋体" w:cs="新宋体"/>
          <w:b w:val="0"/>
          <w:bCs w:val="0"/>
          <w:color w:val="auto"/>
          <w:spacing w:val="-2"/>
          <w:sz w:val="24"/>
          <w:szCs w:val="24"/>
          <w:highlight w:val="none"/>
          <w:lang w:eastAsia="zh-CN"/>
        </w:rPr>
        <w:t>招租方</w:t>
      </w:r>
      <w:r>
        <w:rPr>
          <w:rFonts w:hint="eastAsia" w:ascii="新宋体" w:hAnsi="新宋体" w:eastAsia="新宋体" w:cs="新宋体"/>
          <w:b w:val="0"/>
          <w:bCs w:val="0"/>
          <w:color w:val="auto"/>
          <w:spacing w:val="-2"/>
          <w:sz w:val="24"/>
          <w:szCs w:val="24"/>
          <w:highlight w:val="none"/>
        </w:rPr>
        <w:t>的用户需求与月度考核要求，</w:t>
      </w:r>
      <w:r>
        <w:rPr>
          <w:rFonts w:hint="eastAsia" w:ascii="新宋体" w:hAnsi="新宋体" w:eastAsia="新宋体" w:cs="新宋体"/>
          <w:b w:val="0"/>
          <w:bCs w:val="0"/>
          <w:color w:val="auto"/>
          <w:spacing w:val="-2"/>
          <w:sz w:val="24"/>
          <w:szCs w:val="24"/>
          <w:highlight w:val="none"/>
          <w:lang w:eastAsia="zh-CN"/>
        </w:rPr>
        <w:t>招租方</w:t>
      </w:r>
      <w:r>
        <w:rPr>
          <w:rFonts w:hint="eastAsia" w:ascii="新宋体" w:hAnsi="新宋体" w:eastAsia="新宋体" w:cs="新宋体"/>
          <w:b w:val="0"/>
          <w:bCs w:val="0"/>
          <w:color w:val="auto"/>
          <w:spacing w:val="-2"/>
          <w:sz w:val="24"/>
          <w:szCs w:val="24"/>
          <w:highlight w:val="none"/>
        </w:rPr>
        <w:t>有权立即终止合同并没收履约保证金，一切经济损失由</w:t>
      </w:r>
      <w:r>
        <w:rPr>
          <w:rFonts w:hint="eastAsia" w:ascii="新宋体" w:hAnsi="新宋体" w:eastAsia="新宋体" w:cs="新宋体"/>
          <w:b w:val="0"/>
          <w:bCs w:val="0"/>
          <w:color w:val="auto"/>
          <w:spacing w:val="-2"/>
          <w:sz w:val="24"/>
          <w:szCs w:val="24"/>
          <w:highlight w:val="none"/>
          <w:lang w:eastAsia="zh-CN"/>
        </w:rPr>
        <w:t>承租方</w:t>
      </w:r>
      <w:r>
        <w:rPr>
          <w:rFonts w:hint="eastAsia" w:ascii="新宋体" w:hAnsi="新宋体" w:eastAsia="新宋体" w:cs="新宋体"/>
          <w:b w:val="0"/>
          <w:bCs w:val="0"/>
          <w:color w:val="auto"/>
          <w:spacing w:val="-2"/>
          <w:sz w:val="24"/>
          <w:szCs w:val="24"/>
          <w:highlight w:val="none"/>
        </w:rPr>
        <w:t>承担。</w:t>
      </w:r>
    </w:p>
    <w:p w14:paraId="56EAF84A">
      <w:pPr>
        <w:rPr>
          <w:rFonts w:hint="eastAsia" w:ascii="新宋体" w:hAnsi="新宋体" w:eastAsia="新宋体" w:cs="新宋体"/>
          <w:b w:val="0"/>
          <w:bCs w:val="0"/>
          <w:color w:val="auto"/>
          <w:spacing w:val="-2"/>
          <w:sz w:val="24"/>
          <w:szCs w:val="24"/>
          <w:highlight w:val="none"/>
        </w:rPr>
      </w:pPr>
      <w:r>
        <w:rPr>
          <w:rFonts w:hint="eastAsia" w:ascii="新宋体" w:hAnsi="新宋体" w:eastAsia="新宋体" w:cs="新宋体"/>
          <w:b w:val="0"/>
          <w:bCs w:val="0"/>
          <w:color w:val="auto"/>
          <w:spacing w:val="-2"/>
          <w:sz w:val="24"/>
          <w:szCs w:val="24"/>
          <w:highlight w:val="none"/>
        </w:rPr>
        <w:br w:type="page"/>
      </w:r>
    </w:p>
    <w:p w14:paraId="7A8DD2EE">
      <w:pPr>
        <w:spacing w:before="78" w:line="219" w:lineRule="auto"/>
        <w:ind w:left="2405"/>
        <w:rPr>
          <w:rFonts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lang w:val="en-US" w:eastAsia="zh-CN"/>
        </w:rPr>
        <w:t>广州医科大学附属妇女儿童医疗中心</w:t>
      </w:r>
      <w:r>
        <w:rPr>
          <w:rFonts w:ascii="宋体" w:hAnsi="宋体" w:eastAsia="宋体" w:cs="宋体"/>
          <w:b/>
          <w:bCs/>
          <w:color w:val="auto"/>
          <w:spacing w:val="-3"/>
          <w:sz w:val="24"/>
          <w:szCs w:val="24"/>
          <w:highlight w:val="none"/>
        </w:rPr>
        <w:t>服务质量月度</w:t>
      </w:r>
      <w:r>
        <w:rPr>
          <w:rFonts w:ascii="宋体" w:hAnsi="宋体" w:eastAsia="宋体" w:cs="宋体"/>
          <w:b/>
          <w:bCs/>
          <w:color w:val="auto"/>
          <w:spacing w:val="-4"/>
          <w:sz w:val="24"/>
          <w:szCs w:val="24"/>
          <w:highlight w:val="none"/>
        </w:rPr>
        <w:t>考核表</w:t>
      </w:r>
    </w:p>
    <w:p w14:paraId="31354EFC">
      <w:pPr>
        <w:spacing w:line="144" w:lineRule="exact"/>
        <w:rPr>
          <w:color w:val="auto"/>
          <w:highlight w:val="none"/>
        </w:rPr>
      </w:pPr>
    </w:p>
    <w:tbl>
      <w:tblPr>
        <w:tblStyle w:val="9"/>
        <w:tblW w:w="102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2"/>
        <w:gridCol w:w="1005"/>
        <w:gridCol w:w="7407"/>
        <w:gridCol w:w="612"/>
      </w:tblGrid>
      <w:tr w14:paraId="2B095A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262" w:type="dxa"/>
            <w:vAlign w:val="center"/>
          </w:tcPr>
          <w:p w14:paraId="6FDFC318">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jc w:val="center"/>
              <w:textAlignment w:val="baseline"/>
              <w:rPr>
                <w:color w:val="auto"/>
                <w:highlight w:val="none"/>
              </w:rPr>
            </w:pPr>
            <w:r>
              <w:rPr>
                <w:b/>
                <w:bCs/>
                <w:color w:val="auto"/>
                <w:spacing w:val="-4"/>
                <w:highlight w:val="none"/>
              </w:rPr>
              <w:t>考核模块</w:t>
            </w:r>
          </w:p>
        </w:tc>
        <w:tc>
          <w:tcPr>
            <w:tcW w:w="1005" w:type="dxa"/>
            <w:vAlign w:val="center"/>
          </w:tcPr>
          <w:p w14:paraId="65654867">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jc w:val="center"/>
              <w:textAlignment w:val="baseline"/>
              <w:rPr>
                <w:color w:val="auto"/>
                <w:highlight w:val="none"/>
              </w:rPr>
            </w:pPr>
            <w:r>
              <w:rPr>
                <w:b/>
                <w:bCs/>
                <w:color w:val="auto"/>
                <w:spacing w:val="-5"/>
                <w:highlight w:val="none"/>
              </w:rPr>
              <w:t>评价</w:t>
            </w:r>
          </w:p>
          <w:p w14:paraId="16FE0AA8">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jc w:val="center"/>
              <w:textAlignment w:val="baseline"/>
              <w:rPr>
                <w:color w:val="auto"/>
                <w:highlight w:val="none"/>
              </w:rPr>
            </w:pPr>
            <w:r>
              <w:rPr>
                <w:b/>
                <w:bCs/>
                <w:color w:val="auto"/>
                <w:spacing w:val="-5"/>
                <w:highlight w:val="none"/>
              </w:rPr>
              <w:t>指标</w:t>
            </w:r>
          </w:p>
        </w:tc>
        <w:tc>
          <w:tcPr>
            <w:tcW w:w="7407" w:type="dxa"/>
            <w:vAlign w:val="center"/>
          </w:tcPr>
          <w:p w14:paraId="3293F615">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jc w:val="center"/>
              <w:textAlignment w:val="baseline"/>
              <w:rPr>
                <w:color w:val="auto"/>
                <w:highlight w:val="none"/>
              </w:rPr>
            </w:pPr>
            <w:r>
              <w:rPr>
                <w:b/>
                <w:bCs/>
                <w:color w:val="auto"/>
                <w:spacing w:val="-11"/>
                <w:highlight w:val="none"/>
              </w:rPr>
              <w:t>考</w:t>
            </w:r>
            <w:r>
              <w:rPr>
                <w:color w:val="auto"/>
                <w:spacing w:val="15"/>
                <w:highlight w:val="none"/>
              </w:rPr>
              <w:t xml:space="preserve"> </w:t>
            </w:r>
            <w:r>
              <w:rPr>
                <w:b/>
                <w:bCs/>
                <w:color w:val="auto"/>
                <w:spacing w:val="-11"/>
                <w:highlight w:val="none"/>
              </w:rPr>
              <w:t>核</w:t>
            </w:r>
            <w:r>
              <w:rPr>
                <w:color w:val="auto"/>
                <w:spacing w:val="13"/>
                <w:highlight w:val="none"/>
              </w:rPr>
              <w:t xml:space="preserve"> </w:t>
            </w:r>
            <w:r>
              <w:rPr>
                <w:b/>
                <w:bCs/>
                <w:color w:val="auto"/>
                <w:spacing w:val="-11"/>
                <w:highlight w:val="none"/>
              </w:rPr>
              <w:t>标</w:t>
            </w:r>
            <w:r>
              <w:rPr>
                <w:color w:val="auto"/>
                <w:spacing w:val="11"/>
                <w:highlight w:val="none"/>
              </w:rPr>
              <w:t xml:space="preserve"> </w:t>
            </w:r>
            <w:r>
              <w:rPr>
                <w:b/>
                <w:bCs/>
                <w:color w:val="auto"/>
                <w:spacing w:val="-11"/>
                <w:highlight w:val="none"/>
              </w:rPr>
              <w:t>准</w:t>
            </w:r>
          </w:p>
        </w:tc>
        <w:tc>
          <w:tcPr>
            <w:tcW w:w="612" w:type="dxa"/>
            <w:textDirection w:val="tbRlV"/>
            <w:vAlign w:val="center"/>
          </w:tcPr>
          <w:p w14:paraId="216DBED9">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jc w:val="center"/>
              <w:textAlignment w:val="baseline"/>
              <w:rPr>
                <w:color w:val="auto"/>
                <w:highlight w:val="none"/>
              </w:rPr>
            </w:pPr>
            <w:r>
              <w:rPr>
                <w:b/>
                <w:bCs/>
                <w:color w:val="auto"/>
                <w:spacing w:val="-3"/>
                <w:highlight w:val="none"/>
              </w:rPr>
              <w:t>扣</w:t>
            </w:r>
            <w:r>
              <w:rPr>
                <w:rFonts w:hint="eastAsia"/>
                <w:b/>
                <w:bCs/>
                <w:color w:val="auto"/>
                <w:spacing w:val="-3"/>
                <w:highlight w:val="none"/>
                <w:lang w:val="en-US" w:eastAsia="zh-CN"/>
              </w:rPr>
              <w:t xml:space="preserve"> </w:t>
            </w:r>
            <w:r>
              <w:rPr>
                <w:b/>
                <w:bCs/>
                <w:color w:val="auto"/>
                <w:spacing w:val="-3"/>
                <w:highlight w:val="none"/>
              </w:rPr>
              <w:t>分</w:t>
            </w:r>
          </w:p>
        </w:tc>
      </w:tr>
      <w:tr w14:paraId="134E01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9" w:hRule="atLeast"/>
        </w:trPr>
        <w:tc>
          <w:tcPr>
            <w:tcW w:w="1262" w:type="dxa"/>
            <w:vAlign w:val="top"/>
          </w:tcPr>
          <w:p w14:paraId="0DF64FB5">
            <w:pPr>
              <w:spacing w:line="244" w:lineRule="auto"/>
              <w:rPr>
                <w:rFonts w:ascii="Arial"/>
                <w:color w:val="auto"/>
                <w:sz w:val="21"/>
                <w:highlight w:val="none"/>
              </w:rPr>
            </w:pPr>
          </w:p>
          <w:p w14:paraId="18559C3F">
            <w:pPr>
              <w:spacing w:line="244" w:lineRule="auto"/>
              <w:rPr>
                <w:rFonts w:ascii="Arial"/>
                <w:color w:val="auto"/>
                <w:sz w:val="21"/>
                <w:highlight w:val="none"/>
              </w:rPr>
            </w:pPr>
          </w:p>
          <w:p w14:paraId="150EE98C">
            <w:pPr>
              <w:spacing w:line="244" w:lineRule="auto"/>
              <w:rPr>
                <w:rFonts w:ascii="Arial"/>
                <w:color w:val="auto"/>
                <w:sz w:val="21"/>
                <w:highlight w:val="none"/>
              </w:rPr>
            </w:pPr>
          </w:p>
          <w:p w14:paraId="08EF13FB">
            <w:pPr>
              <w:spacing w:line="244" w:lineRule="auto"/>
              <w:rPr>
                <w:rFonts w:ascii="Arial"/>
                <w:color w:val="auto"/>
                <w:sz w:val="21"/>
                <w:highlight w:val="none"/>
              </w:rPr>
            </w:pPr>
          </w:p>
          <w:p w14:paraId="49B3C8A7">
            <w:pPr>
              <w:spacing w:line="244" w:lineRule="auto"/>
              <w:rPr>
                <w:rFonts w:ascii="Arial"/>
                <w:color w:val="auto"/>
                <w:sz w:val="21"/>
                <w:highlight w:val="none"/>
              </w:rPr>
            </w:pPr>
          </w:p>
          <w:p w14:paraId="7FBEF2CE">
            <w:pPr>
              <w:spacing w:line="244" w:lineRule="auto"/>
              <w:rPr>
                <w:rFonts w:ascii="Arial"/>
                <w:color w:val="auto"/>
                <w:sz w:val="21"/>
                <w:highlight w:val="none"/>
              </w:rPr>
            </w:pPr>
          </w:p>
          <w:p w14:paraId="6AD3FD11">
            <w:pPr>
              <w:spacing w:line="244" w:lineRule="auto"/>
              <w:rPr>
                <w:rFonts w:ascii="Arial"/>
                <w:color w:val="auto"/>
                <w:sz w:val="21"/>
                <w:highlight w:val="none"/>
              </w:rPr>
            </w:pPr>
          </w:p>
          <w:p w14:paraId="02C58350">
            <w:pPr>
              <w:spacing w:line="244" w:lineRule="auto"/>
              <w:rPr>
                <w:rFonts w:ascii="Arial"/>
                <w:color w:val="auto"/>
                <w:sz w:val="21"/>
                <w:highlight w:val="none"/>
              </w:rPr>
            </w:pPr>
          </w:p>
          <w:p w14:paraId="2E3E1AD7">
            <w:pPr>
              <w:spacing w:line="244" w:lineRule="auto"/>
              <w:rPr>
                <w:rFonts w:ascii="Arial"/>
                <w:color w:val="auto"/>
                <w:sz w:val="21"/>
                <w:highlight w:val="none"/>
              </w:rPr>
            </w:pPr>
          </w:p>
          <w:p w14:paraId="218F8EFE">
            <w:pPr>
              <w:spacing w:line="244" w:lineRule="auto"/>
              <w:rPr>
                <w:rFonts w:ascii="Arial"/>
                <w:color w:val="auto"/>
                <w:sz w:val="21"/>
                <w:highlight w:val="none"/>
              </w:rPr>
            </w:pPr>
          </w:p>
          <w:p w14:paraId="7E5DECA1">
            <w:pPr>
              <w:spacing w:line="244" w:lineRule="auto"/>
              <w:rPr>
                <w:rFonts w:ascii="Arial"/>
                <w:color w:val="auto"/>
                <w:sz w:val="21"/>
                <w:highlight w:val="none"/>
              </w:rPr>
            </w:pPr>
          </w:p>
          <w:p w14:paraId="5AB84D96">
            <w:pPr>
              <w:spacing w:line="244" w:lineRule="auto"/>
              <w:rPr>
                <w:rFonts w:ascii="Arial"/>
                <w:color w:val="auto"/>
                <w:sz w:val="21"/>
                <w:highlight w:val="none"/>
              </w:rPr>
            </w:pPr>
          </w:p>
          <w:p w14:paraId="29A3655E">
            <w:pPr>
              <w:spacing w:line="244" w:lineRule="auto"/>
              <w:rPr>
                <w:rFonts w:ascii="Arial"/>
                <w:color w:val="auto"/>
                <w:sz w:val="21"/>
                <w:highlight w:val="none"/>
              </w:rPr>
            </w:pPr>
          </w:p>
          <w:p w14:paraId="0D92E999">
            <w:pPr>
              <w:spacing w:line="244" w:lineRule="auto"/>
              <w:rPr>
                <w:rFonts w:ascii="Arial"/>
                <w:color w:val="auto"/>
                <w:sz w:val="21"/>
                <w:highlight w:val="none"/>
              </w:rPr>
            </w:pPr>
          </w:p>
          <w:p w14:paraId="68ECAF8E">
            <w:pPr>
              <w:spacing w:line="244" w:lineRule="auto"/>
              <w:rPr>
                <w:rFonts w:ascii="Arial"/>
                <w:color w:val="auto"/>
                <w:sz w:val="21"/>
                <w:highlight w:val="none"/>
              </w:rPr>
            </w:pPr>
          </w:p>
          <w:p w14:paraId="3F3A766D">
            <w:pPr>
              <w:spacing w:line="244" w:lineRule="auto"/>
              <w:rPr>
                <w:rFonts w:ascii="Arial"/>
                <w:color w:val="auto"/>
                <w:sz w:val="21"/>
                <w:highlight w:val="none"/>
              </w:rPr>
            </w:pPr>
          </w:p>
          <w:p w14:paraId="0F8E77DE">
            <w:pPr>
              <w:spacing w:line="244" w:lineRule="auto"/>
              <w:rPr>
                <w:rFonts w:ascii="Arial"/>
                <w:color w:val="auto"/>
                <w:sz w:val="21"/>
                <w:highlight w:val="none"/>
              </w:rPr>
            </w:pPr>
          </w:p>
          <w:p w14:paraId="1FFCC960">
            <w:pPr>
              <w:spacing w:line="244" w:lineRule="auto"/>
              <w:rPr>
                <w:rFonts w:ascii="Arial"/>
                <w:color w:val="auto"/>
                <w:sz w:val="21"/>
                <w:highlight w:val="none"/>
              </w:rPr>
            </w:pPr>
          </w:p>
          <w:p w14:paraId="308A994C">
            <w:pPr>
              <w:spacing w:line="245" w:lineRule="auto"/>
              <w:rPr>
                <w:rFonts w:ascii="Arial"/>
                <w:color w:val="auto"/>
                <w:sz w:val="21"/>
                <w:highlight w:val="none"/>
              </w:rPr>
            </w:pPr>
          </w:p>
          <w:p w14:paraId="72E3C3AA">
            <w:pPr>
              <w:spacing w:line="245" w:lineRule="auto"/>
              <w:rPr>
                <w:rFonts w:ascii="Arial"/>
                <w:color w:val="auto"/>
                <w:sz w:val="21"/>
                <w:highlight w:val="none"/>
              </w:rPr>
            </w:pPr>
          </w:p>
          <w:p w14:paraId="33E98EEE">
            <w:pPr>
              <w:spacing w:line="245" w:lineRule="auto"/>
              <w:rPr>
                <w:rFonts w:ascii="Arial"/>
                <w:color w:val="auto"/>
                <w:sz w:val="21"/>
                <w:highlight w:val="none"/>
              </w:rPr>
            </w:pPr>
          </w:p>
          <w:p w14:paraId="13431C15">
            <w:pPr>
              <w:spacing w:line="245" w:lineRule="auto"/>
              <w:rPr>
                <w:rFonts w:ascii="Arial"/>
                <w:color w:val="auto"/>
                <w:sz w:val="21"/>
                <w:highlight w:val="none"/>
              </w:rPr>
            </w:pPr>
          </w:p>
          <w:p w14:paraId="2C06B9C3">
            <w:pPr>
              <w:pStyle w:val="10"/>
              <w:spacing w:before="78" w:line="369" w:lineRule="auto"/>
              <w:ind w:left="283" w:right="148" w:hanging="121"/>
              <w:rPr>
                <w:color w:val="auto"/>
                <w:highlight w:val="none"/>
              </w:rPr>
            </w:pPr>
            <w:r>
              <w:rPr>
                <w:color w:val="auto"/>
                <w:spacing w:val="-4"/>
                <w:highlight w:val="none"/>
              </w:rPr>
              <w:t>安全标准（40）</w:t>
            </w:r>
          </w:p>
        </w:tc>
        <w:tc>
          <w:tcPr>
            <w:tcW w:w="1005" w:type="dxa"/>
            <w:vAlign w:val="center"/>
          </w:tcPr>
          <w:p w14:paraId="4ECCAB98">
            <w:pPr>
              <w:keepNext w:val="0"/>
              <w:keepLines w:val="0"/>
              <w:pageBreakBefore w:val="0"/>
              <w:widowControl/>
              <w:kinsoku w:val="0"/>
              <w:wordWrap/>
              <w:overflowPunct/>
              <w:topLinePunct w:val="0"/>
              <w:autoSpaceDE w:val="0"/>
              <w:autoSpaceDN w:val="0"/>
              <w:bidi w:val="0"/>
              <w:adjustRightInd w:val="0"/>
              <w:snapToGrid w:val="0"/>
              <w:spacing w:line="245" w:lineRule="auto"/>
              <w:ind w:left="0"/>
              <w:jc w:val="center"/>
              <w:textAlignment w:val="baseline"/>
              <w:rPr>
                <w:rFonts w:ascii="Arial"/>
                <w:color w:val="auto"/>
                <w:sz w:val="21"/>
                <w:highlight w:val="none"/>
              </w:rPr>
            </w:pPr>
          </w:p>
          <w:p w14:paraId="6D4FB9D0">
            <w:pPr>
              <w:pStyle w:val="10"/>
              <w:keepNext w:val="0"/>
              <w:keepLines w:val="0"/>
              <w:pageBreakBefore w:val="0"/>
              <w:widowControl/>
              <w:kinsoku w:val="0"/>
              <w:wordWrap/>
              <w:overflowPunct/>
              <w:topLinePunct w:val="0"/>
              <w:autoSpaceDE w:val="0"/>
              <w:autoSpaceDN w:val="0"/>
              <w:bidi w:val="0"/>
              <w:adjustRightInd w:val="0"/>
              <w:snapToGrid w:val="0"/>
              <w:spacing w:line="365" w:lineRule="auto"/>
              <w:ind w:left="0" w:right="0" w:firstLine="0"/>
              <w:jc w:val="center"/>
              <w:textAlignment w:val="baseline"/>
              <w:rPr>
                <w:color w:val="auto"/>
                <w:highlight w:val="none"/>
              </w:rPr>
            </w:pPr>
            <w:r>
              <w:rPr>
                <w:color w:val="auto"/>
                <w:spacing w:val="-4"/>
                <w:highlight w:val="none"/>
              </w:rPr>
              <w:t>生产安</w:t>
            </w:r>
            <w:r>
              <w:rPr>
                <w:color w:val="auto"/>
                <w:highlight w:val="none"/>
              </w:rPr>
              <w:t>全</w:t>
            </w:r>
          </w:p>
        </w:tc>
        <w:tc>
          <w:tcPr>
            <w:tcW w:w="7407" w:type="dxa"/>
            <w:vAlign w:val="top"/>
          </w:tcPr>
          <w:p w14:paraId="5DC36317">
            <w:pPr>
              <w:pStyle w:val="10"/>
              <w:spacing w:before="34" w:line="332" w:lineRule="auto"/>
              <w:ind w:left="113" w:right="17" w:firstLine="498"/>
              <w:rPr>
                <w:color w:val="auto"/>
                <w:highlight w:val="none"/>
              </w:rPr>
            </w:pPr>
            <w:r>
              <w:rPr>
                <w:color w:val="auto"/>
                <w:spacing w:val="-1"/>
                <w:highlight w:val="none"/>
              </w:rPr>
              <w:t>1.关键记录不得缺失，如巡查记录、餐具消毒记</w:t>
            </w:r>
            <w:r>
              <w:rPr>
                <w:color w:val="auto"/>
                <w:spacing w:val="-2"/>
                <w:highlight w:val="none"/>
              </w:rPr>
              <w:t>录、食品留样记</w:t>
            </w:r>
            <w:r>
              <w:rPr>
                <w:color w:val="auto"/>
                <w:highlight w:val="none"/>
              </w:rPr>
              <w:t>录、食品添加剂使用记录、燃气用电使用记录、安全卫生检查记录、</w:t>
            </w:r>
            <w:r>
              <w:rPr>
                <w:color w:val="auto"/>
                <w:spacing w:val="-6"/>
                <w:highlight w:val="none"/>
              </w:rPr>
              <w:t>外来人员登记记录、冰库温度记录、消毒品配置记录、农残检测记录、</w:t>
            </w:r>
            <w:r>
              <w:rPr>
                <w:color w:val="auto"/>
                <w:spacing w:val="-7"/>
                <w:highlight w:val="none"/>
              </w:rPr>
              <w:t>每日人员健康检查记录、培训记录等，</w:t>
            </w:r>
            <w:r>
              <w:rPr>
                <w:color w:val="auto"/>
                <w:spacing w:val="72"/>
                <w:highlight w:val="none"/>
              </w:rPr>
              <w:t xml:space="preserve"> </w:t>
            </w:r>
            <w:r>
              <w:rPr>
                <w:color w:val="auto"/>
                <w:spacing w:val="-7"/>
                <w:highlight w:val="none"/>
              </w:rPr>
              <w:t>应如实记录，符合常识，不得</w:t>
            </w:r>
            <w:r>
              <w:rPr>
                <w:color w:val="auto"/>
                <w:spacing w:val="-8"/>
                <w:highlight w:val="none"/>
              </w:rPr>
              <w:t>伪造记录。</w:t>
            </w:r>
          </w:p>
          <w:p w14:paraId="1E6AD25F">
            <w:pPr>
              <w:pStyle w:val="10"/>
              <w:spacing w:before="178" w:line="313" w:lineRule="auto"/>
              <w:ind w:left="112" w:right="102" w:firstLine="484"/>
              <w:rPr>
                <w:color w:val="auto"/>
                <w:highlight w:val="none"/>
              </w:rPr>
            </w:pPr>
            <w:r>
              <w:rPr>
                <w:color w:val="auto"/>
                <w:spacing w:val="-1"/>
                <w:highlight w:val="none"/>
              </w:rPr>
              <w:t>2.不得验收腐烂、异味、外包装破损、过期等存在质量问题的食材，严禁使用非食用物质加工食品，加工食物不得</w:t>
            </w:r>
            <w:r>
              <w:rPr>
                <w:color w:val="auto"/>
                <w:spacing w:val="-5"/>
                <w:highlight w:val="none"/>
              </w:rPr>
              <w:t>使用过期原辅料。</w:t>
            </w:r>
          </w:p>
          <w:p w14:paraId="36259C73">
            <w:pPr>
              <w:pStyle w:val="10"/>
              <w:spacing w:before="183" w:line="288" w:lineRule="auto"/>
              <w:ind w:left="110" w:right="107" w:firstLine="488"/>
              <w:rPr>
                <w:color w:val="auto"/>
                <w:highlight w:val="none"/>
              </w:rPr>
            </w:pPr>
            <w:r>
              <w:rPr>
                <w:color w:val="auto"/>
                <w:spacing w:val="6"/>
                <w:highlight w:val="none"/>
              </w:rPr>
              <w:t>3.添加剂必须符合</w:t>
            </w:r>
            <w:r>
              <w:rPr>
                <w:color w:val="auto"/>
                <w:highlight w:val="none"/>
              </w:rPr>
              <w:t>GB</w:t>
            </w:r>
            <w:r>
              <w:rPr>
                <w:color w:val="auto"/>
                <w:spacing w:val="6"/>
                <w:highlight w:val="none"/>
              </w:rPr>
              <w:t>2760的要求，添加剂的使用量必须符合</w:t>
            </w:r>
            <w:r>
              <w:rPr>
                <w:color w:val="auto"/>
                <w:spacing w:val="-3"/>
                <w:highlight w:val="none"/>
              </w:rPr>
              <w:t>GB2760</w:t>
            </w:r>
            <w:r>
              <w:rPr>
                <w:color w:val="auto"/>
                <w:spacing w:val="-33"/>
                <w:highlight w:val="none"/>
              </w:rPr>
              <w:t xml:space="preserve"> </w:t>
            </w:r>
            <w:r>
              <w:rPr>
                <w:color w:val="auto"/>
                <w:spacing w:val="-3"/>
                <w:highlight w:val="none"/>
              </w:rPr>
              <w:t>要求，不得随意使用非食品添加剂。</w:t>
            </w:r>
          </w:p>
          <w:p w14:paraId="0695C86A">
            <w:pPr>
              <w:pStyle w:val="10"/>
              <w:spacing w:before="183" w:line="289" w:lineRule="auto"/>
              <w:ind w:left="123" w:right="101" w:firstLine="470"/>
              <w:rPr>
                <w:color w:val="auto"/>
                <w:highlight w:val="none"/>
              </w:rPr>
            </w:pPr>
            <w:r>
              <w:rPr>
                <w:color w:val="auto"/>
                <w:spacing w:val="-1"/>
                <w:highlight w:val="none"/>
              </w:rPr>
              <w:t>4.烹调前应认真检查待加工食品，发现有腐烂、变质或者其他感</w:t>
            </w:r>
            <w:r>
              <w:rPr>
                <w:color w:val="auto"/>
                <w:spacing w:val="-4"/>
                <w:highlight w:val="none"/>
              </w:rPr>
              <w:t>官性状异常的，不得进行烹调加工。</w:t>
            </w:r>
          </w:p>
          <w:p w14:paraId="4C742636">
            <w:pPr>
              <w:pStyle w:val="10"/>
              <w:spacing w:before="182" w:line="289" w:lineRule="auto"/>
              <w:ind w:left="115" w:right="101" w:firstLine="483"/>
              <w:rPr>
                <w:color w:val="auto"/>
                <w:highlight w:val="none"/>
              </w:rPr>
            </w:pPr>
            <w:r>
              <w:rPr>
                <w:color w:val="auto"/>
                <w:spacing w:val="-1"/>
                <w:highlight w:val="none"/>
              </w:rPr>
              <w:t>5.需要冷藏的熟制品，应尽快冷却后再冷藏，待用的食品与用具</w:t>
            </w:r>
            <w:r>
              <w:rPr>
                <w:color w:val="auto"/>
                <w:spacing w:val="-4"/>
                <w:highlight w:val="none"/>
              </w:rPr>
              <w:t>等应有良好覆盖或保护。</w:t>
            </w:r>
          </w:p>
          <w:p w14:paraId="7F88834E">
            <w:pPr>
              <w:pStyle w:val="10"/>
              <w:spacing w:before="182" w:line="286" w:lineRule="auto"/>
              <w:ind w:left="113" w:right="150" w:firstLine="482"/>
              <w:rPr>
                <w:color w:val="auto"/>
                <w:highlight w:val="none"/>
              </w:rPr>
            </w:pPr>
            <w:r>
              <w:rPr>
                <w:color w:val="auto"/>
                <w:spacing w:val="-2"/>
                <w:highlight w:val="none"/>
              </w:rPr>
              <w:t>6.建立食品留样制度并有效实施，所有食品都</w:t>
            </w:r>
            <w:r>
              <w:rPr>
                <w:color w:val="auto"/>
                <w:spacing w:val="-3"/>
                <w:highlight w:val="none"/>
              </w:rPr>
              <w:t>应建立留样制度，</w:t>
            </w:r>
            <w:r>
              <w:rPr>
                <w:color w:val="auto"/>
                <w:spacing w:val="-2"/>
                <w:highlight w:val="none"/>
              </w:rPr>
              <w:t>食品留样在在冷藏条件下存放</w:t>
            </w:r>
            <w:r>
              <w:rPr>
                <w:color w:val="auto"/>
                <w:spacing w:val="-51"/>
                <w:highlight w:val="none"/>
              </w:rPr>
              <w:t xml:space="preserve"> </w:t>
            </w:r>
            <w:r>
              <w:rPr>
                <w:color w:val="auto"/>
                <w:spacing w:val="-2"/>
                <w:highlight w:val="none"/>
              </w:rPr>
              <w:t>48</w:t>
            </w:r>
            <w:r>
              <w:rPr>
                <w:color w:val="auto"/>
                <w:spacing w:val="-44"/>
                <w:highlight w:val="none"/>
              </w:rPr>
              <w:t xml:space="preserve"> </w:t>
            </w:r>
            <w:r>
              <w:rPr>
                <w:color w:val="auto"/>
                <w:spacing w:val="-2"/>
                <w:highlight w:val="none"/>
              </w:rPr>
              <w:t>小时，每个留样不少于</w:t>
            </w:r>
            <w:r>
              <w:rPr>
                <w:color w:val="auto"/>
                <w:spacing w:val="-32"/>
                <w:highlight w:val="none"/>
              </w:rPr>
              <w:t xml:space="preserve"> </w:t>
            </w:r>
            <w:r>
              <w:rPr>
                <w:color w:val="auto"/>
                <w:spacing w:val="-2"/>
                <w:highlight w:val="none"/>
              </w:rPr>
              <w:t>1</w:t>
            </w:r>
            <w:r>
              <w:rPr>
                <w:rFonts w:hint="eastAsia"/>
                <w:color w:val="auto"/>
                <w:spacing w:val="-2"/>
                <w:highlight w:val="none"/>
                <w:lang w:val="en-US" w:eastAsia="zh-CN"/>
              </w:rPr>
              <w:t>25</w:t>
            </w:r>
            <w:r>
              <w:rPr>
                <w:color w:val="auto"/>
                <w:spacing w:val="-3"/>
                <w:highlight w:val="none"/>
              </w:rPr>
              <w:t>g。</w:t>
            </w:r>
          </w:p>
          <w:p w14:paraId="3F168774">
            <w:pPr>
              <w:pStyle w:val="10"/>
              <w:spacing w:before="190" w:line="289" w:lineRule="auto"/>
              <w:ind w:left="137" w:right="104" w:firstLine="462"/>
              <w:rPr>
                <w:color w:val="auto"/>
                <w:highlight w:val="none"/>
              </w:rPr>
            </w:pPr>
            <w:r>
              <w:rPr>
                <w:color w:val="auto"/>
                <w:spacing w:val="-1"/>
                <w:highlight w:val="none"/>
              </w:rPr>
              <w:t>7.操作间不得存在挂架超重，物品存储不得存在滑倒、碰撞、密</w:t>
            </w:r>
            <w:r>
              <w:rPr>
                <w:color w:val="auto"/>
                <w:spacing w:val="-7"/>
                <w:highlight w:val="none"/>
              </w:rPr>
              <w:t>闭空间关人等风险。</w:t>
            </w:r>
          </w:p>
          <w:p w14:paraId="1BA75923">
            <w:pPr>
              <w:pStyle w:val="10"/>
              <w:spacing w:before="180" w:line="325" w:lineRule="auto"/>
              <w:ind w:left="114" w:right="102" w:firstLine="480"/>
              <w:rPr>
                <w:color w:val="auto"/>
                <w:highlight w:val="none"/>
              </w:rPr>
            </w:pPr>
            <w:r>
              <w:rPr>
                <w:color w:val="auto"/>
                <w:spacing w:val="-1"/>
                <w:highlight w:val="none"/>
              </w:rPr>
              <w:t>8.烹调过程所使用的工器具、厨具、餐具、设备应正常使用和经过充分清洗和消毒，员工能够按照相应的程序正确清洗与消毒，清洗过程不造成交叉污染，清洗后的餐具和工器具保持清洁和清洗干净，</w:t>
            </w:r>
            <w:r>
              <w:rPr>
                <w:color w:val="auto"/>
                <w:spacing w:val="-4"/>
                <w:highlight w:val="none"/>
              </w:rPr>
              <w:t>待用工器具应正确存放。</w:t>
            </w:r>
          </w:p>
          <w:p w14:paraId="6EBDC934">
            <w:pPr>
              <w:pStyle w:val="10"/>
              <w:spacing w:before="180" w:line="220" w:lineRule="auto"/>
              <w:ind w:left="319"/>
              <w:rPr>
                <w:color w:val="auto"/>
                <w:highlight w:val="none"/>
              </w:rPr>
            </w:pPr>
            <w:r>
              <w:rPr>
                <w:color w:val="auto"/>
                <w:spacing w:val="-7"/>
                <w:highlight w:val="none"/>
              </w:rPr>
              <w:t>（发现违反上述 1-8</w:t>
            </w:r>
            <w:r>
              <w:rPr>
                <w:color w:val="auto"/>
                <w:spacing w:val="-31"/>
                <w:highlight w:val="none"/>
              </w:rPr>
              <w:t xml:space="preserve"> </w:t>
            </w:r>
            <w:r>
              <w:rPr>
                <w:color w:val="auto"/>
                <w:spacing w:val="-7"/>
                <w:highlight w:val="none"/>
              </w:rPr>
              <w:t>点规定，每次扣</w:t>
            </w:r>
            <w:r>
              <w:rPr>
                <w:color w:val="auto"/>
                <w:spacing w:val="-32"/>
                <w:highlight w:val="none"/>
              </w:rPr>
              <w:t xml:space="preserve"> </w:t>
            </w:r>
            <w:r>
              <w:rPr>
                <w:color w:val="auto"/>
                <w:spacing w:val="-7"/>
                <w:highlight w:val="none"/>
              </w:rPr>
              <w:t>1</w:t>
            </w:r>
            <w:r>
              <w:rPr>
                <w:color w:val="auto"/>
                <w:spacing w:val="-48"/>
                <w:highlight w:val="none"/>
              </w:rPr>
              <w:t xml:space="preserve"> </w:t>
            </w:r>
            <w:r>
              <w:rPr>
                <w:color w:val="auto"/>
                <w:spacing w:val="-7"/>
                <w:highlight w:val="none"/>
              </w:rPr>
              <w:t>分）</w:t>
            </w:r>
          </w:p>
          <w:p w14:paraId="51CE3BB9">
            <w:pPr>
              <w:pStyle w:val="10"/>
              <w:spacing w:before="181" w:line="343" w:lineRule="auto"/>
              <w:ind w:left="113" w:right="100" w:firstLine="481"/>
              <w:rPr>
                <w:color w:val="auto"/>
                <w:highlight w:val="none"/>
              </w:rPr>
            </w:pPr>
            <w:r>
              <w:rPr>
                <w:color w:val="auto"/>
                <w:spacing w:val="-1"/>
                <w:highlight w:val="none"/>
              </w:rPr>
              <w:t>9.每月对</w:t>
            </w:r>
            <w:r>
              <w:rPr>
                <w:rFonts w:hint="eastAsia"/>
                <w:color w:val="auto"/>
                <w:spacing w:val="-1"/>
                <w:highlight w:val="none"/>
                <w:lang w:eastAsia="zh-CN"/>
              </w:rPr>
              <w:t>招租方</w:t>
            </w:r>
            <w:r>
              <w:rPr>
                <w:color w:val="auto"/>
                <w:spacing w:val="-1"/>
                <w:highlight w:val="none"/>
              </w:rPr>
              <w:t>职工餐及病人餐生料食材抽检 5-10 个品类，安</w:t>
            </w:r>
            <w:r>
              <w:rPr>
                <w:color w:val="auto"/>
                <w:spacing w:val="-2"/>
                <w:highlight w:val="none"/>
              </w:rPr>
              <w:t>排到</w:t>
            </w:r>
            <w:r>
              <w:rPr>
                <w:rFonts w:hint="eastAsia"/>
                <w:color w:val="auto"/>
                <w:spacing w:val="-2"/>
                <w:highlight w:val="none"/>
                <w:lang w:eastAsia="zh-CN"/>
              </w:rPr>
              <w:t>承租方</w:t>
            </w:r>
            <w:r>
              <w:rPr>
                <w:color w:val="auto"/>
                <w:spacing w:val="-2"/>
                <w:highlight w:val="none"/>
              </w:rPr>
              <w:t>的实验室进行相关检测。不按要求执行每次扣</w:t>
            </w:r>
            <w:r>
              <w:rPr>
                <w:color w:val="auto"/>
                <w:spacing w:val="-37"/>
                <w:highlight w:val="none"/>
              </w:rPr>
              <w:t xml:space="preserve"> </w:t>
            </w:r>
            <w:r>
              <w:rPr>
                <w:color w:val="auto"/>
                <w:spacing w:val="-2"/>
                <w:highlight w:val="none"/>
              </w:rPr>
              <w:t>2</w:t>
            </w:r>
            <w:r>
              <w:rPr>
                <w:color w:val="auto"/>
                <w:spacing w:val="-48"/>
                <w:highlight w:val="none"/>
              </w:rPr>
              <w:t xml:space="preserve"> </w:t>
            </w:r>
            <w:r>
              <w:rPr>
                <w:color w:val="auto"/>
                <w:spacing w:val="-2"/>
                <w:highlight w:val="none"/>
              </w:rPr>
              <w:t>分。</w:t>
            </w:r>
          </w:p>
        </w:tc>
        <w:tc>
          <w:tcPr>
            <w:tcW w:w="612" w:type="dxa"/>
            <w:vAlign w:val="top"/>
          </w:tcPr>
          <w:p w14:paraId="1BDC15BB">
            <w:pPr>
              <w:rPr>
                <w:rFonts w:ascii="Arial"/>
                <w:color w:val="auto"/>
                <w:sz w:val="21"/>
                <w:highlight w:val="none"/>
              </w:rPr>
            </w:pPr>
          </w:p>
        </w:tc>
      </w:tr>
    </w:tbl>
    <w:p w14:paraId="22FECA28">
      <w:pPr>
        <w:pStyle w:val="4"/>
        <w:rPr>
          <w:color w:val="auto"/>
          <w:highlight w:val="none"/>
        </w:rPr>
      </w:pPr>
    </w:p>
    <w:p w14:paraId="76F92F81">
      <w:pPr>
        <w:rPr>
          <w:color w:val="auto"/>
          <w:highlight w:val="none"/>
        </w:rPr>
        <w:sectPr>
          <w:headerReference r:id="rId5" w:type="default"/>
          <w:footerReference r:id="rId6" w:type="default"/>
          <w:pgSz w:w="11907" w:h="16839"/>
          <w:pgMar w:top="1344" w:right="734" w:bottom="1196" w:left="880" w:header="851" w:footer="989" w:gutter="0"/>
          <w:cols w:space="720" w:num="1"/>
        </w:sectPr>
      </w:pPr>
    </w:p>
    <w:tbl>
      <w:tblPr>
        <w:tblStyle w:val="9"/>
        <w:tblpPr w:leftFromText="180" w:rightFromText="180" w:vertAnchor="text" w:horzAnchor="page" w:tblpX="978" w:tblpY="59"/>
        <w:tblOverlap w:val="never"/>
        <w:tblW w:w="1028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2"/>
        <w:gridCol w:w="1005"/>
        <w:gridCol w:w="7407"/>
        <w:gridCol w:w="612"/>
      </w:tblGrid>
      <w:tr w14:paraId="6D99B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0" w:hRule="atLeast"/>
        </w:trPr>
        <w:tc>
          <w:tcPr>
            <w:tcW w:w="1262" w:type="dxa"/>
            <w:vMerge w:val="restart"/>
            <w:tcBorders>
              <w:bottom w:val="nil"/>
            </w:tcBorders>
            <w:vAlign w:val="top"/>
          </w:tcPr>
          <w:p w14:paraId="3D054088">
            <w:pPr>
              <w:rPr>
                <w:rFonts w:ascii="Arial"/>
                <w:color w:val="auto"/>
                <w:sz w:val="21"/>
                <w:highlight w:val="none"/>
              </w:rPr>
            </w:pPr>
          </w:p>
        </w:tc>
        <w:tc>
          <w:tcPr>
            <w:tcW w:w="1005" w:type="dxa"/>
            <w:vAlign w:val="center"/>
          </w:tcPr>
          <w:p w14:paraId="084793C1">
            <w:pPr>
              <w:pStyle w:val="10"/>
              <w:keepNext w:val="0"/>
              <w:keepLines w:val="0"/>
              <w:pageBreakBefore w:val="0"/>
              <w:widowControl/>
              <w:kinsoku w:val="0"/>
              <w:wordWrap/>
              <w:overflowPunct/>
              <w:topLinePunct w:val="0"/>
              <w:autoSpaceDE w:val="0"/>
              <w:autoSpaceDN w:val="0"/>
              <w:bidi w:val="0"/>
              <w:adjustRightInd w:val="0"/>
              <w:snapToGrid w:val="0"/>
              <w:spacing w:line="365" w:lineRule="auto"/>
              <w:ind w:left="0" w:right="0" w:firstLine="0"/>
              <w:jc w:val="center"/>
              <w:textAlignment w:val="baseline"/>
              <w:rPr>
                <w:color w:val="auto"/>
                <w:highlight w:val="none"/>
              </w:rPr>
            </w:pPr>
            <w:r>
              <w:rPr>
                <w:color w:val="auto"/>
                <w:spacing w:val="-3"/>
                <w:highlight w:val="none"/>
              </w:rPr>
              <w:t>操作规</w:t>
            </w:r>
            <w:r>
              <w:rPr>
                <w:color w:val="auto"/>
                <w:highlight w:val="none"/>
              </w:rPr>
              <w:t>范</w:t>
            </w:r>
          </w:p>
        </w:tc>
        <w:tc>
          <w:tcPr>
            <w:tcW w:w="7407" w:type="dxa"/>
            <w:vAlign w:val="top"/>
          </w:tcPr>
          <w:p w14:paraId="112DB8D6">
            <w:pPr>
              <w:pStyle w:val="10"/>
              <w:keepNext w:val="0"/>
              <w:keepLines w:val="0"/>
              <w:pageBreakBefore w:val="0"/>
              <w:widowControl/>
              <w:numPr>
                <w:ilvl w:val="0"/>
                <w:numId w:val="22"/>
              </w:numPr>
              <w:kinsoku w:val="0"/>
              <w:wordWrap/>
              <w:overflowPunct/>
              <w:topLinePunct w:val="0"/>
              <w:autoSpaceDE w:val="0"/>
              <w:autoSpaceDN w:val="0"/>
              <w:bidi w:val="0"/>
              <w:adjustRightInd w:val="0"/>
              <w:snapToGrid w:val="0"/>
              <w:spacing w:before="42" w:line="312" w:lineRule="auto"/>
              <w:ind w:left="0" w:leftChars="0" w:right="104" w:firstLine="416" w:firstLineChars="200"/>
              <w:textAlignment w:val="baseline"/>
              <w:rPr>
                <w:color w:val="auto"/>
                <w:highlight w:val="none"/>
              </w:rPr>
            </w:pPr>
            <w:r>
              <w:rPr>
                <w:color w:val="auto"/>
                <w:spacing w:val="-1"/>
                <w:highlight w:val="none"/>
              </w:rPr>
              <w:t>所有食材应处理干净，除去杂物，不得留有异</w:t>
            </w:r>
            <w:r>
              <w:rPr>
                <w:color w:val="auto"/>
                <w:spacing w:val="-2"/>
                <w:highlight w:val="none"/>
              </w:rPr>
              <w:t>物。</w:t>
            </w:r>
          </w:p>
          <w:p w14:paraId="0FEE0E10">
            <w:pPr>
              <w:pStyle w:val="10"/>
              <w:keepNext w:val="0"/>
              <w:keepLines w:val="0"/>
              <w:pageBreakBefore w:val="0"/>
              <w:widowControl/>
              <w:numPr>
                <w:ilvl w:val="0"/>
                <w:numId w:val="22"/>
              </w:numPr>
              <w:kinsoku w:val="0"/>
              <w:wordWrap/>
              <w:overflowPunct/>
              <w:topLinePunct w:val="0"/>
              <w:autoSpaceDE w:val="0"/>
              <w:autoSpaceDN w:val="0"/>
              <w:bidi w:val="0"/>
              <w:adjustRightInd w:val="0"/>
              <w:snapToGrid w:val="0"/>
              <w:spacing w:before="183" w:line="289" w:lineRule="auto"/>
              <w:ind w:left="0" w:leftChars="0" w:right="100" w:firstLine="416" w:firstLineChars="200"/>
              <w:textAlignment w:val="baseline"/>
              <w:rPr>
                <w:color w:val="auto"/>
                <w:highlight w:val="none"/>
              </w:rPr>
            </w:pPr>
            <w:r>
              <w:rPr>
                <w:color w:val="auto"/>
                <w:spacing w:val="-1"/>
                <w:highlight w:val="none"/>
              </w:rPr>
              <w:t>蔬菜需要进行去皮处理，例如：莲藕、土豆、萝卜、冬瓜（煲汤例外</w:t>
            </w:r>
            <w:r>
              <w:rPr>
                <w:color w:val="auto"/>
                <w:spacing w:val="7"/>
                <w:highlight w:val="none"/>
              </w:rPr>
              <w:t>）；</w:t>
            </w:r>
            <w:r>
              <w:rPr>
                <w:color w:val="auto"/>
                <w:spacing w:val="-1"/>
                <w:highlight w:val="none"/>
              </w:rPr>
              <w:t>需切配的食材，应按菜式所需切配，切配大小均</w:t>
            </w:r>
            <w:r>
              <w:rPr>
                <w:color w:val="auto"/>
                <w:spacing w:val="-2"/>
                <w:highlight w:val="none"/>
              </w:rPr>
              <w:t>匀、长短</w:t>
            </w:r>
            <w:r>
              <w:rPr>
                <w:color w:val="auto"/>
                <w:spacing w:val="-4"/>
                <w:highlight w:val="none"/>
              </w:rPr>
              <w:t>均一。</w:t>
            </w:r>
          </w:p>
          <w:p w14:paraId="7395E8E7">
            <w:pPr>
              <w:pStyle w:val="10"/>
              <w:keepNext w:val="0"/>
              <w:keepLines w:val="0"/>
              <w:pageBreakBefore w:val="0"/>
              <w:widowControl/>
              <w:numPr>
                <w:ilvl w:val="0"/>
                <w:numId w:val="22"/>
              </w:numPr>
              <w:kinsoku w:val="0"/>
              <w:wordWrap/>
              <w:overflowPunct/>
              <w:topLinePunct w:val="0"/>
              <w:autoSpaceDE w:val="0"/>
              <w:autoSpaceDN w:val="0"/>
              <w:bidi w:val="0"/>
              <w:adjustRightInd w:val="0"/>
              <w:snapToGrid w:val="0"/>
              <w:spacing w:before="178" w:line="220" w:lineRule="auto"/>
              <w:ind w:left="0" w:leftChars="0" w:firstLine="412" w:firstLineChars="200"/>
              <w:textAlignment w:val="baseline"/>
              <w:rPr>
                <w:color w:val="auto"/>
                <w:highlight w:val="none"/>
              </w:rPr>
            </w:pPr>
            <w:r>
              <w:rPr>
                <w:color w:val="auto"/>
                <w:spacing w:val="-2"/>
                <w:highlight w:val="none"/>
              </w:rPr>
              <w:t>加工过程、方法应符合加工规范（加工标准、存储温度等）。</w:t>
            </w:r>
          </w:p>
          <w:p w14:paraId="3A83A80E">
            <w:pPr>
              <w:pStyle w:val="10"/>
              <w:keepNext w:val="0"/>
              <w:keepLines w:val="0"/>
              <w:pageBreakBefore w:val="0"/>
              <w:widowControl/>
              <w:numPr>
                <w:ilvl w:val="0"/>
                <w:numId w:val="22"/>
              </w:numPr>
              <w:kinsoku w:val="0"/>
              <w:wordWrap/>
              <w:overflowPunct/>
              <w:topLinePunct w:val="0"/>
              <w:autoSpaceDE w:val="0"/>
              <w:autoSpaceDN w:val="0"/>
              <w:bidi w:val="0"/>
              <w:adjustRightInd w:val="0"/>
              <w:snapToGrid w:val="0"/>
              <w:spacing w:before="183" w:line="289" w:lineRule="auto"/>
              <w:ind w:left="0" w:leftChars="0" w:right="112" w:firstLine="416" w:firstLineChars="200"/>
              <w:textAlignment w:val="baseline"/>
              <w:rPr>
                <w:color w:val="auto"/>
                <w:highlight w:val="none"/>
              </w:rPr>
            </w:pPr>
            <w:r>
              <w:rPr>
                <w:color w:val="auto"/>
                <w:spacing w:val="-1"/>
                <w:highlight w:val="none"/>
              </w:rPr>
              <w:t>正确解冻，解冻温度、时间、方法应符合要求（不允许二</w:t>
            </w:r>
            <w:r>
              <w:rPr>
                <w:color w:val="auto"/>
                <w:spacing w:val="-2"/>
                <w:highlight w:val="none"/>
              </w:rPr>
              <w:t>次解</w:t>
            </w:r>
            <w:r>
              <w:rPr>
                <w:color w:val="auto"/>
                <w:spacing w:val="-6"/>
                <w:highlight w:val="none"/>
              </w:rPr>
              <w:t>冻/冷冻）。</w:t>
            </w:r>
          </w:p>
          <w:p w14:paraId="1AD8A3ED">
            <w:pPr>
              <w:pStyle w:val="10"/>
              <w:keepNext w:val="0"/>
              <w:keepLines w:val="0"/>
              <w:pageBreakBefore w:val="0"/>
              <w:widowControl/>
              <w:numPr>
                <w:ilvl w:val="0"/>
                <w:numId w:val="22"/>
              </w:numPr>
              <w:kinsoku w:val="0"/>
              <w:wordWrap/>
              <w:overflowPunct/>
              <w:topLinePunct w:val="0"/>
              <w:autoSpaceDE w:val="0"/>
              <w:autoSpaceDN w:val="0"/>
              <w:bidi w:val="0"/>
              <w:adjustRightInd w:val="0"/>
              <w:snapToGrid w:val="0"/>
              <w:spacing w:before="180" w:line="313" w:lineRule="auto"/>
              <w:ind w:left="0" w:leftChars="0" w:right="35" w:firstLine="416" w:firstLineChars="200"/>
              <w:textAlignment w:val="baseline"/>
              <w:rPr>
                <w:color w:val="auto"/>
                <w:highlight w:val="none"/>
              </w:rPr>
            </w:pPr>
            <w:r>
              <w:rPr>
                <w:color w:val="auto"/>
                <w:spacing w:val="-1"/>
                <w:highlight w:val="none"/>
              </w:rPr>
              <w:t>食材应在指定区域加工及存放，加工区独立，成品和待加工原</w:t>
            </w:r>
            <w:r>
              <w:rPr>
                <w:color w:val="auto"/>
                <w:spacing w:val="-6"/>
                <w:highlight w:val="none"/>
              </w:rPr>
              <w:t>料分开存放，食材、原料、半成品离地隔墙存放。原辅料应分类</w:t>
            </w:r>
            <w:r>
              <w:rPr>
                <w:color w:val="auto"/>
                <w:spacing w:val="-7"/>
                <w:highlight w:val="none"/>
              </w:rPr>
              <w:t>存放，</w:t>
            </w:r>
            <w:r>
              <w:rPr>
                <w:color w:val="auto"/>
                <w:spacing w:val="-3"/>
                <w:highlight w:val="none"/>
              </w:rPr>
              <w:t>生熟分开，散装鸡蛋与其他原辅料分开存放。</w:t>
            </w:r>
          </w:p>
          <w:p w14:paraId="35309409">
            <w:pPr>
              <w:pStyle w:val="10"/>
              <w:keepNext w:val="0"/>
              <w:keepLines w:val="0"/>
              <w:pageBreakBefore w:val="0"/>
              <w:widowControl/>
              <w:numPr>
                <w:ilvl w:val="0"/>
                <w:numId w:val="22"/>
              </w:numPr>
              <w:kinsoku w:val="0"/>
              <w:wordWrap/>
              <w:overflowPunct/>
              <w:topLinePunct w:val="0"/>
              <w:autoSpaceDE w:val="0"/>
              <w:autoSpaceDN w:val="0"/>
              <w:bidi w:val="0"/>
              <w:adjustRightInd w:val="0"/>
              <w:snapToGrid w:val="0"/>
              <w:spacing w:before="183" w:line="289" w:lineRule="auto"/>
              <w:ind w:left="0" w:leftChars="0" w:right="102" w:firstLine="392" w:firstLineChars="200"/>
              <w:textAlignment w:val="baseline"/>
              <w:rPr>
                <w:color w:val="auto"/>
                <w:highlight w:val="none"/>
              </w:rPr>
            </w:pPr>
            <w:r>
              <w:rPr>
                <w:color w:val="auto"/>
                <w:spacing w:val="-7"/>
                <w:highlight w:val="none"/>
              </w:rPr>
              <w:t>食品盛器需明确区分（颜色、标识等</w:t>
            </w:r>
            <w:r>
              <w:rPr>
                <w:color w:val="auto"/>
                <w:spacing w:val="-4"/>
                <w:highlight w:val="none"/>
              </w:rPr>
              <w:t>），</w:t>
            </w:r>
            <w:r>
              <w:rPr>
                <w:color w:val="auto"/>
                <w:spacing w:val="-7"/>
                <w:highlight w:val="none"/>
              </w:rPr>
              <w:t>避免交叉污染</w:t>
            </w:r>
            <w:r>
              <w:rPr>
                <w:color w:val="auto"/>
                <w:spacing w:val="-8"/>
                <w:highlight w:val="none"/>
              </w:rPr>
              <w:t>，运输</w:t>
            </w:r>
            <w:r>
              <w:rPr>
                <w:color w:val="auto"/>
                <w:spacing w:val="-2"/>
                <w:highlight w:val="none"/>
              </w:rPr>
              <w:t>工具应保持清洁，防止食品在运输过程中交叉污染。</w:t>
            </w:r>
          </w:p>
          <w:p w14:paraId="14AD5316">
            <w:pPr>
              <w:pStyle w:val="10"/>
              <w:keepNext w:val="0"/>
              <w:keepLines w:val="0"/>
              <w:pageBreakBefore w:val="0"/>
              <w:widowControl/>
              <w:numPr>
                <w:ilvl w:val="0"/>
                <w:numId w:val="22"/>
              </w:numPr>
              <w:kinsoku w:val="0"/>
              <w:wordWrap/>
              <w:overflowPunct/>
              <w:topLinePunct w:val="0"/>
              <w:autoSpaceDE w:val="0"/>
              <w:autoSpaceDN w:val="0"/>
              <w:bidi w:val="0"/>
              <w:adjustRightInd w:val="0"/>
              <w:snapToGrid w:val="0"/>
              <w:spacing w:before="181" w:line="313" w:lineRule="auto"/>
              <w:ind w:left="0" w:leftChars="0" w:right="104" w:firstLine="416" w:firstLineChars="200"/>
              <w:textAlignment w:val="baseline"/>
              <w:rPr>
                <w:color w:val="auto"/>
                <w:highlight w:val="none"/>
              </w:rPr>
            </w:pPr>
            <w:r>
              <w:rPr>
                <w:color w:val="auto"/>
                <w:spacing w:val="-1"/>
                <w:highlight w:val="none"/>
              </w:rPr>
              <w:t>餐厅员工在餐厅内从事任何与经营无关的活动，如就餐时间内吸烟、擅自前往办公区、工作期间前往洗手间未摘掉帽子口罩、脱掉</w:t>
            </w:r>
            <w:r>
              <w:rPr>
                <w:color w:val="auto"/>
                <w:spacing w:val="-11"/>
                <w:highlight w:val="none"/>
              </w:rPr>
              <w:t>围裙等。</w:t>
            </w:r>
          </w:p>
          <w:p w14:paraId="47255BEB">
            <w:pPr>
              <w:pStyle w:val="10"/>
              <w:keepNext w:val="0"/>
              <w:keepLines w:val="0"/>
              <w:pageBreakBefore w:val="0"/>
              <w:widowControl/>
              <w:numPr>
                <w:ilvl w:val="0"/>
                <w:numId w:val="22"/>
              </w:numPr>
              <w:kinsoku w:val="0"/>
              <w:wordWrap/>
              <w:overflowPunct/>
              <w:topLinePunct w:val="0"/>
              <w:autoSpaceDE w:val="0"/>
              <w:autoSpaceDN w:val="0"/>
              <w:bidi w:val="0"/>
              <w:adjustRightInd w:val="0"/>
              <w:snapToGrid w:val="0"/>
              <w:spacing w:before="180" w:line="219" w:lineRule="auto"/>
              <w:ind w:left="0" w:leftChars="0" w:firstLine="412" w:firstLineChars="200"/>
              <w:textAlignment w:val="baseline"/>
              <w:rPr>
                <w:color w:val="auto"/>
                <w:highlight w:val="none"/>
              </w:rPr>
            </w:pPr>
            <w:r>
              <w:rPr>
                <w:color w:val="auto"/>
                <w:spacing w:val="-2"/>
                <w:highlight w:val="none"/>
              </w:rPr>
              <w:t>按照要求规范使用专用抹布，不得使用钢丝球。</w:t>
            </w:r>
          </w:p>
          <w:p w14:paraId="5B16E6BB">
            <w:pPr>
              <w:pStyle w:val="10"/>
              <w:keepNext w:val="0"/>
              <w:keepLines w:val="0"/>
              <w:pageBreakBefore w:val="0"/>
              <w:widowControl/>
              <w:numPr>
                <w:ilvl w:val="0"/>
                <w:numId w:val="0"/>
              </w:numPr>
              <w:kinsoku w:val="0"/>
              <w:wordWrap/>
              <w:overflowPunct/>
              <w:topLinePunct w:val="0"/>
              <w:autoSpaceDE w:val="0"/>
              <w:autoSpaceDN w:val="0"/>
              <w:bidi w:val="0"/>
              <w:adjustRightInd w:val="0"/>
              <w:snapToGrid w:val="0"/>
              <w:spacing w:before="181" w:line="313" w:lineRule="auto"/>
              <w:ind w:leftChars="200" w:right="101" w:rightChars="0"/>
              <w:textAlignment w:val="baseline"/>
              <w:rPr>
                <w:color w:val="auto"/>
                <w:highlight w:val="none"/>
              </w:rPr>
            </w:pPr>
          </w:p>
          <w:p w14:paraId="48940B6B">
            <w:pPr>
              <w:pStyle w:val="10"/>
              <w:spacing w:before="180" w:line="220" w:lineRule="auto"/>
              <w:ind w:left="319"/>
              <w:rPr>
                <w:color w:val="auto"/>
                <w:highlight w:val="none"/>
              </w:rPr>
            </w:pPr>
            <w:r>
              <w:rPr>
                <w:color w:val="auto"/>
                <w:spacing w:val="-6"/>
                <w:highlight w:val="none"/>
              </w:rPr>
              <w:t>（发现违反上述规定，每次扣1</w:t>
            </w:r>
            <w:r>
              <w:rPr>
                <w:color w:val="auto"/>
                <w:spacing w:val="-36"/>
                <w:highlight w:val="none"/>
              </w:rPr>
              <w:t xml:space="preserve"> </w:t>
            </w:r>
            <w:r>
              <w:rPr>
                <w:color w:val="auto"/>
                <w:spacing w:val="-6"/>
                <w:highlight w:val="none"/>
              </w:rPr>
              <w:t>分）</w:t>
            </w:r>
          </w:p>
        </w:tc>
        <w:tc>
          <w:tcPr>
            <w:tcW w:w="612" w:type="dxa"/>
            <w:vAlign w:val="top"/>
          </w:tcPr>
          <w:p w14:paraId="62EC72E4">
            <w:pPr>
              <w:rPr>
                <w:rFonts w:ascii="Arial"/>
                <w:color w:val="auto"/>
                <w:sz w:val="21"/>
                <w:highlight w:val="none"/>
              </w:rPr>
            </w:pPr>
          </w:p>
        </w:tc>
      </w:tr>
      <w:tr w14:paraId="01584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2" w:hRule="atLeast"/>
        </w:trPr>
        <w:tc>
          <w:tcPr>
            <w:tcW w:w="1262" w:type="dxa"/>
            <w:vMerge w:val="continue"/>
            <w:tcBorders>
              <w:top w:val="nil"/>
            </w:tcBorders>
            <w:vAlign w:val="top"/>
          </w:tcPr>
          <w:p w14:paraId="5417FAF6">
            <w:pPr>
              <w:rPr>
                <w:rFonts w:ascii="Arial"/>
                <w:color w:val="auto"/>
                <w:sz w:val="21"/>
                <w:highlight w:val="none"/>
              </w:rPr>
            </w:pPr>
          </w:p>
        </w:tc>
        <w:tc>
          <w:tcPr>
            <w:tcW w:w="1005" w:type="dxa"/>
            <w:vAlign w:val="center"/>
          </w:tcPr>
          <w:p w14:paraId="2B7DA248">
            <w:pPr>
              <w:keepNext w:val="0"/>
              <w:keepLines w:val="0"/>
              <w:pageBreakBefore w:val="0"/>
              <w:widowControl/>
              <w:kinsoku w:val="0"/>
              <w:wordWrap/>
              <w:overflowPunct/>
              <w:topLinePunct w:val="0"/>
              <w:autoSpaceDE w:val="0"/>
              <w:autoSpaceDN w:val="0"/>
              <w:bidi w:val="0"/>
              <w:adjustRightInd w:val="0"/>
              <w:snapToGrid w:val="0"/>
              <w:spacing w:line="275" w:lineRule="auto"/>
              <w:ind w:left="0" w:right="0" w:firstLine="0"/>
              <w:jc w:val="center"/>
              <w:textAlignment w:val="baseline"/>
              <w:rPr>
                <w:rFonts w:ascii="Arial"/>
                <w:color w:val="auto"/>
                <w:sz w:val="21"/>
                <w:highlight w:val="none"/>
              </w:rPr>
            </w:pPr>
          </w:p>
          <w:p w14:paraId="4A57934B">
            <w:pPr>
              <w:pStyle w:val="10"/>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center"/>
              <w:textAlignment w:val="baseline"/>
              <w:rPr>
                <w:color w:val="auto"/>
                <w:highlight w:val="none"/>
              </w:rPr>
            </w:pPr>
            <w:r>
              <w:rPr>
                <w:color w:val="auto"/>
                <w:spacing w:val="-5"/>
                <w:highlight w:val="none"/>
              </w:rPr>
              <w:t>异物概</w:t>
            </w:r>
            <w:r>
              <w:rPr>
                <w:color w:val="auto"/>
                <w:highlight w:val="none"/>
              </w:rPr>
              <w:t>率</w:t>
            </w:r>
          </w:p>
        </w:tc>
        <w:tc>
          <w:tcPr>
            <w:tcW w:w="7407" w:type="dxa"/>
            <w:vAlign w:val="top"/>
          </w:tcPr>
          <w:p w14:paraId="464146EB">
            <w:pPr>
              <w:pStyle w:val="10"/>
              <w:spacing w:before="119" w:line="290" w:lineRule="auto"/>
              <w:ind w:left="120" w:right="102" w:firstLine="491"/>
              <w:rPr>
                <w:color w:val="auto"/>
                <w:highlight w:val="none"/>
              </w:rPr>
            </w:pPr>
            <w:r>
              <w:rPr>
                <w:color w:val="auto"/>
                <w:spacing w:val="-1"/>
                <w:highlight w:val="none"/>
              </w:rPr>
              <w:t>1.因未清洗干净而出现的异物，例如：毛发、沙粒、</w:t>
            </w:r>
            <w:r>
              <w:rPr>
                <w:color w:val="auto"/>
                <w:spacing w:val="-2"/>
                <w:highlight w:val="none"/>
              </w:rPr>
              <w:t>果蝇、小菜</w:t>
            </w:r>
            <w:r>
              <w:rPr>
                <w:color w:val="auto"/>
                <w:spacing w:val="-4"/>
                <w:highlight w:val="none"/>
              </w:rPr>
              <w:t>虫类等，每月低于</w:t>
            </w:r>
            <w:r>
              <w:rPr>
                <w:color w:val="auto"/>
                <w:spacing w:val="-31"/>
                <w:highlight w:val="none"/>
              </w:rPr>
              <w:t xml:space="preserve"> </w:t>
            </w:r>
            <w:r>
              <w:rPr>
                <w:color w:val="auto"/>
                <w:spacing w:val="-4"/>
                <w:highlight w:val="none"/>
              </w:rPr>
              <w:t>3</w:t>
            </w:r>
            <w:r>
              <w:rPr>
                <w:color w:val="auto"/>
                <w:spacing w:val="-44"/>
                <w:highlight w:val="none"/>
              </w:rPr>
              <w:t xml:space="preserve"> </w:t>
            </w:r>
            <w:r>
              <w:rPr>
                <w:color w:val="auto"/>
                <w:spacing w:val="-4"/>
                <w:highlight w:val="none"/>
              </w:rPr>
              <w:t>次不作扣分处理，超过的部分每次扣</w:t>
            </w:r>
            <w:r>
              <w:rPr>
                <w:color w:val="auto"/>
                <w:spacing w:val="-32"/>
                <w:highlight w:val="none"/>
              </w:rPr>
              <w:t xml:space="preserve"> </w:t>
            </w:r>
            <w:r>
              <w:rPr>
                <w:color w:val="auto"/>
                <w:spacing w:val="-4"/>
                <w:highlight w:val="none"/>
              </w:rPr>
              <w:t>1</w:t>
            </w:r>
            <w:r>
              <w:rPr>
                <w:color w:val="auto"/>
                <w:spacing w:val="-48"/>
                <w:highlight w:val="none"/>
              </w:rPr>
              <w:t xml:space="preserve"> </w:t>
            </w:r>
            <w:r>
              <w:rPr>
                <w:color w:val="auto"/>
                <w:spacing w:val="-4"/>
                <w:highlight w:val="none"/>
              </w:rPr>
              <w:t>分。</w:t>
            </w:r>
          </w:p>
          <w:p w14:paraId="34D1C578">
            <w:pPr>
              <w:pStyle w:val="10"/>
              <w:spacing w:before="120" w:line="360" w:lineRule="auto"/>
              <w:ind w:left="113" w:right="19"/>
              <w:jc w:val="both"/>
              <w:rPr>
                <w:color w:val="auto"/>
                <w:highlight w:val="none"/>
              </w:rPr>
            </w:pPr>
            <w:r>
              <w:rPr>
                <w:color w:val="auto"/>
                <w:spacing w:val="-1"/>
                <w:highlight w:val="none"/>
              </w:rPr>
              <w:t>2.因加工过程中所产生的异物，例如：一次性手套、保鲜膜、标签纸等、指甲、口香糖、创可贴、烟头、玻璃、牙齿、</w:t>
            </w:r>
            <w:r>
              <w:rPr>
                <w:color w:val="auto"/>
                <w:spacing w:val="-2"/>
                <w:highlight w:val="none"/>
              </w:rPr>
              <w:t>铁丝、亚克力</w:t>
            </w:r>
            <w:r>
              <w:rPr>
                <w:color w:val="auto"/>
                <w:spacing w:val="-6"/>
                <w:highlight w:val="none"/>
              </w:rPr>
              <w:t>板等其它类异物，或出现因未处理干净的预包装类异物，例如：皮筋、</w:t>
            </w:r>
            <w:r>
              <w:rPr>
                <w:color w:val="auto"/>
                <w:spacing w:val="-2"/>
                <w:highlight w:val="none"/>
              </w:rPr>
              <w:t>绳子、包装袋、报纸、泡沫、化肥残留物等，每次罚</w:t>
            </w:r>
            <w:r>
              <w:rPr>
                <w:color w:val="auto"/>
                <w:spacing w:val="-41"/>
                <w:highlight w:val="none"/>
              </w:rPr>
              <w:t xml:space="preserve"> </w:t>
            </w:r>
            <w:r>
              <w:rPr>
                <w:color w:val="auto"/>
                <w:spacing w:val="-2"/>
                <w:highlight w:val="none"/>
              </w:rPr>
              <w:t>3</w:t>
            </w:r>
            <w:r>
              <w:rPr>
                <w:color w:val="auto"/>
                <w:spacing w:val="-48"/>
                <w:highlight w:val="none"/>
              </w:rPr>
              <w:t xml:space="preserve"> </w:t>
            </w:r>
            <w:r>
              <w:rPr>
                <w:color w:val="auto"/>
                <w:spacing w:val="-2"/>
                <w:highlight w:val="none"/>
              </w:rPr>
              <w:t>分。</w:t>
            </w:r>
          </w:p>
          <w:p w14:paraId="431DEF97">
            <w:pPr>
              <w:pStyle w:val="10"/>
              <w:spacing w:before="181" w:line="220" w:lineRule="auto"/>
              <w:ind w:left="597"/>
              <w:rPr>
                <w:color w:val="auto"/>
                <w:highlight w:val="none"/>
              </w:rPr>
            </w:pPr>
            <w:r>
              <w:rPr>
                <w:color w:val="auto"/>
                <w:spacing w:val="-1"/>
                <w:highlight w:val="none"/>
              </w:rPr>
              <w:t>3.食品中出现蟑螂、老鼠、苍蝇、蚂蚁等恶性异物时，每次扣</w:t>
            </w:r>
            <w:r>
              <w:rPr>
                <w:color w:val="auto"/>
                <w:spacing w:val="-45"/>
                <w:highlight w:val="none"/>
              </w:rPr>
              <w:t xml:space="preserve"> </w:t>
            </w:r>
            <w:r>
              <w:rPr>
                <w:color w:val="auto"/>
                <w:spacing w:val="-1"/>
                <w:highlight w:val="none"/>
              </w:rPr>
              <w:t>3</w:t>
            </w:r>
            <w:r>
              <w:rPr>
                <w:color w:val="auto"/>
                <w:spacing w:val="-12"/>
                <w:highlight w:val="none"/>
              </w:rPr>
              <w:t>分。</w:t>
            </w:r>
          </w:p>
        </w:tc>
        <w:tc>
          <w:tcPr>
            <w:tcW w:w="612" w:type="dxa"/>
            <w:vAlign w:val="top"/>
          </w:tcPr>
          <w:p w14:paraId="552D6FB6">
            <w:pPr>
              <w:rPr>
                <w:rFonts w:ascii="Arial"/>
                <w:color w:val="auto"/>
                <w:sz w:val="21"/>
                <w:highlight w:val="none"/>
              </w:rPr>
            </w:pPr>
          </w:p>
        </w:tc>
      </w:tr>
    </w:tbl>
    <w:p w14:paraId="3ABCA861">
      <w:pPr>
        <w:spacing w:line="96" w:lineRule="exact"/>
        <w:rPr>
          <w:color w:val="auto"/>
          <w:highlight w:val="none"/>
        </w:rPr>
      </w:pPr>
    </w:p>
    <w:p w14:paraId="7A9C88A8">
      <w:pPr>
        <w:spacing w:line="96" w:lineRule="exact"/>
        <w:rPr>
          <w:color w:val="auto"/>
          <w:highlight w:val="none"/>
        </w:rPr>
      </w:pPr>
    </w:p>
    <w:tbl>
      <w:tblPr>
        <w:tblStyle w:val="9"/>
        <w:tblW w:w="6229" w:type="pct"/>
        <w:tblInd w:w="-88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8"/>
        <w:gridCol w:w="1053"/>
        <w:gridCol w:w="7729"/>
        <w:gridCol w:w="579"/>
      </w:tblGrid>
      <w:tr w14:paraId="484AD4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265" w:hRule="atLeast"/>
        </w:trPr>
        <w:tc>
          <w:tcPr>
            <w:tcW w:w="608" w:type="pct"/>
            <w:vMerge w:val="restart"/>
            <w:tcBorders>
              <w:top w:val="single" w:color="auto" w:sz="4" w:space="0"/>
              <w:left w:val="single" w:color="auto" w:sz="4" w:space="0"/>
              <w:bottom w:val="single" w:color="auto" w:sz="4" w:space="0"/>
            </w:tcBorders>
            <w:vAlign w:val="top"/>
          </w:tcPr>
          <w:p w14:paraId="395F722A">
            <w:pPr>
              <w:rPr>
                <w:rFonts w:ascii="Arial"/>
                <w:color w:val="auto"/>
                <w:sz w:val="21"/>
                <w:highlight w:val="none"/>
              </w:rPr>
            </w:pPr>
          </w:p>
        </w:tc>
        <w:tc>
          <w:tcPr>
            <w:tcW w:w="493" w:type="pct"/>
            <w:tcBorders>
              <w:top w:val="single" w:color="auto" w:sz="4" w:space="0"/>
              <w:bottom w:val="single" w:color="auto" w:sz="4" w:space="0"/>
              <w:right w:val="single" w:color="auto" w:sz="4" w:space="0"/>
            </w:tcBorders>
            <w:vAlign w:val="center"/>
          </w:tcPr>
          <w:p w14:paraId="51D488C7">
            <w:pPr>
              <w:keepNext w:val="0"/>
              <w:keepLines w:val="0"/>
              <w:pageBreakBefore w:val="0"/>
              <w:widowControl/>
              <w:kinsoku w:val="0"/>
              <w:wordWrap/>
              <w:overflowPunct/>
              <w:topLinePunct w:val="0"/>
              <w:autoSpaceDE w:val="0"/>
              <w:autoSpaceDN w:val="0"/>
              <w:bidi w:val="0"/>
              <w:adjustRightInd w:val="0"/>
              <w:snapToGrid w:val="0"/>
              <w:spacing w:line="257" w:lineRule="auto"/>
              <w:ind w:left="0" w:right="0" w:firstLine="0"/>
              <w:jc w:val="center"/>
              <w:textAlignment w:val="baseline"/>
              <w:rPr>
                <w:rFonts w:ascii="Arial"/>
                <w:color w:val="auto"/>
                <w:sz w:val="21"/>
                <w:highlight w:val="none"/>
              </w:rPr>
            </w:pPr>
          </w:p>
          <w:p w14:paraId="4B5FF7C0">
            <w:pPr>
              <w:keepNext w:val="0"/>
              <w:keepLines w:val="0"/>
              <w:pageBreakBefore w:val="0"/>
              <w:widowControl/>
              <w:kinsoku w:val="0"/>
              <w:wordWrap/>
              <w:overflowPunct/>
              <w:topLinePunct w:val="0"/>
              <w:autoSpaceDE w:val="0"/>
              <w:autoSpaceDN w:val="0"/>
              <w:bidi w:val="0"/>
              <w:adjustRightInd w:val="0"/>
              <w:snapToGrid w:val="0"/>
              <w:spacing w:line="257" w:lineRule="auto"/>
              <w:ind w:left="0" w:right="0" w:firstLine="0"/>
              <w:jc w:val="center"/>
              <w:textAlignment w:val="baseline"/>
              <w:rPr>
                <w:rFonts w:ascii="Arial"/>
                <w:color w:val="auto"/>
                <w:sz w:val="21"/>
                <w:highlight w:val="none"/>
              </w:rPr>
            </w:pPr>
          </w:p>
          <w:p w14:paraId="0EBA7B8F">
            <w:pPr>
              <w:keepNext w:val="0"/>
              <w:keepLines w:val="0"/>
              <w:pageBreakBefore w:val="0"/>
              <w:widowControl/>
              <w:kinsoku w:val="0"/>
              <w:wordWrap/>
              <w:overflowPunct/>
              <w:topLinePunct w:val="0"/>
              <w:autoSpaceDE w:val="0"/>
              <w:autoSpaceDN w:val="0"/>
              <w:bidi w:val="0"/>
              <w:adjustRightInd w:val="0"/>
              <w:snapToGrid w:val="0"/>
              <w:spacing w:line="257" w:lineRule="auto"/>
              <w:ind w:left="0" w:right="0" w:firstLine="0"/>
              <w:jc w:val="center"/>
              <w:textAlignment w:val="baseline"/>
              <w:rPr>
                <w:rFonts w:ascii="Arial"/>
                <w:color w:val="auto"/>
                <w:sz w:val="21"/>
                <w:highlight w:val="none"/>
              </w:rPr>
            </w:pPr>
          </w:p>
          <w:p w14:paraId="34E48AF6">
            <w:pPr>
              <w:keepNext w:val="0"/>
              <w:keepLines w:val="0"/>
              <w:pageBreakBefore w:val="0"/>
              <w:widowControl/>
              <w:kinsoku w:val="0"/>
              <w:wordWrap/>
              <w:overflowPunct/>
              <w:topLinePunct w:val="0"/>
              <w:autoSpaceDE w:val="0"/>
              <w:autoSpaceDN w:val="0"/>
              <w:bidi w:val="0"/>
              <w:adjustRightInd w:val="0"/>
              <w:snapToGrid w:val="0"/>
              <w:spacing w:line="257" w:lineRule="auto"/>
              <w:ind w:left="0" w:right="0" w:firstLine="0"/>
              <w:jc w:val="center"/>
              <w:textAlignment w:val="baseline"/>
              <w:rPr>
                <w:rFonts w:ascii="Arial"/>
                <w:color w:val="auto"/>
                <w:sz w:val="21"/>
                <w:highlight w:val="none"/>
              </w:rPr>
            </w:pPr>
          </w:p>
          <w:p w14:paraId="1D7506E1">
            <w:pPr>
              <w:keepNext w:val="0"/>
              <w:keepLines w:val="0"/>
              <w:pageBreakBefore w:val="0"/>
              <w:widowControl/>
              <w:kinsoku w:val="0"/>
              <w:wordWrap/>
              <w:overflowPunct/>
              <w:topLinePunct w:val="0"/>
              <w:autoSpaceDE w:val="0"/>
              <w:autoSpaceDN w:val="0"/>
              <w:bidi w:val="0"/>
              <w:adjustRightInd w:val="0"/>
              <w:snapToGrid w:val="0"/>
              <w:spacing w:line="257" w:lineRule="auto"/>
              <w:ind w:left="0" w:right="0" w:firstLine="0"/>
              <w:jc w:val="center"/>
              <w:textAlignment w:val="baseline"/>
              <w:rPr>
                <w:rFonts w:ascii="Arial"/>
                <w:color w:val="auto"/>
                <w:sz w:val="21"/>
                <w:highlight w:val="none"/>
              </w:rPr>
            </w:pPr>
          </w:p>
          <w:p w14:paraId="1BD6C96E">
            <w:pPr>
              <w:keepNext w:val="0"/>
              <w:keepLines w:val="0"/>
              <w:pageBreakBefore w:val="0"/>
              <w:widowControl/>
              <w:kinsoku w:val="0"/>
              <w:wordWrap/>
              <w:overflowPunct/>
              <w:topLinePunct w:val="0"/>
              <w:autoSpaceDE w:val="0"/>
              <w:autoSpaceDN w:val="0"/>
              <w:bidi w:val="0"/>
              <w:adjustRightInd w:val="0"/>
              <w:snapToGrid w:val="0"/>
              <w:spacing w:line="257" w:lineRule="auto"/>
              <w:ind w:left="0" w:right="0" w:firstLine="0"/>
              <w:jc w:val="center"/>
              <w:textAlignment w:val="baseline"/>
              <w:rPr>
                <w:rFonts w:ascii="Arial"/>
                <w:color w:val="auto"/>
                <w:sz w:val="21"/>
                <w:highlight w:val="none"/>
              </w:rPr>
            </w:pPr>
          </w:p>
          <w:p w14:paraId="3BF83843">
            <w:pPr>
              <w:keepNext w:val="0"/>
              <w:keepLines w:val="0"/>
              <w:pageBreakBefore w:val="0"/>
              <w:widowControl/>
              <w:kinsoku w:val="0"/>
              <w:wordWrap/>
              <w:overflowPunct/>
              <w:topLinePunct w:val="0"/>
              <w:autoSpaceDE w:val="0"/>
              <w:autoSpaceDN w:val="0"/>
              <w:bidi w:val="0"/>
              <w:adjustRightInd w:val="0"/>
              <w:snapToGrid w:val="0"/>
              <w:spacing w:line="257" w:lineRule="auto"/>
              <w:ind w:left="0" w:right="0" w:firstLine="0"/>
              <w:jc w:val="center"/>
              <w:textAlignment w:val="baseline"/>
              <w:rPr>
                <w:rFonts w:ascii="Arial"/>
                <w:color w:val="auto"/>
                <w:sz w:val="21"/>
                <w:highlight w:val="none"/>
              </w:rPr>
            </w:pPr>
          </w:p>
          <w:p w14:paraId="72FBAF3A">
            <w:pPr>
              <w:keepNext w:val="0"/>
              <w:keepLines w:val="0"/>
              <w:pageBreakBefore w:val="0"/>
              <w:widowControl/>
              <w:kinsoku w:val="0"/>
              <w:wordWrap/>
              <w:overflowPunct/>
              <w:topLinePunct w:val="0"/>
              <w:autoSpaceDE w:val="0"/>
              <w:autoSpaceDN w:val="0"/>
              <w:bidi w:val="0"/>
              <w:adjustRightInd w:val="0"/>
              <w:snapToGrid w:val="0"/>
              <w:spacing w:line="257" w:lineRule="auto"/>
              <w:ind w:left="0" w:right="0" w:firstLine="0"/>
              <w:jc w:val="center"/>
              <w:textAlignment w:val="baseline"/>
              <w:rPr>
                <w:rFonts w:ascii="Arial"/>
                <w:color w:val="auto"/>
                <w:sz w:val="21"/>
                <w:highlight w:val="none"/>
              </w:rPr>
            </w:pPr>
          </w:p>
          <w:p w14:paraId="0BAAF939">
            <w:pPr>
              <w:keepNext w:val="0"/>
              <w:keepLines w:val="0"/>
              <w:pageBreakBefore w:val="0"/>
              <w:widowControl/>
              <w:kinsoku w:val="0"/>
              <w:wordWrap/>
              <w:overflowPunct/>
              <w:topLinePunct w:val="0"/>
              <w:autoSpaceDE w:val="0"/>
              <w:autoSpaceDN w:val="0"/>
              <w:bidi w:val="0"/>
              <w:adjustRightInd w:val="0"/>
              <w:snapToGrid w:val="0"/>
              <w:spacing w:line="257" w:lineRule="auto"/>
              <w:ind w:left="0" w:right="0" w:firstLine="0"/>
              <w:jc w:val="center"/>
              <w:textAlignment w:val="baseline"/>
              <w:rPr>
                <w:rFonts w:ascii="Arial"/>
                <w:color w:val="auto"/>
                <w:sz w:val="21"/>
                <w:highlight w:val="none"/>
              </w:rPr>
            </w:pPr>
          </w:p>
          <w:p w14:paraId="22B1554F">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center"/>
              <w:textAlignment w:val="baseline"/>
              <w:rPr>
                <w:rFonts w:ascii="Arial"/>
                <w:color w:val="auto"/>
                <w:sz w:val="21"/>
                <w:highlight w:val="none"/>
              </w:rPr>
            </w:pPr>
          </w:p>
          <w:p w14:paraId="2B4055B0">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center"/>
              <w:textAlignment w:val="baseline"/>
              <w:rPr>
                <w:rFonts w:ascii="Arial"/>
                <w:color w:val="auto"/>
                <w:sz w:val="21"/>
                <w:highlight w:val="none"/>
              </w:rPr>
            </w:pPr>
          </w:p>
          <w:p w14:paraId="4DF26303">
            <w:pPr>
              <w:pStyle w:val="10"/>
              <w:keepNext w:val="0"/>
              <w:keepLines w:val="0"/>
              <w:pageBreakBefore w:val="0"/>
              <w:widowControl/>
              <w:kinsoku w:val="0"/>
              <w:wordWrap/>
              <w:overflowPunct/>
              <w:topLinePunct w:val="0"/>
              <w:autoSpaceDE w:val="0"/>
              <w:autoSpaceDN w:val="0"/>
              <w:bidi w:val="0"/>
              <w:adjustRightInd w:val="0"/>
              <w:snapToGrid w:val="0"/>
              <w:spacing w:line="367" w:lineRule="auto"/>
              <w:ind w:left="0" w:right="0" w:firstLine="0"/>
              <w:jc w:val="center"/>
              <w:textAlignment w:val="baseline"/>
              <w:rPr>
                <w:color w:val="auto"/>
                <w:highlight w:val="none"/>
              </w:rPr>
            </w:pPr>
            <w:r>
              <w:rPr>
                <w:color w:val="auto"/>
                <w:spacing w:val="-4"/>
                <w:highlight w:val="none"/>
              </w:rPr>
              <w:t>环境卫</w:t>
            </w:r>
            <w:r>
              <w:rPr>
                <w:color w:val="auto"/>
                <w:highlight w:val="none"/>
              </w:rPr>
              <w:t>生</w:t>
            </w:r>
          </w:p>
        </w:tc>
        <w:tc>
          <w:tcPr>
            <w:tcW w:w="3625" w:type="pct"/>
            <w:tcBorders>
              <w:left w:val="single" w:color="auto" w:sz="4" w:space="0"/>
            </w:tcBorders>
            <w:vAlign w:val="top"/>
          </w:tcPr>
          <w:p w14:paraId="0EA37154">
            <w:pPr>
              <w:pStyle w:val="10"/>
              <w:spacing w:before="115" w:line="290" w:lineRule="auto"/>
              <w:ind w:left="112" w:right="216" w:firstLine="499"/>
              <w:rPr>
                <w:color w:val="auto"/>
                <w:highlight w:val="none"/>
              </w:rPr>
            </w:pPr>
            <w:r>
              <w:rPr>
                <w:color w:val="auto"/>
                <w:spacing w:val="-1"/>
                <w:highlight w:val="none"/>
              </w:rPr>
              <w:t>1. 操作过程中不得将地漏盖移位或残渣堆滞现象，应保持下水</w:t>
            </w:r>
            <w:r>
              <w:rPr>
                <w:color w:val="auto"/>
                <w:spacing w:val="-3"/>
                <w:highlight w:val="none"/>
              </w:rPr>
              <w:t>道畅通，以防出现下水道堵塞现象。</w:t>
            </w:r>
          </w:p>
          <w:p w14:paraId="127500EA">
            <w:pPr>
              <w:pStyle w:val="10"/>
              <w:spacing w:before="181" w:line="290" w:lineRule="auto"/>
              <w:ind w:left="118" w:right="132" w:firstLine="478"/>
              <w:rPr>
                <w:color w:val="auto"/>
                <w:highlight w:val="none"/>
              </w:rPr>
            </w:pPr>
            <w:r>
              <w:rPr>
                <w:color w:val="auto"/>
                <w:highlight w:val="none"/>
              </w:rPr>
              <w:t>2. 应保持环境清洁，整体卫生良好，门、窗户、照明</w:t>
            </w:r>
            <w:r>
              <w:rPr>
                <w:color w:val="auto"/>
                <w:spacing w:val="-1"/>
                <w:highlight w:val="none"/>
              </w:rPr>
              <w:t>、墙壁、</w:t>
            </w:r>
            <w:r>
              <w:rPr>
                <w:color w:val="auto"/>
                <w:spacing w:val="-2"/>
                <w:highlight w:val="none"/>
              </w:rPr>
              <w:t>天花板、操作台、刀具、砧板等设备应保持清洁，并符合卫生要求。</w:t>
            </w:r>
          </w:p>
          <w:p w14:paraId="7CE31505">
            <w:pPr>
              <w:pStyle w:val="10"/>
              <w:spacing w:before="183" w:line="219" w:lineRule="auto"/>
              <w:ind w:left="599"/>
              <w:rPr>
                <w:color w:val="auto"/>
                <w:highlight w:val="none"/>
              </w:rPr>
            </w:pPr>
            <w:r>
              <w:rPr>
                <w:color w:val="auto"/>
                <w:spacing w:val="-2"/>
                <w:highlight w:val="none"/>
              </w:rPr>
              <w:t>3. 垃圾箱加盖，定时转移餐厨垃圾。</w:t>
            </w:r>
          </w:p>
          <w:p w14:paraId="37A5D87C">
            <w:pPr>
              <w:pStyle w:val="10"/>
              <w:spacing w:before="184" w:line="290" w:lineRule="auto"/>
              <w:ind w:left="115" w:right="216" w:firstLine="477"/>
              <w:rPr>
                <w:color w:val="auto"/>
                <w:highlight w:val="none"/>
              </w:rPr>
            </w:pPr>
            <w:r>
              <w:rPr>
                <w:color w:val="auto"/>
                <w:highlight w:val="none"/>
              </w:rPr>
              <w:t>4. 废弃物设施应经常清洁消毒，清洁工</w:t>
            </w:r>
            <w:r>
              <w:rPr>
                <w:color w:val="auto"/>
                <w:spacing w:val="-1"/>
                <w:highlight w:val="none"/>
              </w:rPr>
              <w:t>具如扫把拖把能正常使</w:t>
            </w:r>
            <w:r>
              <w:rPr>
                <w:color w:val="auto"/>
                <w:highlight w:val="none"/>
              </w:rPr>
              <w:t>用</w:t>
            </w:r>
          </w:p>
          <w:p w14:paraId="3B8C8A12">
            <w:pPr>
              <w:pStyle w:val="10"/>
              <w:spacing w:before="180" w:line="290" w:lineRule="auto"/>
              <w:ind w:left="114" w:right="270" w:firstLine="484"/>
              <w:rPr>
                <w:color w:val="auto"/>
                <w:highlight w:val="none"/>
              </w:rPr>
            </w:pPr>
            <w:r>
              <w:rPr>
                <w:color w:val="auto"/>
                <w:spacing w:val="-3"/>
                <w:highlight w:val="none"/>
              </w:rPr>
              <w:t>5. 建筑物、设备、用具、以及所有机构设施，包括排水系统，</w:t>
            </w:r>
            <w:r>
              <w:rPr>
                <w:color w:val="auto"/>
                <w:spacing w:val="-2"/>
                <w:highlight w:val="none"/>
              </w:rPr>
              <w:t>保持在适当的维护状态和条件下，符合所有卫生程序。</w:t>
            </w:r>
          </w:p>
          <w:p w14:paraId="1E982E29">
            <w:pPr>
              <w:pStyle w:val="10"/>
              <w:spacing w:before="183" w:line="220" w:lineRule="auto"/>
              <w:ind w:left="596"/>
              <w:rPr>
                <w:color w:val="auto"/>
                <w:highlight w:val="none"/>
              </w:rPr>
            </w:pPr>
            <w:r>
              <w:rPr>
                <w:color w:val="auto"/>
                <w:spacing w:val="-3"/>
                <w:highlight w:val="none"/>
              </w:rPr>
              <w:t>6. 展售食品标签正常、正确标识。</w:t>
            </w:r>
          </w:p>
          <w:p w14:paraId="1E02D1E9">
            <w:pPr>
              <w:pStyle w:val="10"/>
              <w:spacing w:before="180" w:line="290" w:lineRule="auto"/>
              <w:ind w:left="115" w:right="216" w:firstLine="484"/>
              <w:rPr>
                <w:color w:val="auto"/>
                <w:highlight w:val="none"/>
              </w:rPr>
            </w:pPr>
            <w:r>
              <w:rPr>
                <w:color w:val="auto"/>
                <w:spacing w:val="-1"/>
                <w:highlight w:val="none"/>
              </w:rPr>
              <w:t>7. 餐厅区域与其他区域的清洁工具（如拖把）不得共用，保持</w:t>
            </w:r>
            <w:r>
              <w:rPr>
                <w:color w:val="auto"/>
                <w:spacing w:val="-2"/>
                <w:highlight w:val="none"/>
              </w:rPr>
              <w:t>无异味。餐厅桌面、地板等就餐区域做到洁净无死角。</w:t>
            </w:r>
          </w:p>
          <w:p w14:paraId="185AE8D4">
            <w:pPr>
              <w:pStyle w:val="10"/>
              <w:spacing w:before="184" w:line="290" w:lineRule="auto"/>
              <w:ind w:left="118" w:right="216" w:firstLine="476"/>
              <w:rPr>
                <w:color w:val="auto"/>
                <w:highlight w:val="none"/>
              </w:rPr>
            </w:pPr>
            <w:r>
              <w:rPr>
                <w:color w:val="auto"/>
                <w:spacing w:val="-3"/>
                <w:highlight w:val="none"/>
              </w:rPr>
              <w:t>以上每发现一次扣</w:t>
            </w:r>
            <w:r>
              <w:rPr>
                <w:color w:val="auto"/>
                <w:spacing w:val="-33"/>
                <w:highlight w:val="none"/>
              </w:rPr>
              <w:t xml:space="preserve"> </w:t>
            </w:r>
            <w:r>
              <w:rPr>
                <w:color w:val="auto"/>
                <w:spacing w:val="-3"/>
                <w:highlight w:val="none"/>
              </w:rPr>
              <w:t>1</w:t>
            </w:r>
            <w:r>
              <w:rPr>
                <w:color w:val="auto"/>
                <w:spacing w:val="-47"/>
                <w:highlight w:val="none"/>
              </w:rPr>
              <w:t xml:space="preserve"> </w:t>
            </w:r>
            <w:r>
              <w:rPr>
                <w:color w:val="auto"/>
                <w:spacing w:val="-3"/>
                <w:highlight w:val="none"/>
              </w:rPr>
              <w:t>分，情节严重的每次可直接扣</w:t>
            </w:r>
            <w:r>
              <w:rPr>
                <w:color w:val="auto"/>
                <w:spacing w:val="-4"/>
                <w:highlight w:val="none"/>
              </w:rPr>
              <w:t>除服务费</w:t>
            </w:r>
            <w:r>
              <w:rPr>
                <w:color w:val="auto"/>
                <w:spacing w:val="-8"/>
                <w:highlight w:val="none"/>
              </w:rPr>
              <w:t>500</w:t>
            </w:r>
            <w:r>
              <w:rPr>
                <w:color w:val="auto"/>
                <w:spacing w:val="-47"/>
                <w:highlight w:val="none"/>
              </w:rPr>
              <w:t xml:space="preserve"> </w:t>
            </w:r>
            <w:r>
              <w:rPr>
                <w:color w:val="auto"/>
                <w:spacing w:val="-8"/>
                <w:highlight w:val="none"/>
              </w:rPr>
              <w:t>元。</w:t>
            </w:r>
          </w:p>
        </w:tc>
        <w:tc>
          <w:tcPr>
            <w:tcW w:w="271" w:type="pct"/>
            <w:vAlign w:val="top"/>
          </w:tcPr>
          <w:p w14:paraId="533904C7">
            <w:pPr>
              <w:rPr>
                <w:rFonts w:ascii="Arial"/>
                <w:color w:val="auto"/>
                <w:sz w:val="21"/>
                <w:highlight w:val="none"/>
              </w:rPr>
            </w:pPr>
          </w:p>
        </w:tc>
      </w:tr>
      <w:tr w14:paraId="3B25AC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608" w:type="pct"/>
            <w:vMerge w:val="continue"/>
            <w:tcBorders>
              <w:top w:val="single" w:color="auto" w:sz="4" w:space="0"/>
              <w:left w:val="single" w:color="auto" w:sz="4" w:space="0"/>
            </w:tcBorders>
            <w:vAlign w:val="top"/>
          </w:tcPr>
          <w:p w14:paraId="1908C7F9">
            <w:pPr>
              <w:rPr>
                <w:rFonts w:ascii="Arial"/>
                <w:color w:val="auto"/>
                <w:sz w:val="21"/>
                <w:highlight w:val="none"/>
              </w:rPr>
            </w:pPr>
          </w:p>
        </w:tc>
        <w:tc>
          <w:tcPr>
            <w:tcW w:w="493" w:type="pct"/>
            <w:tcBorders>
              <w:top w:val="single" w:color="auto" w:sz="4" w:space="0"/>
            </w:tcBorders>
            <w:vAlign w:val="center"/>
          </w:tcPr>
          <w:p w14:paraId="5AA5D382">
            <w:pPr>
              <w:spacing w:line="271" w:lineRule="auto"/>
              <w:jc w:val="center"/>
              <w:rPr>
                <w:rFonts w:ascii="Arial"/>
                <w:color w:val="auto"/>
                <w:sz w:val="21"/>
                <w:highlight w:val="none"/>
              </w:rPr>
            </w:pPr>
          </w:p>
          <w:p w14:paraId="073CF49F">
            <w:pPr>
              <w:spacing w:line="271" w:lineRule="auto"/>
              <w:jc w:val="center"/>
              <w:rPr>
                <w:rFonts w:ascii="Arial"/>
                <w:color w:val="auto"/>
                <w:sz w:val="21"/>
                <w:highlight w:val="none"/>
              </w:rPr>
            </w:pPr>
          </w:p>
          <w:p w14:paraId="3339CD56">
            <w:pPr>
              <w:spacing w:line="271" w:lineRule="auto"/>
              <w:jc w:val="center"/>
              <w:rPr>
                <w:rFonts w:ascii="Arial"/>
                <w:color w:val="auto"/>
                <w:sz w:val="21"/>
                <w:highlight w:val="none"/>
              </w:rPr>
            </w:pPr>
          </w:p>
          <w:p w14:paraId="2DF26A20">
            <w:pPr>
              <w:spacing w:line="271" w:lineRule="auto"/>
              <w:jc w:val="center"/>
              <w:rPr>
                <w:rFonts w:ascii="Arial"/>
                <w:color w:val="auto"/>
                <w:sz w:val="21"/>
                <w:highlight w:val="none"/>
              </w:rPr>
            </w:pPr>
          </w:p>
          <w:p w14:paraId="01BDD811">
            <w:pPr>
              <w:spacing w:line="272" w:lineRule="auto"/>
              <w:jc w:val="center"/>
              <w:rPr>
                <w:rFonts w:ascii="Arial"/>
                <w:color w:val="auto"/>
                <w:sz w:val="21"/>
                <w:highlight w:val="none"/>
              </w:rPr>
            </w:pPr>
          </w:p>
          <w:p w14:paraId="2BE63406">
            <w:pPr>
              <w:spacing w:line="272" w:lineRule="auto"/>
              <w:jc w:val="center"/>
              <w:rPr>
                <w:rFonts w:ascii="Arial"/>
                <w:color w:val="auto"/>
                <w:sz w:val="21"/>
                <w:highlight w:val="none"/>
              </w:rPr>
            </w:pPr>
          </w:p>
          <w:p w14:paraId="13AF6882">
            <w:pPr>
              <w:spacing w:line="272" w:lineRule="auto"/>
              <w:jc w:val="center"/>
              <w:rPr>
                <w:rFonts w:ascii="Arial"/>
                <w:color w:val="auto"/>
                <w:sz w:val="21"/>
                <w:highlight w:val="none"/>
              </w:rPr>
            </w:pPr>
          </w:p>
          <w:p w14:paraId="2BA35B30">
            <w:pPr>
              <w:pStyle w:val="10"/>
              <w:keepNext w:val="0"/>
              <w:keepLines w:val="0"/>
              <w:pageBreakBefore w:val="0"/>
              <w:widowControl/>
              <w:kinsoku w:val="0"/>
              <w:wordWrap/>
              <w:overflowPunct/>
              <w:topLinePunct w:val="0"/>
              <w:autoSpaceDE w:val="0"/>
              <w:autoSpaceDN w:val="0"/>
              <w:bidi w:val="0"/>
              <w:adjustRightInd w:val="0"/>
              <w:snapToGrid w:val="0"/>
              <w:spacing w:line="365" w:lineRule="auto"/>
              <w:ind w:left="0" w:right="0" w:firstLine="0"/>
              <w:jc w:val="center"/>
              <w:textAlignment w:val="baseline"/>
              <w:rPr>
                <w:color w:val="auto"/>
                <w:highlight w:val="none"/>
              </w:rPr>
            </w:pPr>
            <w:r>
              <w:rPr>
                <w:color w:val="auto"/>
                <w:spacing w:val="-9"/>
                <w:highlight w:val="none"/>
              </w:rPr>
              <w:t>防范措</w:t>
            </w:r>
            <w:r>
              <w:rPr>
                <w:color w:val="auto"/>
                <w:highlight w:val="none"/>
              </w:rPr>
              <w:t>施</w:t>
            </w:r>
          </w:p>
        </w:tc>
        <w:tc>
          <w:tcPr>
            <w:tcW w:w="3625" w:type="pct"/>
            <w:vAlign w:val="top"/>
          </w:tcPr>
          <w:p w14:paraId="2A54F927">
            <w:pPr>
              <w:pStyle w:val="10"/>
              <w:spacing w:before="119" w:line="313" w:lineRule="auto"/>
              <w:ind w:left="114" w:right="19" w:firstLine="497"/>
              <w:rPr>
                <w:color w:val="auto"/>
                <w:highlight w:val="none"/>
              </w:rPr>
            </w:pPr>
            <w:r>
              <w:rPr>
                <w:color w:val="auto"/>
                <w:spacing w:val="-1"/>
                <w:highlight w:val="none"/>
              </w:rPr>
              <w:t>1. 每日严格执行晨检制度，当有发热、腹泻、皮肤伤口有碍食品安全病症的人员，应立即离开岗位，治愈后方可重新上岗，餐厅工</w:t>
            </w:r>
            <w:r>
              <w:rPr>
                <w:color w:val="auto"/>
                <w:spacing w:val="-6"/>
                <w:highlight w:val="none"/>
              </w:rPr>
              <w:t>作人员具备符合要求的健康证：健康证在有效期内（发票不能代替）。</w:t>
            </w:r>
          </w:p>
          <w:p w14:paraId="234D210F">
            <w:pPr>
              <w:pStyle w:val="10"/>
              <w:spacing w:before="182" w:line="220" w:lineRule="auto"/>
              <w:ind w:left="597"/>
              <w:rPr>
                <w:color w:val="auto"/>
                <w:highlight w:val="none"/>
              </w:rPr>
            </w:pPr>
            <w:r>
              <w:rPr>
                <w:color w:val="auto"/>
                <w:spacing w:val="-2"/>
                <w:highlight w:val="none"/>
              </w:rPr>
              <w:t>2. 入职一个星期包括一个星期的员工必须有有效的健康证。</w:t>
            </w:r>
          </w:p>
          <w:p w14:paraId="5010C868">
            <w:pPr>
              <w:pStyle w:val="10"/>
              <w:spacing w:before="183" w:line="313" w:lineRule="auto"/>
              <w:ind w:left="112" w:right="113" w:firstLine="486"/>
              <w:rPr>
                <w:color w:val="auto"/>
                <w:highlight w:val="none"/>
              </w:rPr>
            </w:pPr>
            <w:r>
              <w:rPr>
                <w:color w:val="auto"/>
                <w:spacing w:val="-5"/>
                <w:highlight w:val="none"/>
              </w:rPr>
              <w:t>3. 工作人员仪容仪表符合要求，衣着干</w:t>
            </w:r>
            <w:r>
              <w:rPr>
                <w:color w:val="auto"/>
                <w:spacing w:val="-6"/>
                <w:highlight w:val="none"/>
              </w:rPr>
              <w:t>净、齐全、佩带正确（帽</w:t>
            </w:r>
            <w:r>
              <w:rPr>
                <w:color w:val="auto"/>
                <w:spacing w:val="-1"/>
                <w:highlight w:val="none"/>
              </w:rPr>
              <w:t>子、发网、围裙等</w:t>
            </w:r>
            <w:r>
              <w:rPr>
                <w:color w:val="auto"/>
                <w:spacing w:val="1"/>
                <w:highlight w:val="none"/>
              </w:rPr>
              <w:t>），</w:t>
            </w:r>
            <w:r>
              <w:rPr>
                <w:color w:val="auto"/>
                <w:spacing w:val="-1"/>
                <w:highlight w:val="none"/>
              </w:rPr>
              <w:t>员工佩戴口罩符合要求，在食品加工区域禁止</w:t>
            </w:r>
            <w:r>
              <w:rPr>
                <w:color w:val="auto"/>
                <w:spacing w:val="-3"/>
                <w:highlight w:val="none"/>
              </w:rPr>
              <w:t>佩戴首饰（戒指、耳环、垂饰、手表等）。</w:t>
            </w:r>
          </w:p>
          <w:p w14:paraId="78B86357">
            <w:pPr>
              <w:pStyle w:val="10"/>
              <w:spacing w:before="182" w:line="220" w:lineRule="auto"/>
              <w:ind w:left="593"/>
              <w:rPr>
                <w:color w:val="auto"/>
                <w:highlight w:val="none"/>
              </w:rPr>
            </w:pPr>
            <w:r>
              <w:rPr>
                <w:color w:val="auto"/>
                <w:spacing w:val="-2"/>
                <w:highlight w:val="none"/>
              </w:rPr>
              <w:t>4. 男工作人员头发的长度前面不超过眉毛、侧面不超过耳垂、</w:t>
            </w:r>
          </w:p>
          <w:p w14:paraId="4449CD61">
            <w:pPr>
              <w:pStyle w:val="10"/>
              <w:spacing w:before="120" w:line="219" w:lineRule="auto"/>
              <w:ind w:left="599"/>
              <w:rPr>
                <w:color w:val="auto"/>
                <w:spacing w:val="-17"/>
                <w:highlight w:val="none"/>
              </w:rPr>
            </w:pPr>
            <w:r>
              <w:rPr>
                <w:color w:val="auto"/>
                <w:spacing w:val="-7"/>
                <w:highlight w:val="none"/>
              </w:rPr>
              <w:t>后面不超过衣领。女工作人员长发应扎起，且头发应全部放置工作帽</w:t>
            </w:r>
            <w:r>
              <w:rPr>
                <w:color w:val="auto"/>
                <w:spacing w:val="-17"/>
                <w:highlight w:val="none"/>
              </w:rPr>
              <w:t>中。</w:t>
            </w:r>
          </w:p>
          <w:p w14:paraId="738E1E45">
            <w:pPr>
              <w:pStyle w:val="10"/>
              <w:spacing w:before="120" w:line="219" w:lineRule="auto"/>
              <w:ind w:left="599"/>
              <w:rPr>
                <w:color w:val="auto"/>
                <w:highlight w:val="none"/>
              </w:rPr>
            </w:pPr>
            <w:r>
              <w:rPr>
                <w:color w:val="auto"/>
                <w:spacing w:val="-1"/>
                <w:highlight w:val="none"/>
              </w:rPr>
              <w:t>5. 餐厅工作人员有无蓄留指甲、涂指甲油或戴假指甲等现象</w:t>
            </w:r>
          </w:p>
          <w:p w14:paraId="66D78FA1">
            <w:pPr>
              <w:pStyle w:val="10"/>
              <w:spacing w:before="182" w:line="220" w:lineRule="auto"/>
              <w:ind w:left="596"/>
              <w:rPr>
                <w:color w:val="auto"/>
                <w:highlight w:val="none"/>
              </w:rPr>
            </w:pPr>
            <w:r>
              <w:rPr>
                <w:color w:val="auto"/>
                <w:spacing w:val="-3"/>
                <w:highlight w:val="none"/>
              </w:rPr>
              <w:t>6. 在食品区域内张贴员工个人规范示意图。</w:t>
            </w:r>
          </w:p>
          <w:p w14:paraId="2F7E73FB">
            <w:pPr>
              <w:pStyle w:val="10"/>
              <w:spacing w:before="182" w:line="290" w:lineRule="auto"/>
              <w:ind w:left="112" w:right="216" w:firstLine="487"/>
              <w:rPr>
                <w:color w:val="auto"/>
                <w:highlight w:val="none"/>
              </w:rPr>
            </w:pPr>
            <w:r>
              <w:rPr>
                <w:color w:val="auto"/>
                <w:spacing w:val="-1"/>
                <w:highlight w:val="none"/>
              </w:rPr>
              <w:t>7. 专间操作人员进入专间时应再次更换专间内专用工作衣帽并佩戴口罩，专间每次使用前后，紫外线开启至少</w:t>
            </w:r>
            <w:r>
              <w:rPr>
                <w:color w:val="auto"/>
                <w:spacing w:val="-42"/>
                <w:highlight w:val="none"/>
              </w:rPr>
              <w:t xml:space="preserve"> </w:t>
            </w:r>
            <w:r>
              <w:rPr>
                <w:color w:val="auto"/>
                <w:spacing w:val="-1"/>
                <w:highlight w:val="none"/>
              </w:rPr>
              <w:t>30min。</w:t>
            </w:r>
          </w:p>
          <w:p w14:paraId="7CE62F59">
            <w:pPr>
              <w:pStyle w:val="10"/>
              <w:spacing w:before="183" w:line="289" w:lineRule="auto"/>
              <w:ind w:left="114" w:right="216" w:firstLine="480"/>
              <w:rPr>
                <w:color w:val="auto"/>
                <w:highlight w:val="none"/>
              </w:rPr>
            </w:pPr>
            <w:r>
              <w:rPr>
                <w:color w:val="auto"/>
                <w:spacing w:val="-1"/>
                <w:highlight w:val="none"/>
              </w:rPr>
              <w:t>8. 应在指定区域进食、喝水、嚼口香糖和吸烟，厨房及相关区</w:t>
            </w:r>
            <w:r>
              <w:rPr>
                <w:color w:val="auto"/>
                <w:spacing w:val="-3"/>
                <w:highlight w:val="none"/>
              </w:rPr>
              <w:t>域不得存放私人物品，如水杯，药片等。</w:t>
            </w:r>
          </w:p>
          <w:p w14:paraId="59509181">
            <w:pPr>
              <w:pStyle w:val="10"/>
              <w:spacing w:before="182" w:line="290" w:lineRule="auto"/>
              <w:ind w:left="117" w:right="251" w:firstLine="477"/>
              <w:rPr>
                <w:color w:val="auto"/>
                <w:highlight w:val="none"/>
              </w:rPr>
            </w:pPr>
            <w:r>
              <w:rPr>
                <w:color w:val="auto"/>
                <w:spacing w:val="-2"/>
                <w:highlight w:val="none"/>
              </w:rPr>
              <w:t>9. 非食品工作人员进入工作区域，应按上述要求穿着工作服、</w:t>
            </w:r>
            <w:r>
              <w:rPr>
                <w:color w:val="auto"/>
                <w:spacing w:val="-6"/>
                <w:highlight w:val="none"/>
              </w:rPr>
              <w:t>发网及鞋套等。</w:t>
            </w:r>
          </w:p>
          <w:p w14:paraId="1302B0AB">
            <w:pPr>
              <w:pStyle w:val="10"/>
              <w:spacing w:before="185" w:line="290" w:lineRule="auto"/>
              <w:ind w:left="112" w:right="101" w:firstLine="499"/>
              <w:rPr>
                <w:color w:val="auto"/>
                <w:highlight w:val="none"/>
              </w:rPr>
            </w:pPr>
            <w:r>
              <w:rPr>
                <w:color w:val="auto"/>
                <w:spacing w:val="-7"/>
                <w:highlight w:val="none"/>
              </w:rPr>
              <w:t>10.</w:t>
            </w:r>
            <w:r>
              <w:rPr>
                <w:color w:val="auto"/>
                <w:spacing w:val="101"/>
                <w:highlight w:val="none"/>
              </w:rPr>
              <w:t xml:space="preserve"> </w:t>
            </w:r>
            <w:r>
              <w:rPr>
                <w:color w:val="auto"/>
                <w:spacing w:val="-7"/>
                <w:highlight w:val="none"/>
              </w:rPr>
              <w:t>应有充足的洗手液、纸巾及干手设施，</w:t>
            </w:r>
            <w:r>
              <w:rPr>
                <w:color w:val="auto"/>
                <w:spacing w:val="-46"/>
                <w:highlight w:val="none"/>
              </w:rPr>
              <w:t xml:space="preserve"> </w:t>
            </w:r>
            <w:r>
              <w:rPr>
                <w:color w:val="auto"/>
                <w:spacing w:val="-7"/>
                <w:highlight w:val="none"/>
              </w:rPr>
              <w:t>并张贴正</w:t>
            </w:r>
            <w:r>
              <w:rPr>
                <w:color w:val="auto"/>
                <w:spacing w:val="-8"/>
                <w:highlight w:val="none"/>
              </w:rPr>
              <w:t>确的洗手程</w:t>
            </w:r>
            <w:r>
              <w:rPr>
                <w:color w:val="auto"/>
                <w:spacing w:val="-11"/>
                <w:highlight w:val="none"/>
              </w:rPr>
              <w:t>序。</w:t>
            </w:r>
          </w:p>
          <w:p w14:paraId="7E4D05F2">
            <w:pPr>
              <w:pStyle w:val="10"/>
              <w:spacing w:before="181" w:line="313" w:lineRule="auto"/>
              <w:ind w:left="116" w:right="101" w:firstLine="495"/>
              <w:rPr>
                <w:color w:val="auto"/>
                <w:highlight w:val="none"/>
              </w:rPr>
            </w:pPr>
            <w:r>
              <w:rPr>
                <w:color w:val="auto"/>
                <w:spacing w:val="-5"/>
                <w:highlight w:val="none"/>
              </w:rPr>
              <w:t>11.</w:t>
            </w:r>
            <w:r>
              <w:rPr>
                <w:color w:val="auto"/>
                <w:spacing w:val="112"/>
                <w:highlight w:val="none"/>
              </w:rPr>
              <w:t xml:space="preserve"> </w:t>
            </w:r>
            <w:r>
              <w:rPr>
                <w:color w:val="auto"/>
                <w:spacing w:val="-5"/>
                <w:highlight w:val="none"/>
              </w:rPr>
              <w:t>餐厅应指定虫害控制管理人员，负责与虫害控制活动</w:t>
            </w:r>
            <w:r>
              <w:rPr>
                <w:rFonts w:hint="eastAsia"/>
                <w:color w:val="auto"/>
                <w:spacing w:val="-5"/>
                <w:highlight w:val="none"/>
                <w:lang w:val="en-US" w:eastAsia="zh-CN"/>
              </w:rPr>
              <w:t>,</w:t>
            </w:r>
            <w:r>
              <w:rPr>
                <w:color w:val="auto"/>
                <w:spacing w:val="-2"/>
                <w:highlight w:val="none"/>
              </w:rPr>
              <w:t>定期分析对虫害活动的趋势。</w:t>
            </w:r>
          </w:p>
          <w:p w14:paraId="72076380">
            <w:pPr>
              <w:pStyle w:val="10"/>
              <w:spacing w:before="182" w:line="290" w:lineRule="auto"/>
              <w:ind w:left="135" w:right="102" w:hanging="20"/>
              <w:rPr>
                <w:color w:val="auto"/>
                <w:highlight w:val="none"/>
              </w:rPr>
            </w:pPr>
            <w:r>
              <w:rPr>
                <w:color w:val="auto"/>
                <w:spacing w:val="-6"/>
                <w:highlight w:val="none"/>
              </w:rPr>
              <w:t>（发现违反上述规定，每次扣 1</w:t>
            </w:r>
            <w:r>
              <w:rPr>
                <w:color w:val="auto"/>
                <w:spacing w:val="-36"/>
                <w:highlight w:val="none"/>
              </w:rPr>
              <w:t xml:space="preserve"> </w:t>
            </w:r>
            <w:r>
              <w:rPr>
                <w:color w:val="auto"/>
                <w:spacing w:val="-6"/>
                <w:highlight w:val="none"/>
              </w:rPr>
              <w:t>分）</w:t>
            </w:r>
          </w:p>
        </w:tc>
        <w:tc>
          <w:tcPr>
            <w:tcW w:w="271" w:type="pct"/>
            <w:vAlign w:val="top"/>
          </w:tcPr>
          <w:p w14:paraId="5C8B31B9">
            <w:pPr>
              <w:rPr>
                <w:rFonts w:ascii="Arial"/>
                <w:color w:val="auto"/>
                <w:sz w:val="21"/>
                <w:highlight w:val="none"/>
              </w:rPr>
            </w:pPr>
          </w:p>
        </w:tc>
      </w:tr>
      <w:tr w14:paraId="5458FE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08" w:type="pct"/>
            <w:vAlign w:val="center"/>
          </w:tcPr>
          <w:p w14:paraId="1D2008CB">
            <w:pPr>
              <w:spacing w:line="259" w:lineRule="auto"/>
              <w:jc w:val="center"/>
              <w:rPr>
                <w:rFonts w:ascii="Arial"/>
                <w:color w:val="auto"/>
                <w:sz w:val="21"/>
                <w:highlight w:val="none"/>
              </w:rPr>
            </w:pPr>
          </w:p>
          <w:p w14:paraId="186420C3">
            <w:pPr>
              <w:pStyle w:val="10"/>
              <w:spacing w:before="78" w:line="368" w:lineRule="auto"/>
              <w:ind w:left="283" w:right="148" w:hanging="125"/>
              <w:jc w:val="center"/>
              <w:rPr>
                <w:color w:val="auto"/>
                <w:highlight w:val="none"/>
              </w:rPr>
            </w:pPr>
            <w:r>
              <w:rPr>
                <w:color w:val="auto"/>
                <w:spacing w:val="-3"/>
                <w:highlight w:val="none"/>
              </w:rPr>
              <w:t>质量标准</w:t>
            </w:r>
            <w:r>
              <w:rPr>
                <w:color w:val="auto"/>
                <w:spacing w:val="-4"/>
                <w:highlight w:val="none"/>
              </w:rPr>
              <w:t>（25）</w:t>
            </w:r>
          </w:p>
        </w:tc>
        <w:tc>
          <w:tcPr>
            <w:tcW w:w="493" w:type="pct"/>
            <w:vAlign w:val="center"/>
          </w:tcPr>
          <w:p w14:paraId="44625404">
            <w:pPr>
              <w:pStyle w:val="10"/>
              <w:keepNext w:val="0"/>
              <w:keepLines w:val="0"/>
              <w:pageBreakBefore w:val="0"/>
              <w:widowControl/>
              <w:kinsoku w:val="0"/>
              <w:wordWrap/>
              <w:overflowPunct/>
              <w:topLinePunct w:val="0"/>
              <w:autoSpaceDE w:val="0"/>
              <w:autoSpaceDN w:val="0"/>
              <w:bidi w:val="0"/>
              <w:adjustRightInd w:val="0"/>
              <w:snapToGrid w:val="0"/>
              <w:spacing w:line="365" w:lineRule="auto"/>
              <w:ind w:right="0"/>
              <w:jc w:val="center"/>
              <w:textAlignment w:val="baseline"/>
              <w:rPr>
                <w:color w:val="auto"/>
                <w:highlight w:val="none"/>
              </w:rPr>
            </w:pPr>
            <w:r>
              <w:rPr>
                <w:color w:val="auto"/>
                <w:spacing w:val="12"/>
                <w:highlight w:val="none"/>
              </w:rPr>
              <w:t>出品质</w:t>
            </w:r>
            <w:r>
              <w:rPr>
                <w:color w:val="auto"/>
                <w:highlight w:val="none"/>
              </w:rPr>
              <w:t>量</w:t>
            </w:r>
          </w:p>
        </w:tc>
        <w:tc>
          <w:tcPr>
            <w:tcW w:w="3625" w:type="pct"/>
            <w:vAlign w:val="top"/>
          </w:tcPr>
          <w:p w14:paraId="1AE0A6A9">
            <w:pPr>
              <w:pStyle w:val="10"/>
              <w:spacing w:before="39" w:line="220" w:lineRule="auto"/>
              <w:ind w:left="612"/>
              <w:rPr>
                <w:color w:val="auto"/>
                <w:highlight w:val="none"/>
              </w:rPr>
            </w:pPr>
            <w:r>
              <w:rPr>
                <w:color w:val="auto"/>
                <w:spacing w:val="-4"/>
                <w:highlight w:val="none"/>
              </w:rPr>
              <w:t xml:space="preserve">1. </w:t>
            </w:r>
            <w:r>
              <w:rPr>
                <w:color w:val="auto"/>
                <w:spacing w:val="-4"/>
                <w:highlight w:val="none"/>
              </w:rPr>
              <w:t>早餐、中餐、晚餐菜式每少</w:t>
            </w:r>
            <w:r>
              <w:rPr>
                <w:color w:val="auto"/>
                <w:spacing w:val="-21"/>
                <w:highlight w:val="none"/>
              </w:rPr>
              <w:t xml:space="preserve"> </w:t>
            </w:r>
            <w:r>
              <w:rPr>
                <w:color w:val="auto"/>
                <w:spacing w:val="-4"/>
                <w:highlight w:val="none"/>
              </w:rPr>
              <w:t>1</w:t>
            </w:r>
            <w:r>
              <w:rPr>
                <w:color w:val="auto"/>
                <w:spacing w:val="-50"/>
                <w:highlight w:val="none"/>
              </w:rPr>
              <w:t xml:space="preserve"> </w:t>
            </w:r>
            <w:r>
              <w:rPr>
                <w:color w:val="auto"/>
                <w:spacing w:val="-4"/>
                <w:highlight w:val="none"/>
              </w:rPr>
              <w:t>款，每次每款扣</w:t>
            </w:r>
            <w:r>
              <w:rPr>
                <w:color w:val="auto"/>
                <w:spacing w:val="-48"/>
                <w:highlight w:val="none"/>
              </w:rPr>
              <w:t xml:space="preserve"> </w:t>
            </w:r>
            <w:r>
              <w:rPr>
                <w:color w:val="auto"/>
                <w:spacing w:val="-4"/>
                <w:highlight w:val="none"/>
              </w:rPr>
              <w:t>0.5</w:t>
            </w:r>
            <w:r>
              <w:rPr>
                <w:color w:val="auto"/>
                <w:spacing w:val="-48"/>
                <w:highlight w:val="none"/>
              </w:rPr>
              <w:t xml:space="preserve"> </w:t>
            </w:r>
            <w:r>
              <w:rPr>
                <w:color w:val="auto"/>
                <w:spacing w:val="-4"/>
                <w:highlight w:val="none"/>
              </w:rPr>
              <w:t>分。</w:t>
            </w:r>
          </w:p>
          <w:p w14:paraId="1FC6024F">
            <w:pPr>
              <w:pStyle w:val="10"/>
              <w:spacing w:before="182" w:line="220" w:lineRule="auto"/>
              <w:ind w:left="597"/>
              <w:rPr>
                <w:color w:val="auto"/>
                <w:highlight w:val="none"/>
              </w:rPr>
            </w:pPr>
            <w:r>
              <w:rPr>
                <w:color w:val="auto"/>
                <w:spacing w:val="-3"/>
                <w:highlight w:val="none"/>
              </w:rPr>
              <w:t>2. 厨师长应每月推出</w:t>
            </w:r>
            <w:r>
              <w:rPr>
                <w:color w:val="auto"/>
                <w:spacing w:val="-52"/>
                <w:highlight w:val="none"/>
              </w:rPr>
              <w:t xml:space="preserve"> </w:t>
            </w:r>
            <w:r>
              <w:rPr>
                <w:color w:val="auto"/>
                <w:spacing w:val="-3"/>
                <w:highlight w:val="none"/>
              </w:rPr>
              <w:t>4</w:t>
            </w:r>
            <w:r>
              <w:rPr>
                <w:color w:val="auto"/>
                <w:spacing w:val="-49"/>
                <w:highlight w:val="none"/>
              </w:rPr>
              <w:t xml:space="preserve"> </w:t>
            </w:r>
            <w:r>
              <w:rPr>
                <w:color w:val="auto"/>
                <w:spacing w:val="-3"/>
                <w:highlight w:val="none"/>
              </w:rPr>
              <w:t>款以上新菜式，每少一款扣</w:t>
            </w:r>
            <w:r>
              <w:rPr>
                <w:color w:val="auto"/>
                <w:spacing w:val="-32"/>
                <w:highlight w:val="none"/>
              </w:rPr>
              <w:t xml:space="preserve"> </w:t>
            </w:r>
            <w:r>
              <w:rPr>
                <w:color w:val="auto"/>
                <w:spacing w:val="-3"/>
                <w:highlight w:val="none"/>
              </w:rPr>
              <w:t>1</w:t>
            </w:r>
            <w:r>
              <w:rPr>
                <w:color w:val="auto"/>
                <w:spacing w:val="-48"/>
                <w:highlight w:val="none"/>
              </w:rPr>
              <w:t xml:space="preserve"> </w:t>
            </w:r>
            <w:r>
              <w:rPr>
                <w:color w:val="auto"/>
                <w:spacing w:val="-4"/>
                <w:highlight w:val="none"/>
              </w:rPr>
              <w:t>分。</w:t>
            </w:r>
          </w:p>
          <w:p w14:paraId="66E6F267">
            <w:pPr>
              <w:pStyle w:val="10"/>
              <w:spacing w:before="179" w:line="220" w:lineRule="auto"/>
              <w:ind w:left="599"/>
              <w:rPr>
                <w:color w:val="auto"/>
                <w:highlight w:val="none"/>
              </w:rPr>
            </w:pPr>
            <w:r>
              <w:rPr>
                <w:color w:val="auto"/>
                <w:spacing w:val="-3"/>
                <w:highlight w:val="none"/>
              </w:rPr>
              <w:t>3. 点心主管每月推出</w:t>
            </w:r>
            <w:r>
              <w:rPr>
                <w:color w:val="auto"/>
                <w:spacing w:val="-48"/>
                <w:highlight w:val="none"/>
              </w:rPr>
              <w:t xml:space="preserve"> </w:t>
            </w:r>
            <w:r>
              <w:rPr>
                <w:color w:val="auto"/>
                <w:spacing w:val="-3"/>
                <w:highlight w:val="none"/>
              </w:rPr>
              <w:t>2</w:t>
            </w:r>
            <w:r>
              <w:rPr>
                <w:color w:val="auto"/>
                <w:spacing w:val="-49"/>
                <w:highlight w:val="none"/>
              </w:rPr>
              <w:t xml:space="preserve"> </w:t>
            </w:r>
            <w:r>
              <w:rPr>
                <w:color w:val="auto"/>
                <w:spacing w:val="-3"/>
                <w:highlight w:val="none"/>
              </w:rPr>
              <w:t>款以上新面点，</w:t>
            </w:r>
            <w:r>
              <w:rPr>
                <w:color w:val="auto"/>
                <w:spacing w:val="-4"/>
                <w:highlight w:val="none"/>
              </w:rPr>
              <w:t>每少一款扣</w:t>
            </w:r>
            <w:r>
              <w:rPr>
                <w:color w:val="auto"/>
                <w:spacing w:val="-32"/>
                <w:highlight w:val="none"/>
              </w:rPr>
              <w:t xml:space="preserve"> </w:t>
            </w:r>
            <w:r>
              <w:rPr>
                <w:color w:val="auto"/>
                <w:spacing w:val="-4"/>
                <w:highlight w:val="none"/>
              </w:rPr>
              <w:t>1</w:t>
            </w:r>
            <w:r>
              <w:rPr>
                <w:color w:val="auto"/>
                <w:spacing w:val="-48"/>
                <w:highlight w:val="none"/>
              </w:rPr>
              <w:t xml:space="preserve"> </w:t>
            </w:r>
            <w:r>
              <w:rPr>
                <w:color w:val="auto"/>
                <w:spacing w:val="-4"/>
                <w:highlight w:val="none"/>
              </w:rPr>
              <w:t>分。</w:t>
            </w:r>
          </w:p>
          <w:p w14:paraId="3B741B42">
            <w:pPr>
              <w:pStyle w:val="10"/>
              <w:spacing w:before="183" w:line="288" w:lineRule="auto"/>
              <w:ind w:left="115" w:right="101" w:firstLine="477"/>
              <w:rPr>
                <w:color w:val="auto"/>
                <w:highlight w:val="none"/>
              </w:rPr>
            </w:pPr>
            <w:r>
              <w:rPr>
                <w:color w:val="auto"/>
                <w:spacing w:val="3"/>
                <w:highlight w:val="none"/>
              </w:rPr>
              <w:t>4. 新菜式应提前一周做出样品给</w:t>
            </w:r>
            <w:r>
              <w:rPr>
                <w:rFonts w:hint="eastAsia"/>
                <w:color w:val="auto"/>
                <w:spacing w:val="3"/>
                <w:highlight w:val="none"/>
                <w:lang w:eastAsia="zh-CN"/>
              </w:rPr>
              <w:t>招租方</w:t>
            </w:r>
            <w:r>
              <w:rPr>
                <w:color w:val="auto"/>
                <w:spacing w:val="3"/>
                <w:highlight w:val="none"/>
              </w:rPr>
              <w:t>试尝，并经</w:t>
            </w:r>
            <w:r>
              <w:rPr>
                <w:rFonts w:hint="eastAsia"/>
                <w:color w:val="auto"/>
                <w:spacing w:val="3"/>
                <w:highlight w:val="none"/>
                <w:lang w:eastAsia="zh-CN"/>
              </w:rPr>
              <w:t>招租方</w:t>
            </w:r>
            <w:r>
              <w:rPr>
                <w:color w:val="auto"/>
                <w:spacing w:val="3"/>
                <w:highlight w:val="none"/>
              </w:rPr>
              <w:t>同意</w:t>
            </w:r>
            <w:r>
              <w:rPr>
                <w:color w:val="auto"/>
                <w:spacing w:val="-2"/>
                <w:highlight w:val="none"/>
              </w:rPr>
              <w:t>后方能出餐，如未经</w:t>
            </w:r>
            <w:r>
              <w:rPr>
                <w:rFonts w:hint="eastAsia"/>
                <w:color w:val="auto"/>
                <w:spacing w:val="-2"/>
                <w:highlight w:val="none"/>
                <w:lang w:eastAsia="zh-CN"/>
              </w:rPr>
              <w:t>招租方</w:t>
            </w:r>
            <w:r>
              <w:rPr>
                <w:color w:val="auto"/>
                <w:spacing w:val="-2"/>
                <w:highlight w:val="none"/>
              </w:rPr>
              <w:t>同意私自出餐，每次扣</w:t>
            </w:r>
            <w:r>
              <w:rPr>
                <w:color w:val="auto"/>
                <w:spacing w:val="-45"/>
                <w:highlight w:val="none"/>
              </w:rPr>
              <w:t xml:space="preserve"> </w:t>
            </w:r>
            <w:r>
              <w:rPr>
                <w:color w:val="auto"/>
                <w:spacing w:val="-2"/>
                <w:highlight w:val="none"/>
              </w:rPr>
              <w:t>5</w:t>
            </w:r>
            <w:r>
              <w:rPr>
                <w:color w:val="auto"/>
                <w:spacing w:val="-47"/>
                <w:highlight w:val="none"/>
              </w:rPr>
              <w:t xml:space="preserve"> </w:t>
            </w:r>
            <w:r>
              <w:rPr>
                <w:color w:val="auto"/>
                <w:spacing w:val="-2"/>
                <w:highlight w:val="none"/>
              </w:rPr>
              <w:t>分。</w:t>
            </w:r>
          </w:p>
          <w:p w14:paraId="7F58CE28">
            <w:pPr>
              <w:pStyle w:val="10"/>
              <w:spacing w:before="182" w:line="220" w:lineRule="auto"/>
              <w:ind w:left="599"/>
              <w:rPr>
                <w:color w:val="auto"/>
                <w:highlight w:val="none"/>
              </w:rPr>
            </w:pPr>
            <w:r>
              <w:rPr>
                <w:color w:val="auto"/>
                <w:spacing w:val="-2"/>
                <w:highlight w:val="none"/>
              </w:rPr>
              <w:t>5. 应每周按规定更换菜单，如延迟、无更换，每次扣</w:t>
            </w:r>
            <w:r>
              <w:rPr>
                <w:color w:val="auto"/>
                <w:spacing w:val="-42"/>
                <w:highlight w:val="none"/>
              </w:rPr>
              <w:t xml:space="preserve"> </w:t>
            </w:r>
            <w:r>
              <w:rPr>
                <w:color w:val="auto"/>
                <w:spacing w:val="-2"/>
                <w:highlight w:val="none"/>
              </w:rPr>
              <w:t>5</w:t>
            </w:r>
            <w:r>
              <w:rPr>
                <w:color w:val="auto"/>
                <w:spacing w:val="-48"/>
                <w:highlight w:val="none"/>
              </w:rPr>
              <w:t xml:space="preserve"> </w:t>
            </w:r>
            <w:r>
              <w:rPr>
                <w:color w:val="auto"/>
                <w:spacing w:val="-2"/>
                <w:highlight w:val="none"/>
              </w:rPr>
              <w:t>分。</w:t>
            </w:r>
          </w:p>
          <w:p w14:paraId="0969F9D8">
            <w:pPr>
              <w:pStyle w:val="10"/>
              <w:spacing w:before="180" w:line="290" w:lineRule="auto"/>
              <w:ind w:left="113" w:right="37" w:firstLine="482"/>
              <w:rPr>
                <w:color w:val="auto"/>
                <w:highlight w:val="none"/>
              </w:rPr>
            </w:pPr>
            <w:r>
              <w:rPr>
                <w:color w:val="auto"/>
                <w:spacing w:val="-9"/>
                <w:highlight w:val="none"/>
              </w:rPr>
              <w:t>6. 菜品应不糊、不夹生，软硬适当，</w:t>
            </w:r>
            <w:r>
              <w:rPr>
                <w:color w:val="auto"/>
                <w:spacing w:val="77"/>
                <w:highlight w:val="none"/>
              </w:rPr>
              <w:t xml:space="preserve"> </w:t>
            </w:r>
            <w:r>
              <w:rPr>
                <w:color w:val="auto"/>
                <w:spacing w:val="-9"/>
                <w:highlight w:val="none"/>
              </w:rPr>
              <w:t>如出现过熟、过硬等现象，</w:t>
            </w:r>
            <w:r>
              <w:rPr>
                <w:color w:val="auto"/>
                <w:spacing w:val="-11"/>
                <w:highlight w:val="none"/>
              </w:rPr>
              <w:t>每次扣</w:t>
            </w:r>
            <w:r>
              <w:rPr>
                <w:color w:val="auto"/>
                <w:spacing w:val="-28"/>
                <w:highlight w:val="none"/>
              </w:rPr>
              <w:t xml:space="preserve"> </w:t>
            </w:r>
            <w:r>
              <w:rPr>
                <w:color w:val="auto"/>
                <w:spacing w:val="-11"/>
                <w:highlight w:val="none"/>
              </w:rPr>
              <w:t>1</w:t>
            </w:r>
            <w:r>
              <w:rPr>
                <w:color w:val="auto"/>
                <w:spacing w:val="-48"/>
                <w:highlight w:val="none"/>
              </w:rPr>
              <w:t xml:space="preserve"> </w:t>
            </w:r>
            <w:r>
              <w:rPr>
                <w:color w:val="auto"/>
                <w:spacing w:val="-11"/>
                <w:highlight w:val="none"/>
              </w:rPr>
              <w:t>分。</w:t>
            </w:r>
          </w:p>
          <w:p w14:paraId="5094A23C">
            <w:pPr>
              <w:pStyle w:val="10"/>
              <w:spacing w:before="182" w:line="220" w:lineRule="auto"/>
              <w:ind w:left="600"/>
              <w:rPr>
                <w:color w:val="auto"/>
                <w:highlight w:val="none"/>
              </w:rPr>
            </w:pPr>
            <w:r>
              <w:rPr>
                <w:color w:val="auto"/>
                <w:spacing w:val="-3"/>
                <w:highlight w:val="none"/>
              </w:rPr>
              <w:t>7. 菜品不得出现未熟、半熟、未熟透等现象，每次扣</w:t>
            </w:r>
            <w:r>
              <w:rPr>
                <w:color w:val="auto"/>
                <w:spacing w:val="-15"/>
                <w:highlight w:val="none"/>
              </w:rPr>
              <w:t xml:space="preserve"> </w:t>
            </w:r>
            <w:r>
              <w:rPr>
                <w:color w:val="auto"/>
                <w:spacing w:val="-3"/>
                <w:highlight w:val="none"/>
              </w:rPr>
              <w:t>1</w:t>
            </w:r>
            <w:r>
              <w:rPr>
                <w:color w:val="auto"/>
                <w:spacing w:val="-48"/>
                <w:highlight w:val="none"/>
              </w:rPr>
              <w:t xml:space="preserve"> </w:t>
            </w:r>
            <w:r>
              <w:rPr>
                <w:color w:val="auto"/>
                <w:spacing w:val="-3"/>
                <w:highlight w:val="none"/>
              </w:rPr>
              <w:t>分。</w:t>
            </w:r>
          </w:p>
          <w:p w14:paraId="5CCF788C">
            <w:pPr>
              <w:pStyle w:val="10"/>
              <w:spacing w:before="183" w:line="324" w:lineRule="auto"/>
              <w:ind w:left="114" w:right="100" w:firstLine="480"/>
              <w:rPr>
                <w:color w:val="auto"/>
                <w:spacing w:val="-4"/>
                <w:highlight w:val="none"/>
              </w:rPr>
            </w:pPr>
            <w:r>
              <w:rPr>
                <w:color w:val="auto"/>
                <w:spacing w:val="3"/>
                <w:highlight w:val="none"/>
              </w:rPr>
              <w:t>8. 菜品应色香味俱全，原料新鲜。尤其是海鲜菜肴，口味避免</w:t>
            </w:r>
            <w:r>
              <w:rPr>
                <w:color w:val="auto"/>
                <w:spacing w:val="-1"/>
                <w:highlight w:val="none"/>
              </w:rPr>
              <w:t>过重，不能用调料、大料的味道压住食材本身的味道。</w:t>
            </w:r>
          </w:p>
          <w:p w14:paraId="003CB2E7">
            <w:pPr>
              <w:pStyle w:val="10"/>
              <w:spacing w:before="40" w:line="290" w:lineRule="auto"/>
              <w:ind w:left="113" w:right="101" w:firstLine="481"/>
              <w:rPr>
                <w:color w:val="auto"/>
                <w:highlight w:val="none"/>
              </w:rPr>
            </w:pPr>
            <w:r>
              <w:rPr>
                <w:color w:val="auto"/>
                <w:spacing w:val="3"/>
                <w:highlight w:val="none"/>
              </w:rPr>
              <w:t>9. 严格控制松肉粉、食粉的用量。严禁使用亚硝酸钠等化学原</w:t>
            </w:r>
            <w:r>
              <w:rPr>
                <w:color w:val="auto"/>
                <w:spacing w:val="-5"/>
                <w:highlight w:val="none"/>
              </w:rPr>
              <w:t>料，每次发现扣</w:t>
            </w:r>
            <w:r>
              <w:rPr>
                <w:color w:val="auto"/>
                <w:spacing w:val="-44"/>
                <w:highlight w:val="none"/>
              </w:rPr>
              <w:t xml:space="preserve"> </w:t>
            </w:r>
            <w:r>
              <w:rPr>
                <w:color w:val="auto"/>
                <w:spacing w:val="-5"/>
                <w:highlight w:val="none"/>
              </w:rPr>
              <w:t>5</w:t>
            </w:r>
            <w:r>
              <w:rPr>
                <w:color w:val="auto"/>
                <w:spacing w:val="-48"/>
                <w:highlight w:val="none"/>
              </w:rPr>
              <w:t xml:space="preserve"> </w:t>
            </w:r>
            <w:r>
              <w:rPr>
                <w:color w:val="auto"/>
                <w:spacing w:val="-5"/>
                <w:highlight w:val="none"/>
              </w:rPr>
              <w:t>分。</w:t>
            </w:r>
          </w:p>
          <w:p w14:paraId="506BFB7D">
            <w:pPr>
              <w:pStyle w:val="10"/>
              <w:spacing w:before="179" w:line="313" w:lineRule="auto"/>
              <w:ind w:left="117" w:right="100" w:firstLine="494"/>
              <w:rPr>
                <w:color w:val="auto"/>
                <w:highlight w:val="none"/>
              </w:rPr>
            </w:pPr>
            <w:r>
              <w:rPr>
                <w:color w:val="auto"/>
                <w:spacing w:val="-5"/>
                <w:highlight w:val="none"/>
              </w:rPr>
              <w:t>10.</w:t>
            </w:r>
            <w:r>
              <w:rPr>
                <w:color w:val="auto"/>
                <w:spacing w:val="112"/>
                <w:highlight w:val="none"/>
              </w:rPr>
              <w:t xml:space="preserve"> </w:t>
            </w:r>
            <w:r>
              <w:rPr>
                <w:color w:val="auto"/>
                <w:spacing w:val="-5"/>
                <w:highlight w:val="none"/>
              </w:rPr>
              <w:t>根据原料性质、菜品要求将原料切出规则的形状并且要均匀</w:t>
            </w:r>
            <w:r>
              <w:rPr>
                <w:color w:val="auto"/>
                <w:spacing w:val="-1"/>
                <w:highlight w:val="none"/>
              </w:rPr>
              <w:t>一致，如有同一种类原材料切配后重量差异超过 50%或以上，每次扣</w:t>
            </w:r>
            <w:r>
              <w:rPr>
                <w:color w:val="auto"/>
                <w:spacing w:val="-13"/>
                <w:highlight w:val="none"/>
              </w:rPr>
              <w:t>1</w:t>
            </w:r>
            <w:r>
              <w:rPr>
                <w:color w:val="auto"/>
                <w:spacing w:val="-47"/>
                <w:highlight w:val="none"/>
              </w:rPr>
              <w:t xml:space="preserve"> </w:t>
            </w:r>
            <w:r>
              <w:rPr>
                <w:color w:val="auto"/>
                <w:spacing w:val="-13"/>
                <w:highlight w:val="none"/>
              </w:rPr>
              <w:t>分。</w:t>
            </w:r>
          </w:p>
          <w:p w14:paraId="2285D6D8">
            <w:pPr>
              <w:pStyle w:val="10"/>
              <w:spacing w:before="181" w:line="289" w:lineRule="auto"/>
              <w:ind w:left="113" w:right="154" w:firstLine="498"/>
              <w:rPr>
                <w:color w:val="auto"/>
                <w:highlight w:val="none"/>
              </w:rPr>
            </w:pPr>
            <w:r>
              <w:rPr>
                <w:color w:val="auto"/>
                <w:spacing w:val="-4"/>
                <w:highlight w:val="none"/>
              </w:rPr>
              <w:t>11.</w:t>
            </w:r>
            <w:r>
              <w:rPr>
                <w:color w:val="auto"/>
                <w:spacing w:val="101"/>
                <w:highlight w:val="none"/>
              </w:rPr>
              <w:t xml:space="preserve"> </w:t>
            </w:r>
            <w:r>
              <w:rPr>
                <w:color w:val="auto"/>
                <w:spacing w:val="-4"/>
                <w:highlight w:val="none"/>
              </w:rPr>
              <w:t>青菜应先洗后切，洗前要浸泡</w:t>
            </w:r>
            <w:r>
              <w:rPr>
                <w:color w:val="auto"/>
                <w:spacing w:val="-34"/>
                <w:highlight w:val="none"/>
              </w:rPr>
              <w:t xml:space="preserve"> </w:t>
            </w:r>
            <w:r>
              <w:rPr>
                <w:color w:val="auto"/>
                <w:spacing w:val="-4"/>
                <w:highlight w:val="none"/>
              </w:rPr>
              <w:t>30</w:t>
            </w:r>
            <w:r>
              <w:rPr>
                <w:color w:val="auto"/>
                <w:spacing w:val="-36"/>
                <w:highlight w:val="none"/>
              </w:rPr>
              <w:t xml:space="preserve"> </w:t>
            </w:r>
            <w:r>
              <w:rPr>
                <w:color w:val="auto"/>
                <w:spacing w:val="-4"/>
                <w:highlight w:val="none"/>
              </w:rPr>
              <w:t>分钟，如发现违规操</w:t>
            </w:r>
            <w:r>
              <w:rPr>
                <w:color w:val="auto"/>
                <w:spacing w:val="-5"/>
                <w:highlight w:val="none"/>
              </w:rPr>
              <w:t>作，</w:t>
            </w:r>
            <w:r>
              <w:rPr>
                <w:color w:val="auto"/>
                <w:spacing w:val="-11"/>
                <w:highlight w:val="none"/>
              </w:rPr>
              <w:t>每次扣</w:t>
            </w:r>
            <w:r>
              <w:rPr>
                <w:color w:val="auto"/>
                <w:spacing w:val="-28"/>
                <w:highlight w:val="none"/>
              </w:rPr>
              <w:t xml:space="preserve"> </w:t>
            </w:r>
            <w:r>
              <w:rPr>
                <w:color w:val="auto"/>
                <w:spacing w:val="-11"/>
                <w:highlight w:val="none"/>
              </w:rPr>
              <w:t>1</w:t>
            </w:r>
            <w:r>
              <w:rPr>
                <w:color w:val="auto"/>
                <w:spacing w:val="-48"/>
                <w:highlight w:val="none"/>
              </w:rPr>
              <w:t xml:space="preserve"> </w:t>
            </w:r>
            <w:r>
              <w:rPr>
                <w:color w:val="auto"/>
                <w:spacing w:val="-11"/>
                <w:highlight w:val="none"/>
              </w:rPr>
              <w:t>分。</w:t>
            </w:r>
          </w:p>
          <w:p w14:paraId="33BE760D">
            <w:pPr>
              <w:pStyle w:val="10"/>
              <w:spacing w:before="183" w:line="289" w:lineRule="auto"/>
              <w:ind w:left="131" w:right="101" w:firstLine="480"/>
              <w:rPr>
                <w:color w:val="auto"/>
                <w:highlight w:val="none"/>
              </w:rPr>
            </w:pPr>
            <w:r>
              <w:rPr>
                <w:color w:val="auto"/>
                <w:spacing w:val="-9"/>
                <w:highlight w:val="none"/>
              </w:rPr>
              <w:t>12.</w:t>
            </w:r>
            <w:r>
              <w:rPr>
                <w:color w:val="auto"/>
                <w:spacing w:val="117"/>
                <w:highlight w:val="none"/>
              </w:rPr>
              <w:t xml:space="preserve"> </w:t>
            </w:r>
            <w:r>
              <w:rPr>
                <w:color w:val="auto"/>
                <w:spacing w:val="-9"/>
                <w:highlight w:val="none"/>
              </w:rPr>
              <w:t>杜绝使用腐烂、变质的食材原料， 如发现违规操作，每次扣</w:t>
            </w:r>
            <w:r>
              <w:rPr>
                <w:color w:val="auto"/>
                <w:spacing w:val="-17"/>
                <w:highlight w:val="none"/>
              </w:rPr>
              <w:t>1</w:t>
            </w:r>
            <w:r>
              <w:rPr>
                <w:color w:val="auto"/>
                <w:spacing w:val="-48"/>
                <w:highlight w:val="none"/>
              </w:rPr>
              <w:t xml:space="preserve"> </w:t>
            </w:r>
            <w:r>
              <w:rPr>
                <w:color w:val="auto"/>
                <w:spacing w:val="-17"/>
                <w:highlight w:val="none"/>
              </w:rPr>
              <w:t>分。</w:t>
            </w:r>
          </w:p>
          <w:p w14:paraId="50906791">
            <w:pPr>
              <w:pStyle w:val="10"/>
              <w:spacing w:before="181" w:line="220" w:lineRule="auto"/>
              <w:ind w:left="612"/>
              <w:rPr>
                <w:color w:val="auto"/>
                <w:highlight w:val="none"/>
              </w:rPr>
            </w:pPr>
            <w:r>
              <w:rPr>
                <w:color w:val="auto"/>
                <w:spacing w:val="-4"/>
                <w:highlight w:val="none"/>
              </w:rPr>
              <w:t>13.</w:t>
            </w:r>
            <w:r>
              <w:rPr>
                <w:color w:val="auto"/>
                <w:spacing w:val="105"/>
                <w:highlight w:val="none"/>
              </w:rPr>
              <w:t xml:space="preserve"> </w:t>
            </w:r>
            <w:r>
              <w:rPr>
                <w:color w:val="auto"/>
                <w:spacing w:val="-4"/>
                <w:highlight w:val="none"/>
              </w:rPr>
              <w:t>食品存在变质异味情况，每次扣</w:t>
            </w:r>
            <w:r>
              <w:rPr>
                <w:color w:val="auto"/>
                <w:spacing w:val="-46"/>
                <w:highlight w:val="none"/>
              </w:rPr>
              <w:t xml:space="preserve"> </w:t>
            </w:r>
            <w:r>
              <w:rPr>
                <w:color w:val="auto"/>
                <w:spacing w:val="-4"/>
                <w:highlight w:val="none"/>
              </w:rPr>
              <w:t>5</w:t>
            </w:r>
            <w:r>
              <w:rPr>
                <w:color w:val="auto"/>
                <w:spacing w:val="-47"/>
                <w:highlight w:val="none"/>
              </w:rPr>
              <w:t xml:space="preserve"> </w:t>
            </w:r>
            <w:r>
              <w:rPr>
                <w:color w:val="auto"/>
                <w:spacing w:val="-4"/>
                <w:highlight w:val="none"/>
              </w:rPr>
              <w:t>分。</w:t>
            </w:r>
          </w:p>
          <w:p w14:paraId="1DED7B7C">
            <w:pPr>
              <w:pStyle w:val="10"/>
              <w:spacing w:before="179" w:line="290" w:lineRule="auto"/>
              <w:ind w:left="120" w:right="101" w:firstLine="491"/>
              <w:rPr>
                <w:color w:val="auto"/>
                <w:highlight w:val="none"/>
              </w:rPr>
            </w:pPr>
            <w:r>
              <w:rPr>
                <w:color w:val="auto"/>
                <w:spacing w:val="-9"/>
                <w:highlight w:val="none"/>
              </w:rPr>
              <w:t>14.</w:t>
            </w:r>
            <w:r>
              <w:rPr>
                <w:color w:val="auto"/>
                <w:spacing w:val="117"/>
                <w:highlight w:val="none"/>
              </w:rPr>
              <w:t xml:space="preserve"> </w:t>
            </w:r>
            <w:r>
              <w:rPr>
                <w:color w:val="auto"/>
                <w:spacing w:val="-9"/>
                <w:highlight w:val="none"/>
              </w:rPr>
              <w:t>厨师长不能私自变更饭菜品种、价格， 如发现违规操作，每</w:t>
            </w:r>
            <w:r>
              <w:rPr>
                <w:color w:val="auto"/>
                <w:spacing w:val="-14"/>
                <w:highlight w:val="none"/>
              </w:rPr>
              <w:t>次扣</w:t>
            </w:r>
            <w:r>
              <w:rPr>
                <w:color w:val="auto"/>
                <w:spacing w:val="-30"/>
                <w:highlight w:val="none"/>
              </w:rPr>
              <w:t xml:space="preserve"> </w:t>
            </w:r>
            <w:r>
              <w:rPr>
                <w:color w:val="auto"/>
                <w:spacing w:val="-14"/>
                <w:highlight w:val="none"/>
              </w:rPr>
              <w:t>1</w:t>
            </w:r>
            <w:r>
              <w:rPr>
                <w:color w:val="auto"/>
                <w:spacing w:val="-48"/>
                <w:highlight w:val="none"/>
              </w:rPr>
              <w:t xml:space="preserve"> </w:t>
            </w:r>
            <w:r>
              <w:rPr>
                <w:color w:val="auto"/>
                <w:spacing w:val="-14"/>
                <w:highlight w:val="none"/>
              </w:rPr>
              <w:t>分。</w:t>
            </w:r>
          </w:p>
          <w:p w14:paraId="4EF983AD">
            <w:pPr>
              <w:pStyle w:val="10"/>
              <w:spacing w:before="182" w:line="289" w:lineRule="auto"/>
              <w:ind w:left="126" w:right="101" w:firstLine="486"/>
              <w:rPr>
                <w:color w:val="auto"/>
                <w:highlight w:val="none"/>
              </w:rPr>
            </w:pPr>
            <w:r>
              <w:rPr>
                <w:color w:val="auto"/>
                <w:spacing w:val="-5"/>
                <w:highlight w:val="none"/>
              </w:rPr>
              <w:t>15.</w:t>
            </w:r>
            <w:r>
              <w:rPr>
                <w:color w:val="auto"/>
                <w:spacing w:val="112"/>
                <w:highlight w:val="none"/>
              </w:rPr>
              <w:t xml:space="preserve"> </w:t>
            </w:r>
            <w:r>
              <w:rPr>
                <w:color w:val="auto"/>
                <w:spacing w:val="-5"/>
                <w:highlight w:val="none"/>
              </w:rPr>
              <w:t>应保证病人餐的出品质量，菜单每月变动一次，提交</w:t>
            </w:r>
            <w:r>
              <w:rPr>
                <w:rFonts w:hint="eastAsia"/>
                <w:color w:val="auto"/>
                <w:spacing w:val="-5"/>
                <w:highlight w:val="none"/>
                <w:lang w:eastAsia="zh-CN"/>
              </w:rPr>
              <w:t>招租方</w:t>
            </w:r>
            <w:r>
              <w:rPr>
                <w:color w:val="auto"/>
                <w:spacing w:val="-4"/>
                <w:highlight w:val="none"/>
              </w:rPr>
              <w:t>审核后方可执行，如发现违规操作，每次扣</w:t>
            </w:r>
            <w:r>
              <w:rPr>
                <w:color w:val="auto"/>
                <w:spacing w:val="-18"/>
                <w:highlight w:val="none"/>
              </w:rPr>
              <w:t xml:space="preserve"> </w:t>
            </w:r>
            <w:r>
              <w:rPr>
                <w:color w:val="auto"/>
                <w:spacing w:val="-4"/>
                <w:highlight w:val="none"/>
              </w:rPr>
              <w:t>1</w:t>
            </w:r>
            <w:r>
              <w:rPr>
                <w:color w:val="auto"/>
                <w:spacing w:val="-47"/>
                <w:highlight w:val="none"/>
              </w:rPr>
              <w:t xml:space="preserve"> </w:t>
            </w:r>
            <w:r>
              <w:rPr>
                <w:color w:val="auto"/>
                <w:spacing w:val="-4"/>
                <w:highlight w:val="none"/>
              </w:rPr>
              <w:t>分。</w:t>
            </w:r>
          </w:p>
          <w:p w14:paraId="1A7F38D6">
            <w:pPr>
              <w:pStyle w:val="10"/>
              <w:spacing w:before="182" w:line="313" w:lineRule="auto"/>
              <w:ind w:left="116" w:right="40" w:firstLine="495"/>
              <w:rPr>
                <w:color w:val="auto"/>
                <w:highlight w:val="none"/>
              </w:rPr>
            </w:pPr>
            <w:r>
              <w:rPr>
                <w:color w:val="auto"/>
                <w:spacing w:val="-3"/>
                <w:highlight w:val="none"/>
              </w:rPr>
              <w:t>16.</w:t>
            </w:r>
            <w:r>
              <w:rPr>
                <w:color w:val="auto"/>
                <w:spacing w:val="115"/>
                <w:highlight w:val="none"/>
              </w:rPr>
              <w:t xml:space="preserve"> </w:t>
            </w:r>
            <w:r>
              <w:rPr>
                <w:color w:val="auto"/>
                <w:spacing w:val="-3"/>
                <w:highlight w:val="none"/>
              </w:rPr>
              <w:t>应保证病人餐菜式搭配绿色健康，需提供重口味、谈口味、</w:t>
            </w:r>
            <w:r>
              <w:rPr>
                <w:color w:val="auto"/>
                <w:spacing w:val="-1"/>
                <w:highlight w:val="none"/>
              </w:rPr>
              <w:t>蒸菜、蒸蛋、辣菜、炒菜等供选择，如发现未按规定提供，每次扣 1</w:t>
            </w:r>
            <w:r>
              <w:rPr>
                <w:color w:val="auto"/>
                <w:spacing w:val="-12"/>
                <w:highlight w:val="none"/>
              </w:rPr>
              <w:t>分。</w:t>
            </w:r>
          </w:p>
          <w:p w14:paraId="20EB5A4D">
            <w:pPr>
              <w:pStyle w:val="10"/>
              <w:spacing w:before="181" w:line="312" w:lineRule="auto"/>
              <w:ind w:left="120" w:right="16" w:firstLine="491"/>
              <w:rPr>
                <w:color w:val="auto"/>
                <w:spacing w:val="-4"/>
                <w:highlight w:val="none"/>
              </w:rPr>
            </w:pPr>
            <w:r>
              <w:rPr>
                <w:color w:val="auto"/>
                <w:spacing w:val="-10"/>
                <w:highlight w:val="none"/>
              </w:rPr>
              <w:t>17.</w:t>
            </w:r>
            <w:r>
              <w:rPr>
                <w:color w:val="auto"/>
                <w:spacing w:val="112"/>
                <w:highlight w:val="none"/>
              </w:rPr>
              <w:t xml:space="preserve"> </w:t>
            </w:r>
            <w:r>
              <w:rPr>
                <w:color w:val="auto"/>
                <w:spacing w:val="-10"/>
                <w:highlight w:val="none"/>
              </w:rPr>
              <w:t>应保证病人餐每餐提供流质、半流质、糖尿病饮食、无盐餐、</w:t>
            </w:r>
            <w:r>
              <w:rPr>
                <w:color w:val="auto"/>
                <w:spacing w:val="-1"/>
                <w:highlight w:val="none"/>
              </w:rPr>
              <w:t>高蛋白质餐等特殊餐饮需求服务（特殊餐饮服务根据</w:t>
            </w:r>
            <w:r>
              <w:rPr>
                <w:rFonts w:hint="eastAsia"/>
                <w:color w:val="auto"/>
                <w:spacing w:val="-1"/>
                <w:highlight w:val="none"/>
                <w:lang w:eastAsia="zh-CN"/>
              </w:rPr>
              <w:t>招租方</w:t>
            </w:r>
            <w:r>
              <w:rPr>
                <w:color w:val="auto"/>
                <w:spacing w:val="-1"/>
                <w:highlight w:val="none"/>
              </w:rPr>
              <w:t>临床患者</w:t>
            </w:r>
            <w:r>
              <w:rPr>
                <w:color w:val="auto"/>
                <w:spacing w:val="-2"/>
                <w:highlight w:val="none"/>
              </w:rPr>
              <w:t>的需求变动而变动）。如发现未按规定提供，每次扣</w:t>
            </w:r>
            <w:r>
              <w:rPr>
                <w:color w:val="auto"/>
                <w:spacing w:val="-44"/>
                <w:highlight w:val="none"/>
              </w:rPr>
              <w:t xml:space="preserve"> </w:t>
            </w:r>
            <w:r>
              <w:rPr>
                <w:color w:val="auto"/>
                <w:spacing w:val="-3"/>
                <w:highlight w:val="none"/>
              </w:rPr>
              <w:t>5</w:t>
            </w:r>
            <w:r>
              <w:rPr>
                <w:color w:val="auto"/>
                <w:spacing w:val="-48"/>
                <w:highlight w:val="none"/>
              </w:rPr>
              <w:t xml:space="preserve"> </w:t>
            </w:r>
            <w:r>
              <w:rPr>
                <w:color w:val="auto"/>
                <w:spacing w:val="-3"/>
                <w:highlight w:val="none"/>
              </w:rPr>
              <w:t>分。</w:t>
            </w:r>
          </w:p>
        </w:tc>
        <w:tc>
          <w:tcPr>
            <w:tcW w:w="271" w:type="pct"/>
            <w:vAlign w:val="top"/>
          </w:tcPr>
          <w:p w14:paraId="1C9B1C17">
            <w:pPr>
              <w:rPr>
                <w:rFonts w:ascii="Arial"/>
                <w:color w:val="auto"/>
                <w:sz w:val="21"/>
                <w:highlight w:val="none"/>
              </w:rPr>
            </w:pPr>
          </w:p>
        </w:tc>
      </w:tr>
      <w:tr w14:paraId="5E1D86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08" w:type="pct"/>
            <w:tcBorders>
              <w:top w:val="nil"/>
            </w:tcBorders>
            <w:vAlign w:val="center"/>
          </w:tcPr>
          <w:p w14:paraId="0C3ED8B7">
            <w:pPr>
              <w:pStyle w:val="10"/>
              <w:spacing w:before="78" w:line="360" w:lineRule="auto"/>
              <w:ind w:left="516" w:right="148" w:hanging="359"/>
              <w:rPr>
                <w:color w:val="auto"/>
                <w:highlight w:val="none"/>
              </w:rPr>
            </w:pPr>
            <w:r>
              <w:rPr>
                <w:color w:val="auto"/>
                <w:spacing w:val="-3"/>
                <w:highlight w:val="none"/>
              </w:rPr>
              <w:t>满意度反</w:t>
            </w:r>
            <w:r>
              <w:rPr>
                <w:color w:val="auto"/>
                <w:highlight w:val="none"/>
              </w:rPr>
              <w:t>馈</w:t>
            </w:r>
          </w:p>
          <w:p w14:paraId="17A759CE">
            <w:pPr>
              <w:jc w:val="center"/>
              <w:rPr>
                <w:rFonts w:ascii="Arial"/>
                <w:color w:val="auto"/>
                <w:sz w:val="21"/>
                <w:highlight w:val="none"/>
              </w:rPr>
            </w:pPr>
            <w:r>
              <w:rPr>
                <w:color w:val="auto"/>
                <w:spacing w:val="-4"/>
                <w:highlight w:val="none"/>
              </w:rPr>
              <w:t>（15）</w:t>
            </w:r>
          </w:p>
        </w:tc>
        <w:tc>
          <w:tcPr>
            <w:tcW w:w="493" w:type="pct"/>
            <w:vAlign w:val="center"/>
          </w:tcPr>
          <w:p w14:paraId="0F306EDF">
            <w:pPr>
              <w:pStyle w:val="10"/>
              <w:keepNext w:val="0"/>
              <w:keepLines w:val="0"/>
              <w:pageBreakBefore w:val="0"/>
              <w:widowControl/>
              <w:kinsoku w:val="0"/>
              <w:wordWrap/>
              <w:overflowPunct/>
              <w:topLinePunct w:val="0"/>
              <w:autoSpaceDE w:val="0"/>
              <w:autoSpaceDN w:val="0"/>
              <w:bidi w:val="0"/>
              <w:adjustRightInd w:val="0"/>
              <w:snapToGrid w:val="0"/>
              <w:spacing w:line="365" w:lineRule="auto"/>
              <w:ind w:left="0" w:right="0" w:firstLine="0"/>
              <w:jc w:val="center"/>
              <w:textAlignment w:val="baseline"/>
              <w:rPr>
                <w:color w:val="auto"/>
                <w:highlight w:val="none"/>
              </w:rPr>
            </w:pPr>
            <w:r>
              <w:rPr>
                <w:color w:val="auto"/>
                <w:spacing w:val="-4"/>
                <w:highlight w:val="none"/>
              </w:rPr>
              <w:t>服务质</w:t>
            </w:r>
            <w:r>
              <w:rPr>
                <w:color w:val="auto"/>
                <w:highlight w:val="none"/>
              </w:rPr>
              <w:t>量</w:t>
            </w:r>
          </w:p>
        </w:tc>
        <w:tc>
          <w:tcPr>
            <w:tcW w:w="3625" w:type="pct"/>
            <w:vAlign w:val="top"/>
          </w:tcPr>
          <w:p w14:paraId="69A81EED">
            <w:pPr>
              <w:pStyle w:val="10"/>
              <w:spacing w:before="118" w:line="290" w:lineRule="auto"/>
              <w:ind w:left="118" w:right="216" w:firstLine="493"/>
              <w:rPr>
                <w:color w:val="auto"/>
                <w:highlight w:val="none"/>
              </w:rPr>
            </w:pPr>
            <w:r>
              <w:rPr>
                <w:color w:val="auto"/>
                <w:spacing w:val="-1"/>
                <w:highlight w:val="none"/>
              </w:rPr>
              <w:t>1. 应保证配餐准时，并按在规定时间内完成配餐（包括职工餐</w:t>
            </w:r>
            <w:r>
              <w:rPr>
                <w:color w:val="auto"/>
                <w:spacing w:val="-5"/>
                <w:highlight w:val="none"/>
              </w:rPr>
              <w:t>与病人餐</w:t>
            </w:r>
            <w:r>
              <w:rPr>
                <w:color w:val="auto"/>
                <w:spacing w:val="7"/>
                <w:highlight w:val="none"/>
              </w:rPr>
              <w:t>），</w:t>
            </w:r>
            <w:r>
              <w:rPr>
                <w:color w:val="auto"/>
                <w:spacing w:val="-5"/>
                <w:highlight w:val="none"/>
              </w:rPr>
              <w:t>如有延时每次扣</w:t>
            </w:r>
            <w:r>
              <w:rPr>
                <w:color w:val="auto"/>
                <w:spacing w:val="-32"/>
                <w:highlight w:val="none"/>
              </w:rPr>
              <w:t xml:space="preserve"> </w:t>
            </w:r>
            <w:r>
              <w:rPr>
                <w:color w:val="auto"/>
                <w:spacing w:val="-5"/>
                <w:highlight w:val="none"/>
              </w:rPr>
              <w:t>1</w:t>
            </w:r>
            <w:r>
              <w:rPr>
                <w:color w:val="auto"/>
                <w:spacing w:val="-47"/>
                <w:highlight w:val="none"/>
              </w:rPr>
              <w:t xml:space="preserve"> </w:t>
            </w:r>
            <w:r>
              <w:rPr>
                <w:color w:val="auto"/>
                <w:spacing w:val="-5"/>
                <w:highlight w:val="none"/>
              </w:rPr>
              <w:t>分，如有漏送每次扣</w:t>
            </w:r>
            <w:r>
              <w:rPr>
                <w:color w:val="auto"/>
                <w:spacing w:val="-33"/>
                <w:highlight w:val="none"/>
              </w:rPr>
              <w:t xml:space="preserve"> </w:t>
            </w:r>
            <w:r>
              <w:rPr>
                <w:color w:val="auto"/>
                <w:spacing w:val="-5"/>
                <w:highlight w:val="none"/>
              </w:rPr>
              <w:t>1</w:t>
            </w:r>
            <w:r>
              <w:rPr>
                <w:color w:val="auto"/>
                <w:spacing w:val="-47"/>
                <w:highlight w:val="none"/>
              </w:rPr>
              <w:t xml:space="preserve"> </w:t>
            </w:r>
            <w:r>
              <w:rPr>
                <w:color w:val="auto"/>
                <w:spacing w:val="-5"/>
                <w:highlight w:val="none"/>
              </w:rPr>
              <w:t>分。</w:t>
            </w:r>
          </w:p>
          <w:p w14:paraId="59D5045C">
            <w:pPr>
              <w:pStyle w:val="10"/>
              <w:spacing w:before="182" w:line="290" w:lineRule="auto"/>
              <w:ind w:left="116" w:right="216" w:firstLine="480"/>
              <w:rPr>
                <w:color w:val="auto"/>
                <w:highlight w:val="none"/>
              </w:rPr>
            </w:pPr>
            <w:r>
              <w:rPr>
                <w:color w:val="auto"/>
                <w:spacing w:val="-1"/>
                <w:highlight w:val="none"/>
              </w:rPr>
              <w:t>2. 不得私自更改食品加工流程、增减餐线、变更餐线布局、设</w:t>
            </w:r>
            <w:r>
              <w:rPr>
                <w:color w:val="auto"/>
                <w:spacing w:val="-6"/>
                <w:highlight w:val="none"/>
              </w:rPr>
              <w:t>备等现象，每次扣</w:t>
            </w:r>
            <w:r>
              <w:rPr>
                <w:color w:val="auto"/>
                <w:spacing w:val="-31"/>
                <w:highlight w:val="none"/>
              </w:rPr>
              <w:t xml:space="preserve"> </w:t>
            </w:r>
            <w:r>
              <w:rPr>
                <w:color w:val="auto"/>
                <w:spacing w:val="-6"/>
                <w:highlight w:val="none"/>
              </w:rPr>
              <w:t>1</w:t>
            </w:r>
            <w:r>
              <w:rPr>
                <w:color w:val="auto"/>
                <w:spacing w:val="-47"/>
                <w:highlight w:val="none"/>
              </w:rPr>
              <w:t xml:space="preserve"> </w:t>
            </w:r>
            <w:r>
              <w:rPr>
                <w:color w:val="auto"/>
                <w:spacing w:val="-6"/>
                <w:highlight w:val="none"/>
              </w:rPr>
              <w:t>分。</w:t>
            </w:r>
          </w:p>
          <w:p w14:paraId="150C0A08">
            <w:pPr>
              <w:pStyle w:val="10"/>
              <w:spacing w:before="181" w:line="290" w:lineRule="auto"/>
              <w:ind w:left="140" w:right="216" w:firstLine="458"/>
              <w:rPr>
                <w:color w:val="auto"/>
                <w:highlight w:val="none"/>
              </w:rPr>
            </w:pPr>
            <w:r>
              <w:rPr>
                <w:color w:val="auto"/>
                <w:spacing w:val="-1"/>
                <w:highlight w:val="none"/>
              </w:rPr>
              <w:t>3. 有召回、中毒应急管理制度并符合相关要求，如明知食品有</w:t>
            </w:r>
            <w:r>
              <w:rPr>
                <w:color w:val="auto"/>
                <w:spacing w:val="-4"/>
                <w:highlight w:val="none"/>
              </w:rPr>
              <w:t>问题仍出餐或出餐后无召回，每次扣</w:t>
            </w:r>
            <w:r>
              <w:rPr>
                <w:color w:val="auto"/>
                <w:spacing w:val="-44"/>
                <w:highlight w:val="none"/>
              </w:rPr>
              <w:t xml:space="preserve"> </w:t>
            </w:r>
            <w:r>
              <w:rPr>
                <w:color w:val="auto"/>
                <w:spacing w:val="-4"/>
                <w:highlight w:val="none"/>
              </w:rPr>
              <w:t>5</w:t>
            </w:r>
            <w:r>
              <w:rPr>
                <w:color w:val="auto"/>
                <w:spacing w:val="-48"/>
                <w:highlight w:val="none"/>
              </w:rPr>
              <w:t xml:space="preserve"> </w:t>
            </w:r>
            <w:r>
              <w:rPr>
                <w:color w:val="auto"/>
                <w:spacing w:val="-4"/>
                <w:highlight w:val="none"/>
              </w:rPr>
              <w:t>分。</w:t>
            </w:r>
          </w:p>
          <w:p w14:paraId="174300BA">
            <w:pPr>
              <w:pStyle w:val="10"/>
              <w:spacing w:before="182" w:line="219" w:lineRule="auto"/>
              <w:ind w:left="593"/>
              <w:rPr>
                <w:color w:val="auto"/>
                <w:highlight w:val="none"/>
              </w:rPr>
            </w:pPr>
            <w:r>
              <w:rPr>
                <w:color w:val="auto"/>
                <w:spacing w:val="-3"/>
                <w:highlight w:val="none"/>
              </w:rPr>
              <w:t>4.</w:t>
            </w:r>
            <w:r>
              <w:rPr>
                <w:color w:val="auto"/>
                <w:spacing w:val="49"/>
                <w:highlight w:val="none"/>
              </w:rPr>
              <w:t xml:space="preserve"> </w:t>
            </w:r>
            <w:r>
              <w:rPr>
                <w:color w:val="auto"/>
                <w:spacing w:val="-3"/>
                <w:highlight w:val="none"/>
              </w:rPr>
              <w:t>围餐服务应提供不低于</w:t>
            </w:r>
            <w:r>
              <w:rPr>
                <w:color w:val="auto"/>
                <w:spacing w:val="-46"/>
                <w:highlight w:val="none"/>
              </w:rPr>
              <w:t xml:space="preserve"> </w:t>
            </w:r>
            <w:r>
              <w:rPr>
                <w:color w:val="auto"/>
                <w:spacing w:val="-3"/>
                <w:highlight w:val="none"/>
              </w:rPr>
              <w:t>5</w:t>
            </w:r>
            <w:r>
              <w:rPr>
                <w:color w:val="auto"/>
                <w:spacing w:val="-48"/>
                <w:highlight w:val="none"/>
              </w:rPr>
              <w:t xml:space="preserve"> </w:t>
            </w:r>
            <w:r>
              <w:rPr>
                <w:color w:val="auto"/>
                <w:spacing w:val="-3"/>
                <w:highlight w:val="none"/>
              </w:rPr>
              <w:t>星级酒店的服务标准，并安排专人</w:t>
            </w:r>
            <w:r>
              <w:rPr>
                <w:color w:val="auto"/>
                <w:spacing w:val="-4"/>
                <w:highlight w:val="none"/>
              </w:rPr>
              <w:t>接待，如发现违规操作，每次扣</w:t>
            </w:r>
            <w:r>
              <w:rPr>
                <w:color w:val="auto"/>
                <w:spacing w:val="-24"/>
                <w:highlight w:val="none"/>
              </w:rPr>
              <w:t xml:space="preserve"> </w:t>
            </w:r>
            <w:r>
              <w:rPr>
                <w:color w:val="auto"/>
                <w:spacing w:val="-4"/>
                <w:highlight w:val="none"/>
              </w:rPr>
              <w:t>1</w:t>
            </w:r>
            <w:r>
              <w:rPr>
                <w:color w:val="auto"/>
                <w:spacing w:val="-48"/>
                <w:highlight w:val="none"/>
              </w:rPr>
              <w:t xml:space="preserve"> </w:t>
            </w:r>
            <w:r>
              <w:rPr>
                <w:color w:val="auto"/>
                <w:spacing w:val="-4"/>
                <w:highlight w:val="none"/>
              </w:rPr>
              <w:t>分。</w:t>
            </w:r>
          </w:p>
          <w:p w14:paraId="2B324D48">
            <w:pPr>
              <w:pStyle w:val="10"/>
              <w:spacing w:before="181" w:line="290" w:lineRule="auto"/>
              <w:ind w:left="117" w:right="216" w:firstLine="481"/>
              <w:rPr>
                <w:color w:val="auto"/>
                <w:highlight w:val="none"/>
              </w:rPr>
            </w:pPr>
            <w:r>
              <w:rPr>
                <w:color w:val="auto"/>
                <w:spacing w:val="-1"/>
                <w:highlight w:val="none"/>
              </w:rPr>
              <w:t>5. 应主动举办美食活动、餐饮文化活动，如不配合</w:t>
            </w:r>
            <w:r>
              <w:rPr>
                <w:rFonts w:hint="eastAsia"/>
                <w:color w:val="auto"/>
                <w:spacing w:val="-1"/>
                <w:highlight w:val="none"/>
                <w:lang w:eastAsia="zh-CN"/>
              </w:rPr>
              <w:t>招租方</w:t>
            </w:r>
            <w:r>
              <w:rPr>
                <w:color w:val="auto"/>
                <w:spacing w:val="-1"/>
                <w:highlight w:val="none"/>
              </w:rPr>
              <w:t>举办</w:t>
            </w:r>
            <w:r>
              <w:rPr>
                <w:color w:val="auto"/>
                <w:spacing w:val="-7"/>
                <w:highlight w:val="none"/>
              </w:rPr>
              <w:t>活动，每次扣</w:t>
            </w:r>
            <w:r>
              <w:rPr>
                <w:color w:val="auto"/>
                <w:spacing w:val="-28"/>
                <w:highlight w:val="none"/>
              </w:rPr>
              <w:t xml:space="preserve"> </w:t>
            </w:r>
            <w:r>
              <w:rPr>
                <w:color w:val="auto"/>
                <w:spacing w:val="-7"/>
                <w:highlight w:val="none"/>
              </w:rPr>
              <w:t>10</w:t>
            </w:r>
            <w:r>
              <w:rPr>
                <w:color w:val="auto"/>
                <w:spacing w:val="-47"/>
                <w:highlight w:val="none"/>
              </w:rPr>
              <w:t xml:space="preserve"> </w:t>
            </w:r>
            <w:r>
              <w:rPr>
                <w:color w:val="auto"/>
                <w:spacing w:val="-7"/>
                <w:highlight w:val="none"/>
              </w:rPr>
              <w:t>分。</w:t>
            </w:r>
          </w:p>
          <w:p w14:paraId="75FEB86B">
            <w:pPr>
              <w:pStyle w:val="10"/>
              <w:spacing w:before="181" w:line="290" w:lineRule="auto"/>
              <w:ind w:left="113" w:right="216" w:firstLine="482"/>
              <w:rPr>
                <w:color w:val="auto"/>
                <w:highlight w:val="none"/>
              </w:rPr>
            </w:pPr>
            <w:r>
              <w:rPr>
                <w:color w:val="auto"/>
                <w:spacing w:val="-1"/>
                <w:highlight w:val="none"/>
              </w:rPr>
              <w:t>6. 如</w:t>
            </w:r>
            <w:r>
              <w:rPr>
                <w:rFonts w:hint="eastAsia"/>
                <w:color w:val="auto"/>
                <w:spacing w:val="-1"/>
                <w:highlight w:val="none"/>
                <w:lang w:eastAsia="zh-CN"/>
              </w:rPr>
              <w:t>招租方</w:t>
            </w:r>
            <w:r>
              <w:rPr>
                <w:color w:val="auto"/>
                <w:spacing w:val="-1"/>
                <w:highlight w:val="none"/>
              </w:rPr>
              <w:t>员工要求代煮猪脚姜与红鸡蛋，在能力范围内应当</w:t>
            </w:r>
            <w:r>
              <w:rPr>
                <w:color w:val="auto"/>
                <w:spacing w:val="-4"/>
                <w:highlight w:val="none"/>
              </w:rPr>
              <w:t>答应，如发现违规操作，每次扣</w:t>
            </w:r>
            <w:r>
              <w:rPr>
                <w:color w:val="auto"/>
                <w:spacing w:val="-25"/>
                <w:highlight w:val="none"/>
              </w:rPr>
              <w:t xml:space="preserve"> </w:t>
            </w:r>
            <w:r>
              <w:rPr>
                <w:color w:val="auto"/>
                <w:spacing w:val="-4"/>
                <w:highlight w:val="none"/>
              </w:rPr>
              <w:t>1</w:t>
            </w:r>
            <w:r>
              <w:rPr>
                <w:color w:val="auto"/>
                <w:spacing w:val="-48"/>
                <w:highlight w:val="none"/>
              </w:rPr>
              <w:t xml:space="preserve"> </w:t>
            </w:r>
            <w:r>
              <w:rPr>
                <w:color w:val="auto"/>
                <w:spacing w:val="-4"/>
                <w:highlight w:val="none"/>
              </w:rPr>
              <w:t>分。</w:t>
            </w:r>
          </w:p>
          <w:p w14:paraId="308813BA">
            <w:pPr>
              <w:pStyle w:val="10"/>
              <w:spacing w:before="182" w:line="290" w:lineRule="auto"/>
              <w:ind w:left="116" w:right="216" w:firstLine="483"/>
              <w:rPr>
                <w:color w:val="auto"/>
                <w:highlight w:val="none"/>
              </w:rPr>
            </w:pPr>
            <w:r>
              <w:rPr>
                <w:color w:val="auto"/>
                <w:spacing w:val="-1"/>
                <w:highlight w:val="none"/>
              </w:rPr>
              <w:t>7. 应承担微信公众号宣传工作、餐卡收费系统与订餐系统的管</w:t>
            </w:r>
            <w:r>
              <w:rPr>
                <w:color w:val="auto"/>
                <w:spacing w:val="-3"/>
                <w:highlight w:val="none"/>
              </w:rPr>
              <w:t>理工作等服务，如发现违规操作，每次扣</w:t>
            </w:r>
            <w:r>
              <w:rPr>
                <w:color w:val="auto"/>
                <w:spacing w:val="-32"/>
                <w:highlight w:val="none"/>
              </w:rPr>
              <w:t xml:space="preserve"> </w:t>
            </w:r>
            <w:r>
              <w:rPr>
                <w:color w:val="auto"/>
                <w:spacing w:val="-3"/>
                <w:highlight w:val="none"/>
              </w:rPr>
              <w:t>1</w:t>
            </w:r>
            <w:r>
              <w:rPr>
                <w:color w:val="auto"/>
                <w:spacing w:val="-48"/>
                <w:highlight w:val="none"/>
              </w:rPr>
              <w:t xml:space="preserve"> </w:t>
            </w:r>
            <w:r>
              <w:rPr>
                <w:color w:val="auto"/>
                <w:spacing w:val="-3"/>
                <w:highlight w:val="none"/>
              </w:rPr>
              <w:t>分。</w:t>
            </w:r>
          </w:p>
          <w:p w14:paraId="3222D9F2">
            <w:pPr>
              <w:pStyle w:val="10"/>
              <w:spacing w:before="182" w:line="290" w:lineRule="auto"/>
              <w:ind w:left="113" w:right="216" w:firstLine="481"/>
              <w:rPr>
                <w:color w:val="auto"/>
                <w:spacing w:val="-3"/>
                <w:highlight w:val="none"/>
              </w:rPr>
            </w:pPr>
            <w:r>
              <w:rPr>
                <w:color w:val="auto"/>
                <w:spacing w:val="-1"/>
                <w:highlight w:val="none"/>
              </w:rPr>
              <w:t xml:space="preserve">8. </w:t>
            </w:r>
            <w:r>
              <w:rPr>
                <w:color w:val="auto"/>
                <w:spacing w:val="-1"/>
                <w:highlight w:val="none"/>
              </w:rPr>
              <w:t>应承担职工小卖部商品的售卖与管理工作，如因管理不善导</w:t>
            </w:r>
            <w:r>
              <w:rPr>
                <w:color w:val="auto"/>
                <w:spacing w:val="-3"/>
                <w:highlight w:val="none"/>
              </w:rPr>
              <w:t>致</w:t>
            </w:r>
            <w:r>
              <w:rPr>
                <w:rFonts w:hint="eastAsia"/>
                <w:color w:val="auto"/>
                <w:spacing w:val="-3"/>
                <w:highlight w:val="none"/>
                <w:lang w:eastAsia="zh-CN"/>
              </w:rPr>
              <w:t>招租方</w:t>
            </w:r>
            <w:r>
              <w:rPr>
                <w:color w:val="auto"/>
                <w:spacing w:val="-3"/>
                <w:highlight w:val="none"/>
              </w:rPr>
              <w:t>损失，损失由</w:t>
            </w:r>
            <w:r>
              <w:rPr>
                <w:rFonts w:hint="eastAsia"/>
                <w:color w:val="auto"/>
                <w:spacing w:val="-3"/>
                <w:highlight w:val="none"/>
                <w:lang w:eastAsia="zh-CN"/>
              </w:rPr>
              <w:t>承租方</w:t>
            </w:r>
            <w:r>
              <w:rPr>
                <w:color w:val="auto"/>
                <w:spacing w:val="-3"/>
                <w:highlight w:val="none"/>
              </w:rPr>
              <w:t>承担。</w:t>
            </w:r>
          </w:p>
        </w:tc>
        <w:tc>
          <w:tcPr>
            <w:tcW w:w="271" w:type="pct"/>
            <w:vAlign w:val="top"/>
          </w:tcPr>
          <w:p w14:paraId="07CFEC3F">
            <w:pPr>
              <w:rPr>
                <w:rFonts w:ascii="Arial"/>
                <w:color w:val="auto"/>
                <w:sz w:val="21"/>
                <w:highlight w:val="none"/>
              </w:rPr>
            </w:pPr>
          </w:p>
        </w:tc>
      </w:tr>
    </w:tbl>
    <w:tbl>
      <w:tblPr>
        <w:tblStyle w:val="9"/>
        <w:tblpPr w:leftFromText="180" w:rightFromText="180" w:vertAnchor="text" w:horzAnchor="page" w:tblpX="914" w:tblpY="104"/>
        <w:tblOverlap w:val="never"/>
        <w:tblW w:w="1033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5"/>
        <w:gridCol w:w="1035"/>
        <w:gridCol w:w="7500"/>
        <w:gridCol w:w="555"/>
      </w:tblGrid>
      <w:tr w14:paraId="553BAF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35" w:hRule="atLeast"/>
        </w:trPr>
        <w:tc>
          <w:tcPr>
            <w:tcW w:w="1245" w:type="dxa"/>
            <w:tcBorders>
              <w:top w:val="single" w:color="auto" w:sz="4" w:space="0"/>
              <w:left w:val="single" w:color="auto" w:sz="4" w:space="0"/>
              <w:bottom w:val="nil"/>
              <w:right w:val="single" w:color="auto" w:sz="4" w:space="0"/>
            </w:tcBorders>
            <w:vAlign w:val="top"/>
          </w:tcPr>
          <w:p w14:paraId="0AEC7762">
            <w:pPr>
              <w:pStyle w:val="10"/>
              <w:spacing w:before="1" w:line="231" w:lineRule="auto"/>
              <w:rPr>
                <w:color w:val="auto"/>
                <w:highlight w:val="none"/>
              </w:rPr>
            </w:pPr>
          </w:p>
        </w:tc>
        <w:tc>
          <w:tcPr>
            <w:tcW w:w="1035" w:type="dxa"/>
            <w:tcBorders>
              <w:left w:val="single" w:color="auto" w:sz="4" w:space="0"/>
            </w:tcBorders>
            <w:vAlign w:val="center"/>
          </w:tcPr>
          <w:p w14:paraId="5749BDF9">
            <w:pPr>
              <w:pStyle w:val="10"/>
              <w:keepNext w:val="0"/>
              <w:keepLines w:val="0"/>
              <w:pageBreakBefore w:val="0"/>
              <w:widowControl/>
              <w:kinsoku w:val="0"/>
              <w:wordWrap/>
              <w:overflowPunct/>
              <w:topLinePunct w:val="0"/>
              <w:autoSpaceDE w:val="0"/>
              <w:autoSpaceDN w:val="0"/>
              <w:bidi w:val="0"/>
              <w:adjustRightInd w:val="0"/>
              <w:snapToGrid w:val="0"/>
              <w:spacing w:line="363" w:lineRule="auto"/>
              <w:ind w:left="0" w:right="0" w:firstLine="0"/>
              <w:jc w:val="center"/>
              <w:textAlignment w:val="baseline"/>
              <w:rPr>
                <w:color w:val="auto"/>
                <w:highlight w:val="none"/>
              </w:rPr>
            </w:pPr>
            <w:r>
              <w:rPr>
                <w:color w:val="auto"/>
                <w:spacing w:val="-4"/>
                <w:highlight w:val="none"/>
              </w:rPr>
              <w:t>就餐满意度</w:t>
            </w:r>
          </w:p>
        </w:tc>
        <w:tc>
          <w:tcPr>
            <w:tcW w:w="7500" w:type="dxa"/>
            <w:vAlign w:val="top"/>
          </w:tcPr>
          <w:p w14:paraId="45BCC32F">
            <w:pPr>
              <w:pStyle w:val="10"/>
              <w:spacing w:before="118" w:line="313" w:lineRule="auto"/>
              <w:ind w:left="112" w:right="103" w:firstLine="499"/>
              <w:rPr>
                <w:color w:val="auto"/>
                <w:highlight w:val="none"/>
              </w:rPr>
            </w:pPr>
            <w:r>
              <w:rPr>
                <w:color w:val="auto"/>
                <w:spacing w:val="-1"/>
                <w:highlight w:val="none"/>
              </w:rPr>
              <w:t>1. 每月需对职工及病人用餐进行满意度调查，可在餐厅现场扫</w:t>
            </w:r>
            <w:r>
              <w:rPr>
                <w:color w:val="auto"/>
                <w:spacing w:val="-7"/>
                <w:highlight w:val="none"/>
              </w:rPr>
              <w:t>码、科室走访等方式进行问卷调查，一个月职工餐最低样本不低于</w:t>
            </w:r>
            <w:r>
              <w:rPr>
                <w:color w:val="auto"/>
                <w:spacing w:val="-32"/>
                <w:highlight w:val="none"/>
              </w:rPr>
              <w:t xml:space="preserve"> </w:t>
            </w:r>
            <w:r>
              <w:rPr>
                <w:color w:val="auto"/>
                <w:spacing w:val="-7"/>
                <w:highlight w:val="none"/>
              </w:rPr>
              <w:t>200</w:t>
            </w:r>
            <w:r>
              <w:rPr>
                <w:color w:val="auto"/>
                <w:spacing w:val="-3"/>
                <w:highlight w:val="none"/>
              </w:rPr>
              <w:t>份（无上限）、病人餐最低样本不低于</w:t>
            </w:r>
            <w:r>
              <w:rPr>
                <w:color w:val="auto"/>
                <w:spacing w:val="-26"/>
                <w:highlight w:val="none"/>
              </w:rPr>
              <w:t xml:space="preserve"> </w:t>
            </w:r>
            <w:r>
              <w:rPr>
                <w:color w:val="auto"/>
                <w:spacing w:val="-3"/>
                <w:highlight w:val="none"/>
              </w:rPr>
              <w:t>100</w:t>
            </w:r>
            <w:r>
              <w:rPr>
                <w:color w:val="auto"/>
                <w:spacing w:val="-50"/>
                <w:highlight w:val="none"/>
              </w:rPr>
              <w:t xml:space="preserve"> </w:t>
            </w:r>
            <w:r>
              <w:rPr>
                <w:color w:val="auto"/>
                <w:spacing w:val="-3"/>
                <w:highlight w:val="none"/>
              </w:rPr>
              <w:t>份（无上限）。</w:t>
            </w:r>
          </w:p>
          <w:p w14:paraId="3F9F555E">
            <w:pPr>
              <w:pStyle w:val="10"/>
              <w:spacing w:before="184" w:line="313" w:lineRule="auto"/>
              <w:ind w:left="114" w:right="103" w:firstLine="482"/>
              <w:rPr>
                <w:color w:val="auto"/>
                <w:highlight w:val="none"/>
              </w:rPr>
            </w:pPr>
            <w:r>
              <w:rPr>
                <w:color w:val="auto"/>
                <w:spacing w:val="-2"/>
                <w:highlight w:val="none"/>
              </w:rPr>
              <w:t>2. 职工餐满意度调查平均值在</w:t>
            </w:r>
            <w:r>
              <w:rPr>
                <w:color w:val="auto"/>
                <w:spacing w:val="-33"/>
                <w:highlight w:val="none"/>
              </w:rPr>
              <w:t xml:space="preserve"> </w:t>
            </w:r>
            <w:r>
              <w:rPr>
                <w:color w:val="auto"/>
                <w:spacing w:val="-2"/>
                <w:highlight w:val="none"/>
              </w:rPr>
              <w:t>80</w:t>
            </w:r>
            <w:r>
              <w:rPr>
                <w:color w:val="auto"/>
                <w:spacing w:val="-48"/>
                <w:highlight w:val="none"/>
              </w:rPr>
              <w:t xml:space="preserve"> </w:t>
            </w:r>
            <w:r>
              <w:rPr>
                <w:color w:val="auto"/>
                <w:spacing w:val="-2"/>
                <w:highlight w:val="none"/>
              </w:rPr>
              <w:t>分以上不扣分、满意度调查平</w:t>
            </w:r>
            <w:r>
              <w:rPr>
                <w:color w:val="auto"/>
                <w:spacing w:val="-3"/>
                <w:highlight w:val="none"/>
              </w:rPr>
              <w:t>均值在</w:t>
            </w:r>
            <w:r>
              <w:rPr>
                <w:color w:val="auto"/>
                <w:spacing w:val="-44"/>
                <w:highlight w:val="none"/>
              </w:rPr>
              <w:t xml:space="preserve"> </w:t>
            </w:r>
            <w:r>
              <w:rPr>
                <w:color w:val="auto"/>
                <w:spacing w:val="-3"/>
                <w:highlight w:val="none"/>
              </w:rPr>
              <w:t>75-79</w:t>
            </w:r>
            <w:r>
              <w:rPr>
                <w:color w:val="auto"/>
                <w:spacing w:val="-48"/>
                <w:highlight w:val="none"/>
              </w:rPr>
              <w:t xml:space="preserve"> </w:t>
            </w:r>
            <w:r>
              <w:rPr>
                <w:color w:val="auto"/>
                <w:spacing w:val="-3"/>
                <w:highlight w:val="none"/>
              </w:rPr>
              <w:t>分之间扣</w:t>
            </w:r>
            <w:r>
              <w:rPr>
                <w:color w:val="auto"/>
                <w:spacing w:val="-45"/>
                <w:highlight w:val="none"/>
              </w:rPr>
              <w:t xml:space="preserve"> </w:t>
            </w:r>
            <w:r>
              <w:rPr>
                <w:color w:val="auto"/>
                <w:spacing w:val="-3"/>
                <w:highlight w:val="none"/>
              </w:rPr>
              <w:t>3</w:t>
            </w:r>
            <w:r>
              <w:rPr>
                <w:color w:val="auto"/>
                <w:spacing w:val="-48"/>
                <w:highlight w:val="none"/>
              </w:rPr>
              <w:t xml:space="preserve"> </w:t>
            </w:r>
            <w:r>
              <w:rPr>
                <w:color w:val="auto"/>
                <w:spacing w:val="-3"/>
                <w:highlight w:val="none"/>
              </w:rPr>
              <w:t>分，满意度调查平均值在</w:t>
            </w:r>
            <w:r>
              <w:rPr>
                <w:color w:val="auto"/>
                <w:spacing w:val="-45"/>
                <w:highlight w:val="none"/>
              </w:rPr>
              <w:t xml:space="preserve"> </w:t>
            </w:r>
            <w:r>
              <w:rPr>
                <w:color w:val="auto"/>
                <w:spacing w:val="-3"/>
                <w:highlight w:val="none"/>
              </w:rPr>
              <w:t>70-74</w:t>
            </w:r>
            <w:r>
              <w:rPr>
                <w:color w:val="auto"/>
                <w:spacing w:val="-47"/>
                <w:highlight w:val="none"/>
              </w:rPr>
              <w:t xml:space="preserve"> </w:t>
            </w:r>
            <w:r>
              <w:rPr>
                <w:color w:val="auto"/>
                <w:spacing w:val="-4"/>
                <w:highlight w:val="none"/>
              </w:rPr>
              <w:t>分之间扣</w:t>
            </w:r>
            <w:r>
              <w:rPr>
                <w:color w:val="auto"/>
                <w:spacing w:val="-46"/>
                <w:highlight w:val="none"/>
              </w:rPr>
              <w:t xml:space="preserve"> </w:t>
            </w:r>
            <w:r>
              <w:rPr>
                <w:color w:val="auto"/>
                <w:spacing w:val="-4"/>
                <w:highlight w:val="none"/>
              </w:rPr>
              <w:t>5</w:t>
            </w:r>
            <w:r>
              <w:rPr>
                <w:color w:val="auto"/>
                <w:spacing w:val="-5"/>
                <w:highlight w:val="none"/>
              </w:rPr>
              <w:t>分，满意度调查平均值低于</w:t>
            </w:r>
            <w:r>
              <w:rPr>
                <w:color w:val="auto"/>
                <w:spacing w:val="-34"/>
                <w:highlight w:val="none"/>
              </w:rPr>
              <w:t xml:space="preserve"> </w:t>
            </w:r>
            <w:r>
              <w:rPr>
                <w:color w:val="auto"/>
                <w:spacing w:val="-5"/>
                <w:highlight w:val="none"/>
              </w:rPr>
              <w:t>74</w:t>
            </w:r>
            <w:r>
              <w:rPr>
                <w:color w:val="auto"/>
                <w:spacing w:val="-47"/>
                <w:highlight w:val="none"/>
              </w:rPr>
              <w:t xml:space="preserve"> </w:t>
            </w:r>
            <w:r>
              <w:rPr>
                <w:color w:val="auto"/>
                <w:spacing w:val="-5"/>
                <w:highlight w:val="none"/>
              </w:rPr>
              <w:t>分扣</w:t>
            </w:r>
            <w:r>
              <w:rPr>
                <w:color w:val="auto"/>
                <w:spacing w:val="-33"/>
                <w:highlight w:val="none"/>
              </w:rPr>
              <w:t xml:space="preserve"> </w:t>
            </w:r>
            <w:r>
              <w:rPr>
                <w:color w:val="auto"/>
                <w:spacing w:val="-5"/>
                <w:highlight w:val="none"/>
              </w:rPr>
              <w:t>10</w:t>
            </w:r>
            <w:r>
              <w:rPr>
                <w:color w:val="auto"/>
                <w:spacing w:val="-48"/>
                <w:highlight w:val="none"/>
              </w:rPr>
              <w:t xml:space="preserve"> </w:t>
            </w:r>
            <w:r>
              <w:rPr>
                <w:color w:val="auto"/>
                <w:spacing w:val="-5"/>
                <w:highlight w:val="none"/>
              </w:rPr>
              <w:t>分。</w:t>
            </w:r>
          </w:p>
          <w:p w14:paraId="5E4B5C23">
            <w:pPr>
              <w:pStyle w:val="10"/>
              <w:spacing w:before="183" w:line="313" w:lineRule="auto"/>
              <w:ind w:left="114" w:right="103" w:firstLine="484"/>
              <w:rPr>
                <w:color w:val="auto"/>
                <w:spacing w:val="-5"/>
                <w:highlight w:val="none"/>
              </w:rPr>
            </w:pPr>
            <w:r>
              <w:rPr>
                <w:color w:val="auto"/>
                <w:spacing w:val="-2"/>
                <w:highlight w:val="none"/>
              </w:rPr>
              <w:t>3. 病人餐满意度调查平均值在</w:t>
            </w:r>
            <w:r>
              <w:rPr>
                <w:color w:val="auto"/>
                <w:spacing w:val="-35"/>
                <w:highlight w:val="none"/>
              </w:rPr>
              <w:t xml:space="preserve"> </w:t>
            </w:r>
            <w:r>
              <w:rPr>
                <w:color w:val="auto"/>
                <w:spacing w:val="-2"/>
                <w:highlight w:val="none"/>
              </w:rPr>
              <w:t>80</w:t>
            </w:r>
            <w:r>
              <w:rPr>
                <w:color w:val="auto"/>
                <w:spacing w:val="-47"/>
                <w:highlight w:val="none"/>
              </w:rPr>
              <w:t xml:space="preserve"> </w:t>
            </w:r>
            <w:r>
              <w:rPr>
                <w:color w:val="auto"/>
                <w:spacing w:val="-2"/>
                <w:highlight w:val="none"/>
              </w:rPr>
              <w:t>分以上不扣分、满意度调查平</w:t>
            </w:r>
            <w:r>
              <w:rPr>
                <w:color w:val="auto"/>
                <w:spacing w:val="-3"/>
                <w:highlight w:val="none"/>
              </w:rPr>
              <w:t>均值在</w:t>
            </w:r>
            <w:r>
              <w:rPr>
                <w:color w:val="auto"/>
                <w:spacing w:val="-45"/>
                <w:highlight w:val="none"/>
              </w:rPr>
              <w:t xml:space="preserve"> </w:t>
            </w:r>
            <w:r>
              <w:rPr>
                <w:color w:val="auto"/>
                <w:spacing w:val="-3"/>
                <w:highlight w:val="none"/>
              </w:rPr>
              <w:t>70-79</w:t>
            </w:r>
            <w:r>
              <w:rPr>
                <w:color w:val="auto"/>
                <w:spacing w:val="-48"/>
                <w:highlight w:val="none"/>
              </w:rPr>
              <w:t xml:space="preserve"> </w:t>
            </w:r>
            <w:r>
              <w:rPr>
                <w:color w:val="auto"/>
                <w:spacing w:val="-3"/>
                <w:highlight w:val="none"/>
              </w:rPr>
              <w:t>分之间扣</w:t>
            </w:r>
            <w:r>
              <w:rPr>
                <w:color w:val="auto"/>
                <w:spacing w:val="-46"/>
                <w:highlight w:val="none"/>
              </w:rPr>
              <w:t xml:space="preserve"> </w:t>
            </w:r>
            <w:r>
              <w:rPr>
                <w:color w:val="auto"/>
                <w:spacing w:val="-3"/>
                <w:highlight w:val="none"/>
              </w:rPr>
              <w:t>3</w:t>
            </w:r>
            <w:r>
              <w:rPr>
                <w:color w:val="auto"/>
                <w:spacing w:val="-47"/>
                <w:highlight w:val="none"/>
              </w:rPr>
              <w:t xml:space="preserve"> </w:t>
            </w:r>
            <w:r>
              <w:rPr>
                <w:color w:val="auto"/>
                <w:spacing w:val="-3"/>
                <w:highlight w:val="none"/>
              </w:rPr>
              <w:t>分，满意度调查平均值在</w:t>
            </w:r>
            <w:r>
              <w:rPr>
                <w:color w:val="auto"/>
                <w:spacing w:val="-49"/>
                <w:highlight w:val="none"/>
              </w:rPr>
              <w:t xml:space="preserve"> </w:t>
            </w:r>
            <w:r>
              <w:rPr>
                <w:color w:val="auto"/>
                <w:spacing w:val="-3"/>
                <w:highlight w:val="none"/>
              </w:rPr>
              <w:t>60-69</w:t>
            </w:r>
            <w:r>
              <w:rPr>
                <w:color w:val="auto"/>
                <w:spacing w:val="-47"/>
                <w:highlight w:val="none"/>
              </w:rPr>
              <w:t xml:space="preserve"> </w:t>
            </w:r>
            <w:r>
              <w:rPr>
                <w:color w:val="auto"/>
                <w:spacing w:val="-3"/>
                <w:highlight w:val="none"/>
              </w:rPr>
              <w:t>分之间扣</w:t>
            </w:r>
            <w:r>
              <w:rPr>
                <w:color w:val="auto"/>
                <w:spacing w:val="-46"/>
                <w:highlight w:val="none"/>
              </w:rPr>
              <w:t xml:space="preserve"> </w:t>
            </w:r>
            <w:r>
              <w:rPr>
                <w:color w:val="auto"/>
                <w:spacing w:val="-3"/>
                <w:highlight w:val="none"/>
              </w:rPr>
              <w:t>5</w:t>
            </w:r>
            <w:r>
              <w:rPr>
                <w:color w:val="auto"/>
                <w:spacing w:val="-5"/>
                <w:highlight w:val="none"/>
              </w:rPr>
              <w:t>分，满意度调查平均值低于</w:t>
            </w:r>
            <w:r>
              <w:rPr>
                <w:color w:val="auto"/>
                <w:spacing w:val="-34"/>
                <w:highlight w:val="none"/>
              </w:rPr>
              <w:t xml:space="preserve"> </w:t>
            </w:r>
            <w:r>
              <w:rPr>
                <w:color w:val="auto"/>
                <w:spacing w:val="-5"/>
                <w:highlight w:val="none"/>
              </w:rPr>
              <w:t>60</w:t>
            </w:r>
            <w:r>
              <w:rPr>
                <w:color w:val="auto"/>
                <w:spacing w:val="-47"/>
                <w:highlight w:val="none"/>
              </w:rPr>
              <w:t xml:space="preserve"> </w:t>
            </w:r>
            <w:r>
              <w:rPr>
                <w:color w:val="auto"/>
                <w:spacing w:val="-5"/>
                <w:highlight w:val="none"/>
              </w:rPr>
              <w:t>分扣</w:t>
            </w:r>
            <w:r>
              <w:rPr>
                <w:color w:val="auto"/>
                <w:spacing w:val="-33"/>
                <w:highlight w:val="none"/>
              </w:rPr>
              <w:t xml:space="preserve"> </w:t>
            </w:r>
            <w:r>
              <w:rPr>
                <w:color w:val="auto"/>
                <w:spacing w:val="-5"/>
                <w:highlight w:val="none"/>
              </w:rPr>
              <w:t>10</w:t>
            </w:r>
            <w:r>
              <w:rPr>
                <w:color w:val="auto"/>
                <w:spacing w:val="-48"/>
                <w:highlight w:val="none"/>
              </w:rPr>
              <w:t xml:space="preserve"> </w:t>
            </w:r>
            <w:r>
              <w:rPr>
                <w:color w:val="auto"/>
                <w:spacing w:val="-5"/>
                <w:highlight w:val="none"/>
              </w:rPr>
              <w:t>分。</w:t>
            </w:r>
          </w:p>
          <w:p w14:paraId="365AEB29">
            <w:pPr>
              <w:pStyle w:val="10"/>
              <w:spacing w:before="183" w:line="313" w:lineRule="auto"/>
              <w:ind w:left="114" w:right="103" w:firstLine="484"/>
              <w:rPr>
                <w:color w:val="auto"/>
                <w:spacing w:val="-5"/>
                <w:highlight w:val="none"/>
              </w:rPr>
            </w:pPr>
            <w:r>
              <w:rPr>
                <w:color w:val="auto"/>
                <w:spacing w:val="-1"/>
                <w:highlight w:val="none"/>
              </w:rPr>
              <w:t>4. 在职工餐调查结果满意度调查平均值低于</w:t>
            </w:r>
            <w:r>
              <w:rPr>
                <w:color w:val="auto"/>
                <w:spacing w:val="-52"/>
                <w:highlight w:val="none"/>
              </w:rPr>
              <w:t xml:space="preserve"> </w:t>
            </w:r>
            <w:r>
              <w:rPr>
                <w:color w:val="auto"/>
                <w:spacing w:val="-1"/>
                <w:highlight w:val="none"/>
              </w:rPr>
              <w:t>80</w:t>
            </w:r>
            <w:r>
              <w:rPr>
                <w:color w:val="auto"/>
                <w:spacing w:val="-50"/>
                <w:highlight w:val="none"/>
              </w:rPr>
              <w:t xml:space="preserve"> </w:t>
            </w:r>
            <w:r>
              <w:rPr>
                <w:color w:val="auto"/>
                <w:spacing w:val="-1"/>
                <w:highlight w:val="none"/>
              </w:rPr>
              <w:t>分或病人餐</w:t>
            </w:r>
            <w:r>
              <w:rPr>
                <w:color w:val="auto"/>
                <w:spacing w:val="-2"/>
                <w:highlight w:val="none"/>
              </w:rPr>
              <w:t>满意</w:t>
            </w:r>
            <w:r>
              <w:rPr>
                <w:color w:val="auto"/>
                <w:spacing w:val="-3"/>
                <w:highlight w:val="none"/>
              </w:rPr>
              <w:t>度调查平均值低于</w:t>
            </w:r>
            <w:r>
              <w:rPr>
                <w:color w:val="auto"/>
                <w:spacing w:val="-29"/>
                <w:highlight w:val="none"/>
              </w:rPr>
              <w:t xml:space="preserve"> </w:t>
            </w:r>
            <w:r>
              <w:rPr>
                <w:color w:val="auto"/>
                <w:spacing w:val="-3"/>
                <w:highlight w:val="none"/>
              </w:rPr>
              <w:t>70</w:t>
            </w:r>
            <w:r>
              <w:rPr>
                <w:color w:val="auto"/>
                <w:spacing w:val="-48"/>
                <w:highlight w:val="none"/>
              </w:rPr>
              <w:t xml:space="preserve"> </w:t>
            </w:r>
            <w:r>
              <w:rPr>
                <w:color w:val="auto"/>
                <w:spacing w:val="-3"/>
                <w:highlight w:val="none"/>
              </w:rPr>
              <w:t>分时，应在</w:t>
            </w:r>
            <w:r>
              <w:rPr>
                <w:color w:val="auto"/>
                <w:spacing w:val="-32"/>
                <w:highlight w:val="none"/>
              </w:rPr>
              <w:t xml:space="preserve"> </w:t>
            </w:r>
            <w:r>
              <w:rPr>
                <w:color w:val="auto"/>
                <w:spacing w:val="-3"/>
                <w:highlight w:val="none"/>
              </w:rPr>
              <w:t>1</w:t>
            </w:r>
            <w:r>
              <w:rPr>
                <w:color w:val="auto"/>
                <w:spacing w:val="-50"/>
                <w:highlight w:val="none"/>
              </w:rPr>
              <w:t xml:space="preserve"> </w:t>
            </w:r>
            <w:r>
              <w:rPr>
                <w:color w:val="auto"/>
                <w:spacing w:val="-3"/>
                <w:highlight w:val="none"/>
              </w:rPr>
              <w:t>周内提交书面分析报告及整改措</w:t>
            </w:r>
            <w:r>
              <w:rPr>
                <w:color w:val="auto"/>
                <w:spacing w:val="-4"/>
                <w:highlight w:val="none"/>
              </w:rPr>
              <w:t>施，如未按时提交，每次扣</w:t>
            </w:r>
            <w:r>
              <w:rPr>
                <w:color w:val="auto"/>
                <w:spacing w:val="-32"/>
                <w:highlight w:val="none"/>
              </w:rPr>
              <w:t xml:space="preserve"> </w:t>
            </w:r>
            <w:r>
              <w:rPr>
                <w:color w:val="auto"/>
                <w:spacing w:val="-4"/>
                <w:highlight w:val="none"/>
              </w:rPr>
              <w:t>5</w:t>
            </w:r>
            <w:r>
              <w:rPr>
                <w:color w:val="auto"/>
                <w:spacing w:val="-48"/>
                <w:highlight w:val="none"/>
              </w:rPr>
              <w:t xml:space="preserve"> </w:t>
            </w:r>
            <w:r>
              <w:rPr>
                <w:color w:val="auto"/>
                <w:spacing w:val="-4"/>
                <w:highlight w:val="none"/>
              </w:rPr>
              <w:t>分。</w:t>
            </w:r>
          </w:p>
        </w:tc>
        <w:tc>
          <w:tcPr>
            <w:tcW w:w="555" w:type="dxa"/>
            <w:vAlign w:val="top"/>
          </w:tcPr>
          <w:p w14:paraId="7FE8F49B">
            <w:pPr>
              <w:rPr>
                <w:rFonts w:ascii="Arial"/>
                <w:color w:val="auto"/>
                <w:sz w:val="21"/>
                <w:highlight w:val="none"/>
              </w:rPr>
            </w:pPr>
          </w:p>
        </w:tc>
      </w:tr>
      <w:tr w14:paraId="12CAF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9" w:hRule="atLeast"/>
        </w:trPr>
        <w:tc>
          <w:tcPr>
            <w:tcW w:w="1245" w:type="dxa"/>
            <w:tcBorders>
              <w:top w:val="nil"/>
              <w:left w:val="single" w:color="auto" w:sz="4" w:space="0"/>
              <w:bottom w:val="single" w:color="auto" w:sz="4" w:space="0"/>
              <w:right w:val="single" w:color="auto" w:sz="4" w:space="0"/>
            </w:tcBorders>
            <w:vAlign w:val="top"/>
          </w:tcPr>
          <w:p w14:paraId="0B5F3457">
            <w:pPr>
              <w:rPr>
                <w:rFonts w:ascii="Arial"/>
                <w:color w:val="auto"/>
                <w:sz w:val="21"/>
                <w:highlight w:val="none"/>
              </w:rPr>
            </w:pPr>
          </w:p>
        </w:tc>
        <w:tc>
          <w:tcPr>
            <w:tcW w:w="1035" w:type="dxa"/>
            <w:tcBorders>
              <w:left w:val="single" w:color="auto" w:sz="4" w:space="0"/>
            </w:tcBorders>
            <w:vAlign w:val="center"/>
          </w:tcPr>
          <w:p w14:paraId="15D4D85E">
            <w:pPr>
              <w:pStyle w:val="10"/>
              <w:keepNext w:val="0"/>
              <w:keepLines w:val="0"/>
              <w:pageBreakBefore w:val="0"/>
              <w:widowControl/>
              <w:kinsoku w:val="0"/>
              <w:wordWrap/>
              <w:overflowPunct/>
              <w:topLinePunct w:val="0"/>
              <w:autoSpaceDE w:val="0"/>
              <w:autoSpaceDN w:val="0"/>
              <w:bidi w:val="0"/>
              <w:adjustRightInd w:val="0"/>
              <w:snapToGrid w:val="0"/>
              <w:spacing w:line="363" w:lineRule="auto"/>
              <w:ind w:left="119" w:right="0" w:hanging="119"/>
              <w:jc w:val="center"/>
              <w:textAlignment w:val="baseline"/>
              <w:rPr>
                <w:color w:val="auto"/>
                <w:highlight w:val="none"/>
              </w:rPr>
            </w:pPr>
            <w:r>
              <w:rPr>
                <w:color w:val="auto"/>
                <w:spacing w:val="-4"/>
                <w:highlight w:val="none"/>
              </w:rPr>
              <w:t>就餐投</w:t>
            </w:r>
            <w:r>
              <w:rPr>
                <w:color w:val="auto"/>
                <w:spacing w:val="-3"/>
                <w:highlight w:val="none"/>
              </w:rPr>
              <w:t>诉率</w:t>
            </w:r>
          </w:p>
        </w:tc>
        <w:tc>
          <w:tcPr>
            <w:tcW w:w="7500" w:type="dxa"/>
            <w:vAlign w:val="top"/>
          </w:tcPr>
          <w:p w14:paraId="3CB6E080">
            <w:pPr>
              <w:pStyle w:val="10"/>
              <w:spacing w:before="117" w:line="313" w:lineRule="auto"/>
              <w:ind w:left="115" w:right="104" w:firstLine="496"/>
              <w:rPr>
                <w:color w:val="auto"/>
                <w:highlight w:val="none"/>
              </w:rPr>
            </w:pPr>
            <w:r>
              <w:rPr>
                <w:color w:val="auto"/>
                <w:spacing w:val="-1"/>
                <w:highlight w:val="none"/>
              </w:rPr>
              <w:t>1. 收到</w:t>
            </w:r>
            <w:r>
              <w:rPr>
                <w:rFonts w:hint="eastAsia"/>
                <w:color w:val="auto"/>
                <w:spacing w:val="-1"/>
                <w:highlight w:val="none"/>
                <w:lang w:eastAsia="zh-CN"/>
              </w:rPr>
              <w:t>招租方</w:t>
            </w:r>
            <w:r>
              <w:rPr>
                <w:color w:val="auto"/>
                <w:spacing w:val="-1"/>
                <w:highlight w:val="none"/>
              </w:rPr>
              <w:t>职工或病人合理的投诉（如出品质量、配餐服务</w:t>
            </w:r>
            <w:r>
              <w:rPr>
                <w:color w:val="auto"/>
                <w:spacing w:val="-2"/>
                <w:highlight w:val="none"/>
              </w:rPr>
              <w:t>等</w:t>
            </w:r>
            <w:r>
              <w:rPr>
                <w:color w:val="auto"/>
                <w:spacing w:val="-1"/>
                <w:highlight w:val="none"/>
              </w:rPr>
              <w:t>），</w:t>
            </w:r>
            <w:r>
              <w:rPr>
                <w:color w:val="auto"/>
                <w:spacing w:val="-2"/>
                <w:highlight w:val="none"/>
              </w:rPr>
              <w:t>每次扣</w:t>
            </w:r>
            <w:r>
              <w:rPr>
                <w:color w:val="auto"/>
                <w:spacing w:val="-32"/>
                <w:highlight w:val="none"/>
              </w:rPr>
              <w:t xml:space="preserve"> </w:t>
            </w:r>
            <w:r>
              <w:rPr>
                <w:color w:val="auto"/>
                <w:spacing w:val="-2"/>
                <w:highlight w:val="none"/>
              </w:rPr>
              <w:t>1</w:t>
            </w:r>
            <w:r>
              <w:rPr>
                <w:color w:val="auto"/>
                <w:spacing w:val="-48"/>
                <w:highlight w:val="none"/>
              </w:rPr>
              <w:t xml:space="preserve"> </w:t>
            </w:r>
            <w:r>
              <w:rPr>
                <w:color w:val="auto"/>
                <w:spacing w:val="-2"/>
                <w:highlight w:val="none"/>
              </w:rPr>
              <w:t>分（如投诉内容已在其他考核标准扣分，本项不</w:t>
            </w:r>
            <w:r>
              <w:rPr>
                <w:color w:val="auto"/>
                <w:spacing w:val="-3"/>
                <w:highlight w:val="none"/>
              </w:rPr>
              <w:t>再扣</w:t>
            </w:r>
            <w:r>
              <w:rPr>
                <w:color w:val="auto"/>
                <w:spacing w:val="-11"/>
                <w:highlight w:val="none"/>
              </w:rPr>
              <w:t>分）。</w:t>
            </w:r>
          </w:p>
          <w:p w14:paraId="445EE9DB">
            <w:pPr>
              <w:pStyle w:val="10"/>
              <w:spacing w:before="181" w:line="290" w:lineRule="auto"/>
              <w:ind w:left="116" w:right="275" w:firstLine="480"/>
              <w:rPr>
                <w:color w:val="auto"/>
                <w:highlight w:val="none"/>
              </w:rPr>
            </w:pPr>
            <w:r>
              <w:rPr>
                <w:color w:val="auto"/>
                <w:spacing w:val="-2"/>
                <w:highlight w:val="none"/>
              </w:rPr>
              <w:t>2. 收到</w:t>
            </w:r>
            <w:r>
              <w:rPr>
                <w:rFonts w:hint="eastAsia"/>
                <w:color w:val="auto"/>
                <w:spacing w:val="-2"/>
                <w:highlight w:val="none"/>
                <w:lang w:eastAsia="zh-CN"/>
              </w:rPr>
              <w:t>招租方</w:t>
            </w:r>
            <w:r>
              <w:rPr>
                <w:color w:val="auto"/>
                <w:spacing w:val="-2"/>
                <w:highlight w:val="none"/>
              </w:rPr>
              <w:t>职工或病人关于服务态度方面的投诉，每次扣</w:t>
            </w:r>
            <w:r>
              <w:rPr>
                <w:color w:val="auto"/>
                <w:spacing w:val="-15"/>
                <w:highlight w:val="none"/>
              </w:rPr>
              <w:t xml:space="preserve"> </w:t>
            </w:r>
            <w:r>
              <w:rPr>
                <w:color w:val="auto"/>
                <w:spacing w:val="-2"/>
                <w:highlight w:val="none"/>
              </w:rPr>
              <w:t>1</w:t>
            </w:r>
            <w:r>
              <w:rPr>
                <w:color w:val="auto"/>
                <w:spacing w:val="-12"/>
                <w:highlight w:val="none"/>
              </w:rPr>
              <w:t>分。</w:t>
            </w:r>
          </w:p>
          <w:p w14:paraId="4BD95309">
            <w:pPr>
              <w:pStyle w:val="10"/>
              <w:spacing w:before="181" w:line="220" w:lineRule="auto"/>
              <w:ind w:left="599"/>
              <w:rPr>
                <w:color w:val="auto"/>
                <w:highlight w:val="none"/>
              </w:rPr>
            </w:pPr>
            <w:r>
              <w:rPr>
                <w:color w:val="auto"/>
                <w:spacing w:val="-2"/>
                <w:highlight w:val="none"/>
              </w:rPr>
              <w:t>3. 收到与职工或病人及家属争吵的投诉，每次扣</w:t>
            </w:r>
            <w:r>
              <w:rPr>
                <w:color w:val="auto"/>
                <w:spacing w:val="-46"/>
                <w:highlight w:val="none"/>
              </w:rPr>
              <w:t xml:space="preserve"> </w:t>
            </w:r>
            <w:r>
              <w:rPr>
                <w:color w:val="auto"/>
                <w:spacing w:val="-2"/>
                <w:highlight w:val="none"/>
              </w:rPr>
              <w:t>2</w:t>
            </w:r>
            <w:r>
              <w:rPr>
                <w:color w:val="auto"/>
                <w:spacing w:val="-48"/>
                <w:highlight w:val="none"/>
              </w:rPr>
              <w:t xml:space="preserve"> </w:t>
            </w:r>
            <w:r>
              <w:rPr>
                <w:color w:val="auto"/>
                <w:spacing w:val="-2"/>
                <w:highlight w:val="none"/>
              </w:rPr>
              <w:t>分。</w:t>
            </w:r>
          </w:p>
          <w:p w14:paraId="3FC6C617">
            <w:pPr>
              <w:pStyle w:val="10"/>
              <w:spacing w:before="183" w:line="313" w:lineRule="auto"/>
              <w:ind w:left="116" w:right="102" w:firstLine="476"/>
              <w:rPr>
                <w:color w:val="auto"/>
                <w:highlight w:val="none"/>
              </w:rPr>
            </w:pPr>
            <w:r>
              <w:rPr>
                <w:color w:val="auto"/>
                <w:highlight w:val="none"/>
              </w:rPr>
              <w:t>4. 应对投诉进行书面记录、分析原因、</w:t>
            </w:r>
            <w:r>
              <w:rPr>
                <w:color w:val="auto"/>
                <w:spacing w:val="-1"/>
                <w:highlight w:val="none"/>
              </w:rPr>
              <w:t>提出解决措施，并在收</w:t>
            </w:r>
            <w:r>
              <w:rPr>
                <w:color w:val="auto"/>
                <w:spacing w:val="-2"/>
                <w:highlight w:val="none"/>
              </w:rPr>
              <w:t>到投诉的</w:t>
            </w:r>
            <w:r>
              <w:rPr>
                <w:color w:val="auto"/>
                <w:spacing w:val="-28"/>
                <w:highlight w:val="none"/>
              </w:rPr>
              <w:t xml:space="preserve"> </w:t>
            </w:r>
            <w:r>
              <w:rPr>
                <w:color w:val="auto"/>
                <w:spacing w:val="-2"/>
                <w:highlight w:val="none"/>
              </w:rPr>
              <w:t>3</w:t>
            </w:r>
            <w:r>
              <w:rPr>
                <w:color w:val="auto"/>
                <w:spacing w:val="-50"/>
                <w:highlight w:val="none"/>
              </w:rPr>
              <w:t xml:space="preserve"> </w:t>
            </w:r>
            <w:r>
              <w:rPr>
                <w:color w:val="auto"/>
                <w:spacing w:val="-2"/>
                <w:highlight w:val="none"/>
              </w:rPr>
              <w:t>个工作日内交至</w:t>
            </w:r>
            <w:r>
              <w:rPr>
                <w:rFonts w:hint="eastAsia"/>
                <w:color w:val="auto"/>
                <w:spacing w:val="-2"/>
                <w:highlight w:val="none"/>
                <w:lang w:eastAsia="zh-CN"/>
              </w:rPr>
              <w:t>招租方</w:t>
            </w:r>
            <w:r>
              <w:rPr>
                <w:color w:val="auto"/>
                <w:spacing w:val="-2"/>
                <w:highlight w:val="none"/>
              </w:rPr>
              <w:t>备案，如未按实记录或未按时提交</w:t>
            </w:r>
            <w:r>
              <w:rPr>
                <w:color w:val="auto"/>
                <w:spacing w:val="-7"/>
                <w:highlight w:val="none"/>
              </w:rPr>
              <w:t>备案，每次扣</w:t>
            </w:r>
            <w:r>
              <w:rPr>
                <w:color w:val="auto"/>
                <w:spacing w:val="-33"/>
                <w:highlight w:val="none"/>
              </w:rPr>
              <w:t xml:space="preserve"> </w:t>
            </w:r>
            <w:r>
              <w:rPr>
                <w:color w:val="auto"/>
                <w:spacing w:val="-7"/>
                <w:highlight w:val="none"/>
              </w:rPr>
              <w:t>1</w:t>
            </w:r>
            <w:r>
              <w:rPr>
                <w:color w:val="auto"/>
                <w:spacing w:val="-48"/>
                <w:highlight w:val="none"/>
              </w:rPr>
              <w:t xml:space="preserve"> </w:t>
            </w:r>
            <w:r>
              <w:rPr>
                <w:color w:val="auto"/>
                <w:spacing w:val="-7"/>
                <w:highlight w:val="none"/>
              </w:rPr>
              <w:t>分。</w:t>
            </w:r>
          </w:p>
          <w:p w14:paraId="1FB6B0A4">
            <w:pPr>
              <w:pStyle w:val="10"/>
              <w:spacing w:before="183" w:line="313" w:lineRule="auto"/>
              <w:ind w:left="113" w:right="149" w:firstLine="485"/>
              <w:rPr>
                <w:color w:val="auto"/>
                <w:highlight w:val="none"/>
              </w:rPr>
            </w:pPr>
            <w:r>
              <w:rPr>
                <w:color w:val="auto"/>
                <w:spacing w:val="-2"/>
                <w:highlight w:val="none"/>
              </w:rPr>
              <w:t>5. 如出现</w:t>
            </w:r>
            <w:r>
              <w:rPr>
                <w:color w:val="auto"/>
                <w:spacing w:val="-29"/>
                <w:highlight w:val="none"/>
              </w:rPr>
              <w:t xml:space="preserve"> </w:t>
            </w:r>
            <w:r>
              <w:rPr>
                <w:color w:val="auto"/>
                <w:spacing w:val="-2"/>
                <w:highlight w:val="none"/>
              </w:rPr>
              <w:t>5</w:t>
            </w:r>
            <w:r>
              <w:rPr>
                <w:color w:val="auto"/>
                <w:spacing w:val="-49"/>
                <w:highlight w:val="none"/>
              </w:rPr>
              <w:t xml:space="preserve"> </w:t>
            </w:r>
            <w:r>
              <w:rPr>
                <w:color w:val="auto"/>
                <w:spacing w:val="-2"/>
                <w:highlight w:val="none"/>
              </w:rPr>
              <w:t>人（含）以上因食用同一款菜品导致腹泻或肠胃不</w:t>
            </w:r>
            <w:r>
              <w:rPr>
                <w:color w:val="auto"/>
                <w:spacing w:val="-3"/>
                <w:highlight w:val="none"/>
              </w:rPr>
              <w:t>适且有相关医学鉴定报告确定为食物引起的中毒病症，每次扣</w:t>
            </w:r>
            <w:r>
              <w:rPr>
                <w:color w:val="auto"/>
                <w:spacing w:val="-45"/>
                <w:highlight w:val="none"/>
              </w:rPr>
              <w:t xml:space="preserve"> </w:t>
            </w:r>
            <w:r>
              <w:rPr>
                <w:color w:val="auto"/>
                <w:spacing w:val="-3"/>
                <w:highlight w:val="none"/>
              </w:rPr>
              <w:t>5</w:t>
            </w:r>
            <w:r>
              <w:rPr>
                <w:color w:val="auto"/>
                <w:spacing w:val="-48"/>
                <w:highlight w:val="none"/>
              </w:rPr>
              <w:t xml:space="preserve"> </w:t>
            </w:r>
            <w:r>
              <w:rPr>
                <w:color w:val="auto"/>
                <w:spacing w:val="-3"/>
                <w:highlight w:val="none"/>
              </w:rPr>
              <w:t>分，且一切费用与经济纠纷由</w:t>
            </w:r>
            <w:r>
              <w:rPr>
                <w:rFonts w:hint="eastAsia"/>
                <w:color w:val="auto"/>
                <w:spacing w:val="-3"/>
                <w:highlight w:val="none"/>
                <w:lang w:eastAsia="zh-CN"/>
              </w:rPr>
              <w:t>承租方</w:t>
            </w:r>
            <w:r>
              <w:rPr>
                <w:color w:val="auto"/>
                <w:spacing w:val="-3"/>
                <w:highlight w:val="none"/>
              </w:rPr>
              <w:t>承担。</w:t>
            </w:r>
          </w:p>
        </w:tc>
        <w:tc>
          <w:tcPr>
            <w:tcW w:w="555" w:type="dxa"/>
            <w:vAlign w:val="top"/>
          </w:tcPr>
          <w:p w14:paraId="60BA77B8">
            <w:pPr>
              <w:rPr>
                <w:rFonts w:ascii="Arial"/>
                <w:color w:val="auto"/>
                <w:sz w:val="21"/>
                <w:highlight w:val="none"/>
              </w:rPr>
            </w:pPr>
          </w:p>
        </w:tc>
      </w:tr>
      <w:tr w14:paraId="773795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4" w:hRule="atLeast"/>
        </w:trPr>
        <w:tc>
          <w:tcPr>
            <w:tcW w:w="1245" w:type="dxa"/>
            <w:tcBorders>
              <w:top w:val="nil"/>
              <w:left w:val="single" w:color="auto" w:sz="4" w:space="0"/>
              <w:bottom w:val="single" w:color="auto" w:sz="4" w:space="0"/>
              <w:right w:val="single" w:color="auto" w:sz="4" w:space="0"/>
            </w:tcBorders>
            <w:shd w:val="clear" w:color="auto" w:fill="auto"/>
            <w:vAlign w:val="center"/>
          </w:tcPr>
          <w:p w14:paraId="07543188">
            <w:pPr>
              <w:pStyle w:val="10"/>
              <w:spacing w:before="78" w:line="220" w:lineRule="auto"/>
              <w:jc w:val="center"/>
              <w:rPr>
                <w:color w:val="auto"/>
                <w:highlight w:val="none"/>
              </w:rPr>
            </w:pPr>
            <w:r>
              <w:rPr>
                <w:color w:val="auto"/>
                <w:spacing w:val="-10"/>
                <w:highlight w:val="none"/>
              </w:rPr>
              <w:t>日常运营</w:t>
            </w:r>
            <w:r>
              <w:rPr>
                <w:color w:val="auto"/>
                <w:spacing w:val="-3"/>
                <w:highlight w:val="none"/>
              </w:rPr>
              <w:t>评价</w:t>
            </w:r>
          </w:p>
          <w:p w14:paraId="7553AED2">
            <w:pPr>
              <w:pStyle w:val="10"/>
              <w:spacing w:before="184" w:line="232" w:lineRule="auto"/>
              <w:ind w:left="284" w:leftChars="0"/>
              <w:jc w:val="both"/>
              <w:rPr>
                <w:rFonts w:ascii="宋体" w:hAnsi="宋体" w:eastAsia="宋体" w:cs="宋体"/>
                <w:snapToGrid w:val="0"/>
                <w:color w:val="auto"/>
                <w:kern w:val="0"/>
                <w:sz w:val="21"/>
                <w:szCs w:val="21"/>
                <w:highlight w:val="none"/>
                <w:lang w:val="en-US" w:eastAsia="en-US" w:bidi="ar-SA"/>
              </w:rPr>
            </w:pPr>
            <w:r>
              <w:rPr>
                <w:color w:val="auto"/>
                <w:spacing w:val="-4"/>
                <w:highlight w:val="none"/>
              </w:rPr>
              <w:t>（20）</w:t>
            </w:r>
          </w:p>
        </w:tc>
        <w:tc>
          <w:tcPr>
            <w:tcW w:w="1035" w:type="dxa"/>
            <w:tcBorders>
              <w:left w:val="single" w:color="auto" w:sz="4" w:space="0"/>
            </w:tcBorders>
            <w:shd w:val="clear" w:color="auto" w:fill="auto"/>
            <w:vAlign w:val="center"/>
          </w:tcPr>
          <w:p w14:paraId="3F5FE608">
            <w:pPr>
              <w:pStyle w:val="10"/>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 w:firstLineChars="0"/>
              <w:jc w:val="center"/>
              <w:textAlignment w:val="baseline"/>
              <w:rPr>
                <w:rFonts w:ascii="宋体" w:hAnsi="宋体" w:eastAsia="宋体" w:cs="宋体"/>
                <w:snapToGrid w:val="0"/>
                <w:color w:val="auto"/>
                <w:kern w:val="0"/>
                <w:sz w:val="21"/>
                <w:szCs w:val="21"/>
                <w:highlight w:val="none"/>
                <w:lang w:val="en-US" w:eastAsia="en-US" w:bidi="ar-SA"/>
              </w:rPr>
            </w:pPr>
            <w:r>
              <w:rPr>
                <w:color w:val="auto"/>
                <w:spacing w:val="17"/>
                <w:highlight w:val="none"/>
              </w:rPr>
              <w:t>关键岗</w:t>
            </w:r>
            <w:r>
              <w:rPr>
                <w:color w:val="auto"/>
                <w:spacing w:val="19"/>
                <w:highlight w:val="none"/>
              </w:rPr>
              <w:t>位考核</w:t>
            </w:r>
            <w:r>
              <w:rPr>
                <w:color w:val="auto"/>
                <w:spacing w:val="-3"/>
                <w:highlight w:val="none"/>
              </w:rPr>
              <w:t>评价</w:t>
            </w:r>
          </w:p>
        </w:tc>
        <w:tc>
          <w:tcPr>
            <w:tcW w:w="7500" w:type="dxa"/>
            <w:shd w:val="clear" w:color="auto" w:fill="auto"/>
            <w:vAlign w:val="top"/>
          </w:tcPr>
          <w:p w14:paraId="0A223DE1">
            <w:pPr>
              <w:pStyle w:val="10"/>
              <w:spacing w:before="41" w:line="324" w:lineRule="auto"/>
              <w:ind w:left="114" w:right="101" w:firstLine="497"/>
              <w:rPr>
                <w:color w:val="auto"/>
                <w:highlight w:val="none"/>
              </w:rPr>
            </w:pPr>
            <w:r>
              <w:rPr>
                <w:color w:val="auto"/>
                <w:spacing w:val="3"/>
                <w:highlight w:val="none"/>
              </w:rPr>
              <w:t>1. 对项目经理工作情况的评价：及时协助处理员工就餐反馈的</w:t>
            </w:r>
            <w:r>
              <w:rPr>
                <w:color w:val="auto"/>
                <w:spacing w:val="-1"/>
                <w:highlight w:val="none"/>
              </w:rPr>
              <w:t>投诉和建议并能给出相关的整改优化方案及进度；积极配合各项工作开展，每月按要求输出餐</w:t>
            </w:r>
            <w:r>
              <w:rPr>
                <w:color w:val="auto"/>
                <w:spacing w:val="-2"/>
                <w:highlight w:val="none"/>
              </w:rPr>
              <w:t>厅运营日记，并且内容准确无误、完整。每季度开展员工岗位竞赛。</w:t>
            </w:r>
          </w:p>
          <w:p w14:paraId="1FEFB67C">
            <w:pPr>
              <w:pStyle w:val="10"/>
              <w:spacing w:before="182" w:line="324" w:lineRule="auto"/>
              <w:ind w:left="113" w:right="101" w:firstLine="483"/>
              <w:rPr>
                <w:color w:val="auto"/>
                <w:highlight w:val="none"/>
              </w:rPr>
            </w:pPr>
            <w:r>
              <w:rPr>
                <w:color w:val="auto"/>
                <w:spacing w:val="3"/>
                <w:highlight w:val="none"/>
              </w:rPr>
              <w:t>2. 对厨师长的工作情况的评价：应保证出品质量、菜品搭</w:t>
            </w:r>
            <w:r>
              <w:rPr>
                <w:color w:val="auto"/>
                <w:spacing w:val="-1"/>
                <w:highlight w:val="none"/>
              </w:rPr>
              <w:t>配，提供热菜、凉菜、主食、汤，并提供豆浆、点心、水果等，需要兼顾南北方口味等</w:t>
            </w:r>
            <w:r>
              <w:rPr>
                <w:color w:val="auto"/>
                <w:spacing w:val="-49"/>
                <w:highlight w:val="none"/>
              </w:rPr>
              <w:t xml:space="preserve"> </w:t>
            </w:r>
            <w:r>
              <w:rPr>
                <w:color w:val="auto"/>
                <w:spacing w:val="-1"/>
                <w:highlight w:val="none"/>
              </w:rPr>
              <w:t>8</w:t>
            </w:r>
            <w:r>
              <w:rPr>
                <w:color w:val="auto"/>
                <w:spacing w:val="-47"/>
                <w:highlight w:val="none"/>
              </w:rPr>
              <w:t xml:space="preserve"> </w:t>
            </w:r>
            <w:r>
              <w:rPr>
                <w:color w:val="auto"/>
                <w:spacing w:val="-1"/>
                <w:highlight w:val="none"/>
              </w:rPr>
              <w:t>大菜系，以粤菜为主，</w:t>
            </w:r>
            <w:r>
              <w:rPr>
                <w:color w:val="auto"/>
                <w:spacing w:val="-2"/>
                <w:highlight w:val="none"/>
              </w:rPr>
              <w:t>其余菜系为辅，当天午餐与晚餐的菜单不得重复，并每月推出不少于</w:t>
            </w:r>
            <w:r>
              <w:rPr>
                <w:color w:val="auto"/>
                <w:spacing w:val="-51"/>
                <w:highlight w:val="none"/>
              </w:rPr>
              <w:t xml:space="preserve"> </w:t>
            </w:r>
            <w:r>
              <w:rPr>
                <w:color w:val="auto"/>
                <w:spacing w:val="-2"/>
                <w:highlight w:val="none"/>
              </w:rPr>
              <w:t>4</w:t>
            </w:r>
            <w:r>
              <w:rPr>
                <w:color w:val="auto"/>
                <w:spacing w:val="-50"/>
                <w:highlight w:val="none"/>
              </w:rPr>
              <w:t xml:space="preserve"> </w:t>
            </w:r>
            <w:r>
              <w:rPr>
                <w:color w:val="auto"/>
                <w:spacing w:val="-2"/>
                <w:highlight w:val="none"/>
              </w:rPr>
              <w:t>个品种的</w:t>
            </w:r>
            <w:r>
              <w:rPr>
                <w:color w:val="auto"/>
                <w:spacing w:val="-3"/>
                <w:highlight w:val="none"/>
              </w:rPr>
              <w:t>菜式。</w:t>
            </w:r>
          </w:p>
          <w:p w14:paraId="71EAC158">
            <w:pPr>
              <w:pStyle w:val="10"/>
              <w:spacing w:before="181" w:line="313" w:lineRule="auto"/>
              <w:ind w:left="113" w:right="101" w:firstLine="485"/>
              <w:rPr>
                <w:color w:val="auto"/>
                <w:highlight w:val="none"/>
              </w:rPr>
            </w:pPr>
            <w:r>
              <w:rPr>
                <w:color w:val="auto"/>
                <w:spacing w:val="3"/>
                <w:highlight w:val="none"/>
              </w:rPr>
              <w:t>3. 对楼面经理工作情况的评价：监督服务员是否做好所有开餐</w:t>
            </w:r>
            <w:r>
              <w:rPr>
                <w:color w:val="auto"/>
                <w:spacing w:val="-7"/>
                <w:highlight w:val="none"/>
              </w:rPr>
              <w:t>准备工作，做到菜式、人员、价格三齐全；</w:t>
            </w:r>
            <w:r>
              <w:rPr>
                <w:color w:val="auto"/>
                <w:spacing w:val="75"/>
                <w:highlight w:val="none"/>
              </w:rPr>
              <w:t xml:space="preserve"> </w:t>
            </w:r>
            <w:r>
              <w:rPr>
                <w:color w:val="auto"/>
                <w:spacing w:val="-7"/>
                <w:highlight w:val="none"/>
              </w:rPr>
              <w:t>监督餐厅回收间卫生情况</w:t>
            </w:r>
            <w:r>
              <w:rPr>
                <w:color w:val="auto"/>
                <w:spacing w:val="-1"/>
                <w:highlight w:val="none"/>
              </w:rPr>
              <w:t>及回收效率；开餐前巡场，空调、灯光的开启及设备用具等是否到位</w:t>
            </w:r>
            <w:r>
              <w:rPr>
                <w:color w:val="auto"/>
                <w:spacing w:val="-2"/>
                <w:highlight w:val="none"/>
              </w:rPr>
              <w:t>确认，随时发现和解决问题。</w:t>
            </w:r>
          </w:p>
          <w:p w14:paraId="3795C4D9">
            <w:pPr>
              <w:pStyle w:val="10"/>
              <w:spacing w:before="183" w:line="359" w:lineRule="auto"/>
              <w:ind w:left="118" w:right="101" w:firstLine="480"/>
              <w:jc w:val="both"/>
              <w:rPr>
                <w:color w:val="auto"/>
                <w:highlight w:val="none"/>
              </w:rPr>
            </w:pPr>
            <w:r>
              <w:rPr>
                <w:rFonts w:hint="eastAsia"/>
                <w:color w:val="auto"/>
                <w:spacing w:val="3"/>
                <w:highlight w:val="none"/>
                <w:lang w:val="en-US" w:eastAsia="zh-CN"/>
              </w:rPr>
              <w:t>4</w:t>
            </w:r>
            <w:r>
              <w:rPr>
                <w:color w:val="auto"/>
                <w:spacing w:val="3"/>
                <w:highlight w:val="none"/>
              </w:rPr>
              <w:t>. 对服务经理工作情况的评价：穿戴规范，服装整洁，着职业</w:t>
            </w:r>
            <w:r>
              <w:rPr>
                <w:color w:val="auto"/>
                <w:spacing w:val="-1"/>
                <w:highlight w:val="none"/>
              </w:rPr>
              <w:t>淡妆；主动、热情，规范服务行为及用语，有良好的沟通能力，不得</w:t>
            </w:r>
            <w:r>
              <w:rPr>
                <w:color w:val="auto"/>
                <w:spacing w:val="-3"/>
                <w:highlight w:val="none"/>
              </w:rPr>
              <w:t>与员工发生语言争执/肢体冲突。</w:t>
            </w:r>
          </w:p>
          <w:p w14:paraId="77BBC6D1">
            <w:pPr>
              <w:pStyle w:val="10"/>
              <w:spacing w:before="178" w:line="313" w:lineRule="auto"/>
              <w:ind w:left="112" w:leftChars="0" w:right="101" w:rightChars="0" w:firstLine="480" w:firstLineChars="0"/>
              <w:rPr>
                <w:rFonts w:ascii="宋体" w:hAnsi="宋体" w:eastAsia="宋体" w:cs="宋体"/>
                <w:snapToGrid w:val="0"/>
                <w:color w:val="auto"/>
                <w:kern w:val="0"/>
                <w:sz w:val="21"/>
                <w:szCs w:val="21"/>
                <w:highlight w:val="none"/>
                <w:lang w:val="en-US" w:eastAsia="en-US" w:bidi="ar-SA"/>
              </w:rPr>
            </w:pPr>
            <w:r>
              <w:rPr>
                <w:color w:val="auto"/>
                <w:spacing w:val="-3"/>
                <w:highlight w:val="none"/>
              </w:rPr>
              <w:t>（上述各人员评价为优秀的得</w:t>
            </w:r>
            <w:r>
              <w:rPr>
                <w:color w:val="auto"/>
                <w:spacing w:val="-30"/>
                <w:highlight w:val="none"/>
              </w:rPr>
              <w:t xml:space="preserve"> </w:t>
            </w:r>
            <w:r>
              <w:rPr>
                <w:color w:val="auto"/>
                <w:spacing w:val="-3"/>
                <w:highlight w:val="none"/>
              </w:rPr>
              <w:t>4</w:t>
            </w:r>
            <w:r>
              <w:rPr>
                <w:color w:val="auto"/>
                <w:spacing w:val="-36"/>
                <w:highlight w:val="none"/>
              </w:rPr>
              <w:t xml:space="preserve"> </w:t>
            </w:r>
            <w:r>
              <w:rPr>
                <w:color w:val="auto"/>
                <w:spacing w:val="-3"/>
                <w:highlight w:val="none"/>
              </w:rPr>
              <w:t>分，良好的得</w:t>
            </w:r>
            <w:r>
              <w:rPr>
                <w:color w:val="auto"/>
                <w:spacing w:val="-33"/>
                <w:highlight w:val="none"/>
              </w:rPr>
              <w:t xml:space="preserve"> </w:t>
            </w:r>
            <w:r>
              <w:rPr>
                <w:color w:val="auto"/>
                <w:spacing w:val="-3"/>
                <w:highlight w:val="none"/>
              </w:rPr>
              <w:t>3</w:t>
            </w:r>
            <w:r>
              <w:rPr>
                <w:color w:val="auto"/>
                <w:spacing w:val="-36"/>
                <w:highlight w:val="none"/>
              </w:rPr>
              <w:t xml:space="preserve"> </w:t>
            </w:r>
            <w:r>
              <w:rPr>
                <w:color w:val="auto"/>
                <w:spacing w:val="-3"/>
                <w:highlight w:val="none"/>
              </w:rPr>
              <w:t>分，一</w:t>
            </w:r>
            <w:r>
              <w:rPr>
                <w:color w:val="auto"/>
                <w:spacing w:val="-4"/>
                <w:highlight w:val="none"/>
              </w:rPr>
              <w:t>般的得</w:t>
            </w:r>
            <w:r>
              <w:rPr>
                <w:color w:val="auto"/>
                <w:spacing w:val="-36"/>
                <w:highlight w:val="none"/>
              </w:rPr>
              <w:t xml:space="preserve"> </w:t>
            </w:r>
            <w:r>
              <w:rPr>
                <w:color w:val="auto"/>
                <w:spacing w:val="-4"/>
                <w:highlight w:val="none"/>
              </w:rPr>
              <w:t>2分，合格的得</w:t>
            </w:r>
            <w:r>
              <w:rPr>
                <w:color w:val="auto"/>
                <w:spacing w:val="-23"/>
                <w:highlight w:val="none"/>
              </w:rPr>
              <w:t xml:space="preserve"> </w:t>
            </w:r>
            <w:r>
              <w:rPr>
                <w:color w:val="auto"/>
                <w:spacing w:val="-4"/>
                <w:highlight w:val="none"/>
              </w:rPr>
              <w:t>1</w:t>
            </w:r>
            <w:r>
              <w:rPr>
                <w:color w:val="auto"/>
                <w:spacing w:val="-47"/>
                <w:highlight w:val="none"/>
              </w:rPr>
              <w:t xml:space="preserve"> </w:t>
            </w:r>
            <w:r>
              <w:rPr>
                <w:color w:val="auto"/>
                <w:spacing w:val="-4"/>
                <w:highlight w:val="none"/>
              </w:rPr>
              <w:t>分，较差或差或不合格的得</w:t>
            </w:r>
            <w:r>
              <w:rPr>
                <w:color w:val="auto"/>
                <w:spacing w:val="-49"/>
                <w:highlight w:val="none"/>
              </w:rPr>
              <w:t xml:space="preserve"> </w:t>
            </w:r>
            <w:r>
              <w:rPr>
                <w:color w:val="auto"/>
                <w:spacing w:val="-4"/>
                <w:highlight w:val="none"/>
              </w:rPr>
              <w:t>0</w:t>
            </w:r>
            <w:r>
              <w:rPr>
                <w:color w:val="auto"/>
                <w:spacing w:val="-48"/>
                <w:highlight w:val="none"/>
              </w:rPr>
              <w:t xml:space="preserve"> </w:t>
            </w:r>
            <w:r>
              <w:rPr>
                <w:color w:val="auto"/>
                <w:spacing w:val="-4"/>
                <w:highlight w:val="none"/>
              </w:rPr>
              <w:t>分）</w:t>
            </w:r>
          </w:p>
        </w:tc>
        <w:tc>
          <w:tcPr>
            <w:tcW w:w="555" w:type="dxa"/>
            <w:vAlign w:val="top"/>
          </w:tcPr>
          <w:p w14:paraId="2E543F0D">
            <w:pPr>
              <w:rPr>
                <w:rFonts w:ascii="Arial"/>
                <w:color w:val="auto"/>
                <w:sz w:val="21"/>
                <w:highlight w:val="none"/>
              </w:rPr>
            </w:pPr>
          </w:p>
        </w:tc>
      </w:tr>
      <w:tr w14:paraId="391AD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245" w:type="dxa"/>
            <w:vMerge w:val="restart"/>
            <w:tcBorders>
              <w:bottom w:val="nil"/>
            </w:tcBorders>
            <w:vAlign w:val="top"/>
          </w:tcPr>
          <w:p w14:paraId="18FD6E48">
            <w:pPr>
              <w:spacing w:line="241" w:lineRule="auto"/>
              <w:rPr>
                <w:rFonts w:ascii="Arial"/>
                <w:color w:val="auto"/>
                <w:sz w:val="21"/>
                <w:highlight w:val="none"/>
              </w:rPr>
            </w:pPr>
          </w:p>
          <w:p w14:paraId="08C84EE0">
            <w:pPr>
              <w:spacing w:line="241" w:lineRule="auto"/>
              <w:rPr>
                <w:rFonts w:ascii="Arial"/>
                <w:color w:val="auto"/>
                <w:sz w:val="21"/>
                <w:highlight w:val="none"/>
              </w:rPr>
            </w:pPr>
          </w:p>
          <w:p w14:paraId="18A423C6">
            <w:pPr>
              <w:spacing w:line="241" w:lineRule="auto"/>
              <w:rPr>
                <w:rFonts w:ascii="Arial"/>
                <w:color w:val="auto"/>
                <w:sz w:val="21"/>
                <w:highlight w:val="none"/>
              </w:rPr>
            </w:pPr>
          </w:p>
          <w:p w14:paraId="1399B7C0">
            <w:pPr>
              <w:spacing w:line="241" w:lineRule="auto"/>
              <w:rPr>
                <w:rFonts w:ascii="Arial"/>
                <w:color w:val="auto"/>
                <w:sz w:val="21"/>
                <w:highlight w:val="none"/>
              </w:rPr>
            </w:pPr>
          </w:p>
          <w:p w14:paraId="4B83AE8C">
            <w:pPr>
              <w:spacing w:line="241" w:lineRule="auto"/>
              <w:rPr>
                <w:rFonts w:ascii="Arial"/>
                <w:color w:val="auto"/>
                <w:sz w:val="21"/>
                <w:highlight w:val="none"/>
              </w:rPr>
            </w:pPr>
          </w:p>
          <w:p w14:paraId="2D77341C">
            <w:pPr>
              <w:spacing w:line="241" w:lineRule="auto"/>
              <w:rPr>
                <w:rFonts w:ascii="Arial"/>
                <w:color w:val="auto"/>
                <w:sz w:val="21"/>
                <w:highlight w:val="none"/>
              </w:rPr>
            </w:pPr>
          </w:p>
          <w:p w14:paraId="48DB712D">
            <w:pPr>
              <w:pStyle w:val="10"/>
              <w:spacing w:before="78" w:line="220" w:lineRule="auto"/>
              <w:ind w:left="277"/>
              <w:rPr>
                <w:color w:val="auto"/>
                <w:highlight w:val="none"/>
              </w:rPr>
            </w:pPr>
            <w:r>
              <w:rPr>
                <w:color w:val="auto"/>
                <w:spacing w:val="-3"/>
                <w:highlight w:val="none"/>
              </w:rPr>
              <w:t>加分项</w:t>
            </w:r>
          </w:p>
        </w:tc>
        <w:tc>
          <w:tcPr>
            <w:tcW w:w="1035" w:type="dxa"/>
            <w:vAlign w:val="top"/>
          </w:tcPr>
          <w:p w14:paraId="2747FEA7">
            <w:pPr>
              <w:spacing w:line="271" w:lineRule="auto"/>
              <w:rPr>
                <w:rFonts w:ascii="Arial"/>
                <w:color w:val="auto"/>
                <w:sz w:val="21"/>
                <w:highlight w:val="none"/>
              </w:rPr>
            </w:pPr>
          </w:p>
          <w:p w14:paraId="4B698E9F">
            <w:pPr>
              <w:pStyle w:val="10"/>
              <w:spacing w:before="78" w:line="220" w:lineRule="auto"/>
              <w:ind w:left="152"/>
              <w:rPr>
                <w:color w:val="auto"/>
                <w:highlight w:val="none"/>
              </w:rPr>
            </w:pPr>
            <w:r>
              <w:rPr>
                <w:color w:val="auto"/>
                <w:spacing w:val="-4"/>
                <w:highlight w:val="none"/>
              </w:rPr>
              <w:t>管理类</w:t>
            </w:r>
          </w:p>
        </w:tc>
        <w:tc>
          <w:tcPr>
            <w:tcW w:w="7500" w:type="dxa"/>
            <w:vAlign w:val="top"/>
          </w:tcPr>
          <w:p w14:paraId="1C378F41">
            <w:pPr>
              <w:pStyle w:val="10"/>
              <w:spacing w:before="119" w:line="313" w:lineRule="auto"/>
              <w:ind w:left="113" w:right="102" w:hanging="1"/>
              <w:rPr>
                <w:color w:val="auto"/>
                <w:highlight w:val="none"/>
              </w:rPr>
            </w:pPr>
            <w:r>
              <w:rPr>
                <w:color w:val="auto"/>
                <w:spacing w:val="-7"/>
                <w:highlight w:val="none"/>
              </w:rPr>
              <w:t>在日常运营细节中提高用餐体验等方面的优化，</w:t>
            </w:r>
            <w:r>
              <w:rPr>
                <w:color w:val="auto"/>
                <w:spacing w:val="75"/>
                <w:highlight w:val="none"/>
              </w:rPr>
              <w:t xml:space="preserve"> </w:t>
            </w:r>
            <w:r>
              <w:rPr>
                <w:color w:val="auto"/>
                <w:spacing w:val="-7"/>
                <w:highlight w:val="none"/>
              </w:rPr>
              <w:t>每提供一条优</w:t>
            </w:r>
            <w:r>
              <w:rPr>
                <w:color w:val="auto"/>
                <w:spacing w:val="-4"/>
                <w:highlight w:val="none"/>
              </w:rPr>
              <w:t>化建议并被</w:t>
            </w:r>
            <w:r>
              <w:rPr>
                <w:rFonts w:hint="eastAsia"/>
                <w:color w:val="auto"/>
                <w:spacing w:val="-4"/>
                <w:highlight w:val="none"/>
                <w:lang w:eastAsia="zh-CN"/>
              </w:rPr>
              <w:t>招租方</w:t>
            </w:r>
            <w:r>
              <w:rPr>
                <w:color w:val="auto"/>
                <w:spacing w:val="-4"/>
                <w:highlight w:val="none"/>
              </w:rPr>
              <w:t>采纳的，可得</w:t>
            </w:r>
            <w:r>
              <w:rPr>
                <w:color w:val="auto"/>
                <w:spacing w:val="-25"/>
                <w:highlight w:val="none"/>
              </w:rPr>
              <w:t xml:space="preserve"> </w:t>
            </w:r>
            <w:r>
              <w:rPr>
                <w:color w:val="auto"/>
                <w:spacing w:val="-4"/>
                <w:highlight w:val="none"/>
              </w:rPr>
              <w:t>1</w:t>
            </w:r>
            <w:r>
              <w:rPr>
                <w:color w:val="auto"/>
                <w:spacing w:val="-48"/>
                <w:highlight w:val="none"/>
              </w:rPr>
              <w:t xml:space="preserve"> </w:t>
            </w:r>
            <w:r>
              <w:rPr>
                <w:color w:val="auto"/>
                <w:spacing w:val="-4"/>
                <w:highlight w:val="none"/>
              </w:rPr>
              <w:t>分，最高可加</w:t>
            </w:r>
            <w:r>
              <w:rPr>
                <w:color w:val="auto"/>
                <w:spacing w:val="-45"/>
                <w:highlight w:val="none"/>
              </w:rPr>
              <w:t xml:space="preserve"> </w:t>
            </w:r>
            <w:r>
              <w:rPr>
                <w:color w:val="auto"/>
                <w:spacing w:val="-4"/>
                <w:highlight w:val="none"/>
              </w:rPr>
              <w:t>5</w:t>
            </w:r>
            <w:r>
              <w:rPr>
                <w:color w:val="auto"/>
                <w:spacing w:val="-48"/>
                <w:highlight w:val="none"/>
              </w:rPr>
              <w:t xml:space="preserve"> </w:t>
            </w:r>
            <w:r>
              <w:rPr>
                <w:color w:val="auto"/>
                <w:spacing w:val="-4"/>
                <w:highlight w:val="none"/>
              </w:rPr>
              <w:t>分。</w:t>
            </w:r>
          </w:p>
        </w:tc>
        <w:tc>
          <w:tcPr>
            <w:tcW w:w="555" w:type="dxa"/>
            <w:vMerge w:val="restart"/>
            <w:tcBorders>
              <w:bottom w:val="nil"/>
            </w:tcBorders>
            <w:vAlign w:val="top"/>
          </w:tcPr>
          <w:p w14:paraId="67F2DF52">
            <w:pPr>
              <w:rPr>
                <w:rFonts w:ascii="Arial"/>
                <w:color w:val="auto"/>
                <w:sz w:val="21"/>
                <w:highlight w:val="none"/>
              </w:rPr>
            </w:pPr>
          </w:p>
        </w:tc>
      </w:tr>
      <w:tr w14:paraId="1FAD4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1245" w:type="dxa"/>
            <w:vMerge w:val="continue"/>
            <w:tcBorders>
              <w:top w:val="nil"/>
              <w:bottom w:val="nil"/>
            </w:tcBorders>
            <w:vAlign w:val="top"/>
          </w:tcPr>
          <w:p w14:paraId="048C0EA0">
            <w:pPr>
              <w:rPr>
                <w:rFonts w:ascii="Arial"/>
                <w:color w:val="auto"/>
                <w:sz w:val="21"/>
                <w:highlight w:val="none"/>
              </w:rPr>
            </w:pPr>
          </w:p>
        </w:tc>
        <w:tc>
          <w:tcPr>
            <w:tcW w:w="1035" w:type="dxa"/>
            <w:vAlign w:val="top"/>
          </w:tcPr>
          <w:p w14:paraId="17CAFF10">
            <w:pPr>
              <w:spacing w:line="251" w:lineRule="auto"/>
              <w:rPr>
                <w:rFonts w:ascii="Arial"/>
                <w:color w:val="auto"/>
                <w:sz w:val="21"/>
                <w:highlight w:val="none"/>
              </w:rPr>
            </w:pPr>
          </w:p>
          <w:p w14:paraId="12FA1E96">
            <w:pPr>
              <w:spacing w:line="252" w:lineRule="auto"/>
              <w:rPr>
                <w:rFonts w:ascii="Arial"/>
                <w:color w:val="auto"/>
                <w:sz w:val="21"/>
                <w:highlight w:val="none"/>
              </w:rPr>
            </w:pPr>
          </w:p>
          <w:p w14:paraId="6FBE940B">
            <w:pPr>
              <w:pStyle w:val="10"/>
              <w:spacing w:before="78" w:line="220" w:lineRule="auto"/>
              <w:ind w:left="146"/>
              <w:rPr>
                <w:color w:val="auto"/>
                <w:highlight w:val="none"/>
              </w:rPr>
            </w:pPr>
            <w:r>
              <w:rPr>
                <w:color w:val="auto"/>
                <w:spacing w:val="-3"/>
                <w:highlight w:val="none"/>
              </w:rPr>
              <w:t>运营类</w:t>
            </w:r>
          </w:p>
        </w:tc>
        <w:tc>
          <w:tcPr>
            <w:tcW w:w="7500" w:type="dxa"/>
            <w:vAlign w:val="top"/>
          </w:tcPr>
          <w:p w14:paraId="2ED78E44">
            <w:pPr>
              <w:pStyle w:val="10"/>
              <w:spacing w:before="117" w:line="360" w:lineRule="auto"/>
              <w:ind w:left="119" w:right="102" w:hanging="6"/>
              <w:rPr>
                <w:color w:val="auto"/>
                <w:highlight w:val="none"/>
              </w:rPr>
            </w:pPr>
            <w:r>
              <w:rPr>
                <w:color w:val="auto"/>
                <w:spacing w:val="-1"/>
                <w:highlight w:val="none"/>
              </w:rPr>
              <w:t>某餐线产品优化后有较大变化，消费人次大于招标文件的预计就餐人</w:t>
            </w:r>
            <w:r>
              <w:rPr>
                <w:color w:val="auto"/>
                <w:spacing w:val="-5"/>
                <w:highlight w:val="none"/>
              </w:rPr>
              <w:t>次</w:t>
            </w:r>
            <w:r>
              <w:rPr>
                <w:color w:val="auto"/>
                <w:spacing w:val="-36"/>
                <w:highlight w:val="none"/>
              </w:rPr>
              <w:t xml:space="preserve"> </w:t>
            </w:r>
            <w:r>
              <w:rPr>
                <w:color w:val="auto"/>
                <w:spacing w:val="-5"/>
                <w:highlight w:val="none"/>
              </w:rPr>
              <w:t>5%（含）以上时，每超</w:t>
            </w:r>
            <w:r>
              <w:rPr>
                <w:color w:val="auto"/>
                <w:spacing w:val="-37"/>
                <w:highlight w:val="none"/>
              </w:rPr>
              <w:t xml:space="preserve"> </w:t>
            </w:r>
            <w:r>
              <w:rPr>
                <w:color w:val="auto"/>
                <w:spacing w:val="-5"/>
                <w:highlight w:val="none"/>
              </w:rPr>
              <w:t>2%加</w:t>
            </w:r>
            <w:r>
              <w:rPr>
                <w:color w:val="auto"/>
                <w:spacing w:val="-48"/>
                <w:highlight w:val="none"/>
              </w:rPr>
              <w:t xml:space="preserve"> </w:t>
            </w:r>
            <w:r>
              <w:rPr>
                <w:color w:val="auto"/>
                <w:spacing w:val="-5"/>
                <w:highlight w:val="none"/>
              </w:rPr>
              <w:t>2</w:t>
            </w:r>
            <w:r>
              <w:rPr>
                <w:color w:val="auto"/>
                <w:spacing w:val="-48"/>
                <w:highlight w:val="none"/>
              </w:rPr>
              <w:t xml:space="preserve"> </w:t>
            </w:r>
            <w:r>
              <w:rPr>
                <w:color w:val="auto"/>
                <w:spacing w:val="-5"/>
                <w:highlight w:val="none"/>
              </w:rPr>
              <w:t>分，最高可加</w:t>
            </w:r>
            <w:r>
              <w:rPr>
                <w:color w:val="auto"/>
                <w:spacing w:val="-46"/>
                <w:highlight w:val="none"/>
              </w:rPr>
              <w:t xml:space="preserve"> </w:t>
            </w:r>
            <w:r>
              <w:rPr>
                <w:color w:val="auto"/>
                <w:spacing w:val="-5"/>
                <w:highlight w:val="none"/>
              </w:rPr>
              <w:t>5</w:t>
            </w:r>
            <w:r>
              <w:rPr>
                <w:color w:val="auto"/>
                <w:spacing w:val="-48"/>
                <w:highlight w:val="none"/>
              </w:rPr>
              <w:t xml:space="preserve"> </w:t>
            </w:r>
            <w:r>
              <w:rPr>
                <w:color w:val="auto"/>
                <w:spacing w:val="-5"/>
                <w:highlight w:val="none"/>
              </w:rPr>
              <w:t>分。</w:t>
            </w:r>
          </w:p>
          <w:p w14:paraId="75566B55">
            <w:pPr>
              <w:pStyle w:val="10"/>
              <w:spacing w:line="219" w:lineRule="auto"/>
              <w:ind w:left="122"/>
              <w:rPr>
                <w:color w:val="auto"/>
                <w:highlight w:val="none"/>
              </w:rPr>
            </w:pPr>
            <w:r>
              <w:rPr>
                <w:color w:val="auto"/>
                <w:spacing w:val="-5"/>
                <w:highlight w:val="none"/>
              </w:rPr>
              <w:t>收到表扬信，每有一次加</w:t>
            </w:r>
            <w:r>
              <w:rPr>
                <w:color w:val="auto"/>
                <w:spacing w:val="-32"/>
                <w:highlight w:val="none"/>
              </w:rPr>
              <w:t xml:space="preserve"> </w:t>
            </w:r>
            <w:r>
              <w:rPr>
                <w:color w:val="auto"/>
                <w:spacing w:val="-5"/>
                <w:highlight w:val="none"/>
              </w:rPr>
              <w:t>1</w:t>
            </w:r>
            <w:r>
              <w:rPr>
                <w:color w:val="auto"/>
                <w:spacing w:val="-48"/>
                <w:highlight w:val="none"/>
              </w:rPr>
              <w:t xml:space="preserve"> </w:t>
            </w:r>
            <w:r>
              <w:rPr>
                <w:color w:val="auto"/>
                <w:spacing w:val="-5"/>
                <w:highlight w:val="none"/>
              </w:rPr>
              <w:t>分。</w:t>
            </w:r>
          </w:p>
        </w:tc>
        <w:tc>
          <w:tcPr>
            <w:tcW w:w="555" w:type="dxa"/>
            <w:vMerge w:val="continue"/>
            <w:tcBorders>
              <w:top w:val="nil"/>
              <w:bottom w:val="nil"/>
            </w:tcBorders>
            <w:vAlign w:val="top"/>
          </w:tcPr>
          <w:p w14:paraId="20251B07">
            <w:pPr>
              <w:rPr>
                <w:rFonts w:ascii="Arial"/>
                <w:color w:val="auto"/>
                <w:sz w:val="21"/>
                <w:highlight w:val="none"/>
              </w:rPr>
            </w:pPr>
          </w:p>
        </w:tc>
      </w:tr>
      <w:tr w14:paraId="6E971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245" w:type="dxa"/>
            <w:vMerge w:val="continue"/>
            <w:tcBorders>
              <w:top w:val="nil"/>
            </w:tcBorders>
            <w:vAlign w:val="top"/>
          </w:tcPr>
          <w:p w14:paraId="2868310B">
            <w:pPr>
              <w:rPr>
                <w:rFonts w:ascii="Arial"/>
                <w:color w:val="auto"/>
                <w:sz w:val="21"/>
                <w:highlight w:val="none"/>
              </w:rPr>
            </w:pPr>
          </w:p>
        </w:tc>
        <w:tc>
          <w:tcPr>
            <w:tcW w:w="1035" w:type="dxa"/>
            <w:vAlign w:val="top"/>
          </w:tcPr>
          <w:p w14:paraId="707684AD">
            <w:pPr>
              <w:spacing w:line="270" w:lineRule="auto"/>
              <w:rPr>
                <w:rFonts w:ascii="Arial"/>
                <w:color w:val="auto"/>
                <w:sz w:val="21"/>
                <w:highlight w:val="none"/>
              </w:rPr>
            </w:pPr>
          </w:p>
          <w:p w14:paraId="3DFCBB52">
            <w:pPr>
              <w:pStyle w:val="10"/>
              <w:spacing w:before="78" w:line="220" w:lineRule="auto"/>
              <w:ind w:left="146"/>
              <w:rPr>
                <w:color w:val="auto"/>
                <w:highlight w:val="none"/>
              </w:rPr>
            </w:pPr>
            <w:r>
              <w:rPr>
                <w:color w:val="auto"/>
                <w:spacing w:val="-3"/>
                <w:highlight w:val="none"/>
              </w:rPr>
              <w:t>创新类</w:t>
            </w:r>
          </w:p>
        </w:tc>
        <w:tc>
          <w:tcPr>
            <w:tcW w:w="7500" w:type="dxa"/>
            <w:vAlign w:val="top"/>
          </w:tcPr>
          <w:p w14:paraId="7246910D">
            <w:pPr>
              <w:pStyle w:val="10"/>
              <w:spacing w:before="118" w:line="312" w:lineRule="auto"/>
              <w:ind w:left="115" w:right="216" w:firstLine="20"/>
              <w:rPr>
                <w:color w:val="auto"/>
                <w:highlight w:val="none"/>
              </w:rPr>
            </w:pPr>
            <w:r>
              <w:rPr>
                <w:color w:val="auto"/>
                <w:spacing w:val="-2"/>
                <w:highlight w:val="none"/>
              </w:rPr>
              <w:t>每月推出新菜数量为</w:t>
            </w:r>
            <w:r>
              <w:rPr>
                <w:color w:val="auto"/>
                <w:spacing w:val="-39"/>
                <w:highlight w:val="none"/>
              </w:rPr>
              <w:t xml:space="preserve"> </w:t>
            </w:r>
            <w:r>
              <w:rPr>
                <w:color w:val="auto"/>
                <w:spacing w:val="-2"/>
                <w:highlight w:val="none"/>
              </w:rPr>
              <w:t>a，可加(a-6)x1</w:t>
            </w:r>
            <w:r>
              <w:rPr>
                <w:color w:val="auto"/>
                <w:spacing w:val="-47"/>
                <w:highlight w:val="none"/>
              </w:rPr>
              <w:t xml:space="preserve"> </w:t>
            </w:r>
            <w:r>
              <w:rPr>
                <w:color w:val="auto"/>
                <w:spacing w:val="-2"/>
                <w:highlight w:val="none"/>
              </w:rPr>
              <w:t>分，点心部每月推出新菜</w:t>
            </w:r>
            <w:r>
              <w:rPr>
                <w:color w:val="auto"/>
                <w:spacing w:val="-3"/>
                <w:highlight w:val="none"/>
              </w:rPr>
              <w:t>数量为</w:t>
            </w:r>
            <w:r>
              <w:rPr>
                <w:color w:val="auto"/>
                <w:spacing w:val="-54"/>
                <w:highlight w:val="none"/>
              </w:rPr>
              <w:t xml:space="preserve"> </w:t>
            </w:r>
            <w:r>
              <w:rPr>
                <w:color w:val="auto"/>
                <w:spacing w:val="-3"/>
                <w:highlight w:val="none"/>
              </w:rPr>
              <w:t>b，可加(b-5)x1</w:t>
            </w:r>
            <w:r>
              <w:rPr>
                <w:color w:val="auto"/>
                <w:spacing w:val="-48"/>
                <w:highlight w:val="none"/>
              </w:rPr>
              <w:t xml:space="preserve"> </w:t>
            </w:r>
            <w:r>
              <w:rPr>
                <w:color w:val="auto"/>
                <w:spacing w:val="-3"/>
                <w:highlight w:val="none"/>
              </w:rPr>
              <w:t>分，本项最高可加</w:t>
            </w:r>
            <w:r>
              <w:rPr>
                <w:color w:val="auto"/>
                <w:spacing w:val="-32"/>
                <w:highlight w:val="none"/>
              </w:rPr>
              <w:t xml:space="preserve"> </w:t>
            </w:r>
            <w:r>
              <w:rPr>
                <w:color w:val="auto"/>
                <w:spacing w:val="-3"/>
                <w:highlight w:val="none"/>
              </w:rPr>
              <w:t>1</w:t>
            </w:r>
            <w:r>
              <w:rPr>
                <w:color w:val="auto"/>
                <w:spacing w:val="-4"/>
                <w:highlight w:val="none"/>
              </w:rPr>
              <w:t>0</w:t>
            </w:r>
            <w:r>
              <w:rPr>
                <w:color w:val="auto"/>
                <w:spacing w:val="-48"/>
                <w:highlight w:val="none"/>
              </w:rPr>
              <w:t xml:space="preserve"> </w:t>
            </w:r>
            <w:r>
              <w:rPr>
                <w:color w:val="auto"/>
                <w:spacing w:val="-4"/>
                <w:highlight w:val="none"/>
              </w:rPr>
              <w:t>分。</w:t>
            </w:r>
          </w:p>
        </w:tc>
        <w:tc>
          <w:tcPr>
            <w:tcW w:w="555" w:type="dxa"/>
            <w:vMerge w:val="continue"/>
            <w:tcBorders>
              <w:top w:val="nil"/>
            </w:tcBorders>
            <w:vAlign w:val="top"/>
          </w:tcPr>
          <w:p w14:paraId="08C54598">
            <w:pPr>
              <w:rPr>
                <w:rFonts w:ascii="Arial"/>
                <w:color w:val="auto"/>
                <w:sz w:val="21"/>
                <w:highlight w:val="none"/>
              </w:rPr>
            </w:pPr>
          </w:p>
        </w:tc>
      </w:tr>
      <w:tr w14:paraId="28FE3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8" w:hRule="atLeast"/>
        </w:trPr>
        <w:tc>
          <w:tcPr>
            <w:tcW w:w="1245" w:type="dxa"/>
            <w:vAlign w:val="top"/>
          </w:tcPr>
          <w:p w14:paraId="65C04AE9">
            <w:pPr>
              <w:spacing w:line="245" w:lineRule="auto"/>
              <w:rPr>
                <w:rFonts w:ascii="Arial"/>
                <w:color w:val="auto"/>
                <w:sz w:val="21"/>
                <w:highlight w:val="none"/>
              </w:rPr>
            </w:pPr>
          </w:p>
          <w:p w14:paraId="49B81C0F">
            <w:pPr>
              <w:spacing w:line="245" w:lineRule="auto"/>
              <w:rPr>
                <w:rFonts w:ascii="Arial"/>
                <w:color w:val="auto"/>
                <w:sz w:val="21"/>
                <w:highlight w:val="none"/>
              </w:rPr>
            </w:pPr>
          </w:p>
          <w:p w14:paraId="3850DF87">
            <w:pPr>
              <w:spacing w:line="246" w:lineRule="auto"/>
              <w:rPr>
                <w:rFonts w:ascii="Arial"/>
                <w:color w:val="auto"/>
                <w:sz w:val="21"/>
                <w:highlight w:val="none"/>
              </w:rPr>
            </w:pPr>
          </w:p>
          <w:p w14:paraId="753CBDAD">
            <w:pPr>
              <w:spacing w:line="246" w:lineRule="auto"/>
              <w:rPr>
                <w:rFonts w:ascii="Arial"/>
                <w:color w:val="auto"/>
                <w:sz w:val="21"/>
                <w:highlight w:val="none"/>
              </w:rPr>
            </w:pPr>
          </w:p>
          <w:p w14:paraId="0BB3A1AA">
            <w:pPr>
              <w:pStyle w:val="10"/>
              <w:spacing w:before="78" w:line="363" w:lineRule="auto"/>
              <w:ind w:left="521" w:right="148" w:hanging="360"/>
              <w:rPr>
                <w:color w:val="auto"/>
                <w:highlight w:val="none"/>
              </w:rPr>
            </w:pPr>
            <w:r>
              <w:rPr>
                <w:color w:val="auto"/>
                <w:spacing w:val="-4"/>
                <w:highlight w:val="none"/>
              </w:rPr>
              <w:t>一票否决</w:t>
            </w:r>
            <w:r>
              <w:rPr>
                <w:color w:val="auto"/>
                <w:highlight w:val="none"/>
              </w:rPr>
              <w:t>项</w:t>
            </w:r>
          </w:p>
        </w:tc>
        <w:tc>
          <w:tcPr>
            <w:tcW w:w="9090" w:type="dxa"/>
            <w:gridSpan w:val="3"/>
            <w:vAlign w:val="top"/>
          </w:tcPr>
          <w:p w14:paraId="6FC2ED16">
            <w:pPr>
              <w:pStyle w:val="10"/>
              <w:spacing w:before="118" w:line="219" w:lineRule="auto"/>
              <w:ind w:left="130"/>
              <w:rPr>
                <w:color w:val="auto"/>
                <w:highlight w:val="none"/>
              </w:rPr>
            </w:pPr>
            <w:r>
              <w:rPr>
                <w:color w:val="auto"/>
                <w:spacing w:val="-2"/>
                <w:highlight w:val="none"/>
              </w:rPr>
              <w:t>1、以贿赂或类似贿赂的形式讨好</w:t>
            </w:r>
            <w:r>
              <w:rPr>
                <w:rFonts w:hint="eastAsia"/>
                <w:color w:val="auto"/>
                <w:spacing w:val="-2"/>
                <w:highlight w:val="none"/>
                <w:lang w:eastAsia="zh-CN"/>
              </w:rPr>
              <w:t>招租方</w:t>
            </w:r>
            <w:r>
              <w:rPr>
                <w:color w:val="auto"/>
                <w:spacing w:val="-2"/>
                <w:highlight w:val="none"/>
              </w:rPr>
              <w:t>、</w:t>
            </w:r>
            <w:r>
              <w:rPr>
                <w:color w:val="auto"/>
                <w:spacing w:val="-3"/>
                <w:highlight w:val="none"/>
              </w:rPr>
              <w:t>货物验收人等利害关系人的行为；</w:t>
            </w:r>
          </w:p>
          <w:p w14:paraId="21A3923A">
            <w:pPr>
              <w:pStyle w:val="10"/>
              <w:spacing w:before="182" w:line="220" w:lineRule="auto"/>
              <w:ind w:left="116"/>
              <w:rPr>
                <w:color w:val="auto"/>
                <w:highlight w:val="none"/>
              </w:rPr>
            </w:pPr>
            <w:r>
              <w:rPr>
                <w:color w:val="auto"/>
                <w:spacing w:val="-3"/>
                <w:highlight w:val="none"/>
              </w:rPr>
              <w:t>2、食品原料质量问题而引起的食物中毒等食品安全事故；</w:t>
            </w:r>
          </w:p>
          <w:p w14:paraId="24F99982">
            <w:pPr>
              <w:pStyle w:val="10"/>
              <w:spacing w:before="182" w:line="219" w:lineRule="auto"/>
              <w:ind w:left="117"/>
              <w:rPr>
                <w:color w:val="auto"/>
                <w:highlight w:val="none"/>
              </w:rPr>
            </w:pPr>
            <w:r>
              <w:rPr>
                <w:color w:val="auto"/>
                <w:spacing w:val="-3"/>
                <w:highlight w:val="none"/>
              </w:rPr>
              <w:t>3、提供虚假发票。</w:t>
            </w:r>
          </w:p>
          <w:p w14:paraId="04EC85CD">
            <w:pPr>
              <w:pStyle w:val="10"/>
              <w:spacing w:before="182" w:line="312" w:lineRule="auto"/>
              <w:ind w:left="113" w:right="88" w:firstLine="6"/>
              <w:rPr>
                <w:color w:val="auto"/>
                <w:highlight w:val="none"/>
              </w:rPr>
            </w:pPr>
            <w:r>
              <w:rPr>
                <w:color w:val="auto"/>
                <w:spacing w:val="-2"/>
                <w:highlight w:val="none"/>
              </w:rPr>
              <w:t>（若出现上述情况，</w:t>
            </w:r>
            <w:r>
              <w:rPr>
                <w:rFonts w:hint="eastAsia"/>
                <w:color w:val="auto"/>
                <w:spacing w:val="-2"/>
                <w:highlight w:val="none"/>
                <w:lang w:eastAsia="zh-CN"/>
              </w:rPr>
              <w:t>招租方</w:t>
            </w:r>
            <w:r>
              <w:rPr>
                <w:color w:val="auto"/>
                <w:spacing w:val="-2"/>
                <w:highlight w:val="none"/>
              </w:rPr>
              <w:t>有权不支付当月服务费，没收履约保证金，并取消合同，所发生的一切损失由</w:t>
            </w:r>
            <w:r>
              <w:rPr>
                <w:rFonts w:hint="eastAsia"/>
                <w:color w:val="auto"/>
                <w:spacing w:val="-2"/>
                <w:highlight w:val="none"/>
                <w:lang w:eastAsia="zh-CN"/>
              </w:rPr>
              <w:t>承租方</w:t>
            </w:r>
            <w:r>
              <w:rPr>
                <w:color w:val="auto"/>
                <w:spacing w:val="-2"/>
                <w:highlight w:val="none"/>
              </w:rPr>
              <w:t>负责）</w:t>
            </w:r>
          </w:p>
        </w:tc>
      </w:tr>
      <w:tr w14:paraId="174CB7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45" w:type="dxa"/>
            <w:vAlign w:val="top"/>
          </w:tcPr>
          <w:p w14:paraId="1E32DC32">
            <w:pPr>
              <w:pStyle w:val="10"/>
              <w:spacing w:before="119" w:line="220" w:lineRule="auto"/>
              <w:ind w:left="157"/>
              <w:rPr>
                <w:color w:val="auto"/>
                <w:highlight w:val="none"/>
              </w:rPr>
            </w:pPr>
            <w:r>
              <w:rPr>
                <w:color w:val="auto"/>
                <w:spacing w:val="-2"/>
                <w:highlight w:val="none"/>
              </w:rPr>
              <w:t>考核得分</w:t>
            </w:r>
          </w:p>
        </w:tc>
        <w:tc>
          <w:tcPr>
            <w:tcW w:w="9090" w:type="dxa"/>
            <w:gridSpan w:val="3"/>
            <w:vAlign w:val="top"/>
          </w:tcPr>
          <w:p w14:paraId="16426F84">
            <w:pPr>
              <w:pStyle w:val="10"/>
              <w:spacing w:before="120" w:line="220" w:lineRule="auto"/>
              <w:ind w:left="1076"/>
              <w:rPr>
                <w:color w:val="auto"/>
                <w:highlight w:val="none"/>
              </w:rPr>
            </w:pPr>
            <w:r>
              <w:rPr>
                <w:color w:val="auto"/>
                <w:highlight w:val="none"/>
              </w:rPr>
              <w:t>分</w:t>
            </w:r>
          </w:p>
        </w:tc>
      </w:tr>
      <w:tr w14:paraId="505328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245" w:type="dxa"/>
            <w:vAlign w:val="top"/>
          </w:tcPr>
          <w:p w14:paraId="1F5FF0D8">
            <w:pPr>
              <w:pStyle w:val="10"/>
              <w:spacing w:before="121" w:line="220" w:lineRule="auto"/>
              <w:ind w:left="161"/>
              <w:rPr>
                <w:color w:val="auto"/>
                <w:highlight w:val="none"/>
              </w:rPr>
            </w:pPr>
            <w:r>
              <w:rPr>
                <w:color w:val="auto"/>
                <w:spacing w:val="-3"/>
                <w:highlight w:val="none"/>
              </w:rPr>
              <w:t>扣罚规则</w:t>
            </w:r>
          </w:p>
        </w:tc>
        <w:tc>
          <w:tcPr>
            <w:tcW w:w="9090" w:type="dxa"/>
            <w:gridSpan w:val="3"/>
            <w:vAlign w:val="top"/>
          </w:tcPr>
          <w:p w14:paraId="5EC259BF">
            <w:pPr>
              <w:pStyle w:val="10"/>
              <w:spacing w:before="121" w:line="220" w:lineRule="auto"/>
              <w:ind w:left="119"/>
              <w:rPr>
                <w:color w:val="auto"/>
                <w:spacing w:val="-6"/>
                <w:highlight w:val="none"/>
              </w:rPr>
            </w:pPr>
            <w:r>
              <w:rPr>
                <w:color w:val="auto"/>
                <w:spacing w:val="-6"/>
                <w:highlight w:val="none"/>
              </w:rPr>
              <w:t>总分在</w:t>
            </w:r>
            <w:r>
              <w:rPr>
                <w:color w:val="auto"/>
                <w:spacing w:val="-38"/>
                <w:highlight w:val="none"/>
              </w:rPr>
              <w:t xml:space="preserve"> </w:t>
            </w:r>
            <w:r>
              <w:rPr>
                <w:color w:val="auto"/>
                <w:spacing w:val="-6"/>
                <w:highlight w:val="none"/>
              </w:rPr>
              <w:t>9</w:t>
            </w:r>
            <w:r>
              <w:rPr>
                <w:rFonts w:hint="eastAsia"/>
                <w:color w:val="auto"/>
                <w:spacing w:val="-6"/>
                <w:highlight w:val="none"/>
                <w:lang w:val="en-US" w:eastAsia="zh-CN"/>
              </w:rPr>
              <w:t>0</w:t>
            </w:r>
            <w:r>
              <w:rPr>
                <w:color w:val="auto"/>
                <w:spacing w:val="-6"/>
                <w:highlight w:val="none"/>
              </w:rPr>
              <w:t>分或以上时，不扣减费用；</w:t>
            </w:r>
          </w:p>
          <w:p w14:paraId="5C94D949">
            <w:pPr>
              <w:pStyle w:val="10"/>
              <w:spacing w:before="120" w:line="220" w:lineRule="auto"/>
              <w:ind w:left="119"/>
              <w:rPr>
                <w:color w:val="auto"/>
                <w:highlight w:val="none"/>
              </w:rPr>
            </w:pPr>
            <w:r>
              <w:rPr>
                <w:color w:val="auto"/>
                <w:spacing w:val="-5"/>
                <w:highlight w:val="none"/>
              </w:rPr>
              <w:t>总分在</w:t>
            </w:r>
            <w:r>
              <w:rPr>
                <w:color w:val="auto"/>
                <w:spacing w:val="-45"/>
                <w:highlight w:val="none"/>
              </w:rPr>
              <w:t xml:space="preserve"> </w:t>
            </w:r>
            <w:r>
              <w:rPr>
                <w:color w:val="auto"/>
                <w:spacing w:val="-5"/>
                <w:highlight w:val="none"/>
              </w:rPr>
              <w:t>8</w:t>
            </w:r>
            <w:r>
              <w:rPr>
                <w:rFonts w:hint="eastAsia"/>
                <w:color w:val="auto"/>
                <w:spacing w:val="-5"/>
                <w:highlight w:val="none"/>
                <w:lang w:val="en-US" w:eastAsia="zh-CN"/>
              </w:rPr>
              <w:t>0</w:t>
            </w:r>
            <w:r>
              <w:rPr>
                <w:color w:val="auto"/>
                <w:spacing w:val="-5"/>
                <w:highlight w:val="none"/>
              </w:rPr>
              <w:t>~</w:t>
            </w:r>
            <w:r>
              <w:rPr>
                <w:rFonts w:hint="eastAsia"/>
                <w:color w:val="auto"/>
                <w:spacing w:val="-5"/>
                <w:highlight w:val="none"/>
                <w:lang w:val="en-US" w:eastAsia="zh-CN"/>
              </w:rPr>
              <w:t>89</w:t>
            </w:r>
            <w:r>
              <w:rPr>
                <w:color w:val="auto"/>
                <w:spacing w:val="-5"/>
                <w:highlight w:val="none"/>
              </w:rPr>
              <w:t>分时，扣减</w:t>
            </w:r>
            <w:r>
              <w:rPr>
                <w:color w:val="auto"/>
                <w:spacing w:val="52"/>
                <w:highlight w:val="none"/>
              </w:rPr>
              <w:t xml:space="preserve"> </w:t>
            </w:r>
            <w:r>
              <w:rPr>
                <w:color w:val="auto"/>
                <w:spacing w:val="-5"/>
                <w:highlight w:val="none"/>
              </w:rPr>
              <w:t>(9</w:t>
            </w:r>
            <w:r>
              <w:rPr>
                <w:rFonts w:hint="eastAsia"/>
                <w:color w:val="auto"/>
                <w:spacing w:val="-5"/>
                <w:highlight w:val="none"/>
                <w:lang w:val="en-US" w:eastAsia="zh-CN"/>
              </w:rPr>
              <w:t>0</w:t>
            </w:r>
            <w:r>
              <w:rPr>
                <w:color w:val="auto"/>
                <w:spacing w:val="-5"/>
                <w:highlight w:val="none"/>
              </w:rPr>
              <w:t>-总分)×100</w:t>
            </w:r>
            <w:r>
              <w:rPr>
                <w:color w:val="auto"/>
                <w:spacing w:val="-49"/>
                <w:highlight w:val="none"/>
              </w:rPr>
              <w:t xml:space="preserve"> </w:t>
            </w:r>
            <w:r>
              <w:rPr>
                <w:color w:val="auto"/>
                <w:spacing w:val="-5"/>
                <w:highlight w:val="none"/>
              </w:rPr>
              <w:t>元；</w:t>
            </w:r>
          </w:p>
          <w:p w14:paraId="045FDA23">
            <w:pPr>
              <w:pStyle w:val="10"/>
              <w:spacing w:before="181" w:line="220" w:lineRule="auto"/>
              <w:ind w:left="119"/>
              <w:rPr>
                <w:color w:val="auto"/>
                <w:highlight w:val="none"/>
              </w:rPr>
            </w:pPr>
            <w:r>
              <w:rPr>
                <w:color w:val="auto"/>
                <w:spacing w:val="-3"/>
                <w:highlight w:val="none"/>
              </w:rPr>
              <w:t>总分在</w:t>
            </w:r>
            <w:r>
              <w:rPr>
                <w:color w:val="auto"/>
                <w:spacing w:val="-44"/>
                <w:highlight w:val="none"/>
              </w:rPr>
              <w:t xml:space="preserve"> </w:t>
            </w:r>
            <w:r>
              <w:rPr>
                <w:color w:val="auto"/>
                <w:spacing w:val="-3"/>
                <w:highlight w:val="none"/>
              </w:rPr>
              <w:t>7</w:t>
            </w:r>
            <w:r>
              <w:rPr>
                <w:rFonts w:hint="eastAsia"/>
                <w:color w:val="auto"/>
                <w:spacing w:val="-3"/>
                <w:highlight w:val="none"/>
                <w:lang w:val="en-US" w:eastAsia="zh-CN"/>
              </w:rPr>
              <w:t>0</w:t>
            </w:r>
            <w:r>
              <w:rPr>
                <w:color w:val="auto"/>
                <w:spacing w:val="-3"/>
                <w:highlight w:val="none"/>
              </w:rPr>
              <w:t>~</w:t>
            </w:r>
            <w:r>
              <w:rPr>
                <w:rFonts w:hint="eastAsia"/>
                <w:color w:val="auto"/>
                <w:spacing w:val="-3"/>
                <w:highlight w:val="none"/>
                <w:lang w:val="en-US" w:eastAsia="zh-CN"/>
              </w:rPr>
              <w:t>79</w:t>
            </w:r>
            <w:r>
              <w:rPr>
                <w:color w:val="auto"/>
                <w:spacing w:val="-48"/>
                <w:highlight w:val="none"/>
              </w:rPr>
              <w:t xml:space="preserve"> </w:t>
            </w:r>
            <w:r>
              <w:rPr>
                <w:color w:val="auto"/>
                <w:spacing w:val="-3"/>
                <w:highlight w:val="none"/>
              </w:rPr>
              <w:t>分时，扣减</w:t>
            </w:r>
            <w:r>
              <w:rPr>
                <w:color w:val="auto"/>
                <w:spacing w:val="47"/>
                <w:highlight w:val="none"/>
              </w:rPr>
              <w:t xml:space="preserve"> </w:t>
            </w:r>
            <w:r>
              <w:rPr>
                <w:color w:val="auto"/>
                <w:spacing w:val="-3"/>
                <w:highlight w:val="none"/>
              </w:rPr>
              <w:t>[(8</w:t>
            </w:r>
            <w:r>
              <w:rPr>
                <w:rFonts w:hint="eastAsia"/>
                <w:color w:val="auto"/>
                <w:spacing w:val="-3"/>
                <w:highlight w:val="none"/>
                <w:lang w:val="en-US" w:eastAsia="zh-CN"/>
              </w:rPr>
              <w:t>0</w:t>
            </w:r>
            <w:r>
              <w:rPr>
                <w:color w:val="auto"/>
                <w:spacing w:val="-3"/>
                <w:highlight w:val="none"/>
              </w:rPr>
              <w:t>-总分)×</w:t>
            </w:r>
            <w:r>
              <w:rPr>
                <w:color w:val="auto"/>
                <w:spacing w:val="-4"/>
                <w:highlight w:val="none"/>
              </w:rPr>
              <w:t>200+1000] 元；</w:t>
            </w:r>
          </w:p>
          <w:p w14:paraId="47E46267">
            <w:pPr>
              <w:pStyle w:val="10"/>
              <w:spacing w:before="182" w:line="220" w:lineRule="auto"/>
              <w:ind w:left="119"/>
              <w:rPr>
                <w:color w:val="auto"/>
                <w:highlight w:val="none"/>
              </w:rPr>
            </w:pPr>
            <w:r>
              <w:rPr>
                <w:color w:val="auto"/>
                <w:spacing w:val="-3"/>
                <w:highlight w:val="none"/>
              </w:rPr>
              <w:t>总分在</w:t>
            </w:r>
            <w:r>
              <w:rPr>
                <w:color w:val="auto"/>
                <w:spacing w:val="-48"/>
                <w:highlight w:val="none"/>
              </w:rPr>
              <w:t xml:space="preserve"> </w:t>
            </w:r>
            <w:r>
              <w:rPr>
                <w:color w:val="auto"/>
                <w:spacing w:val="-3"/>
                <w:highlight w:val="none"/>
              </w:rPr>
              <w:t>60~</w:t>
            </w:r>
            <w:r>
              <w:rPr>
                <w:rFonts w:hint="eastAsia"/>
                <w:color w:val="auto"/>
                <w:spacing w:val="-3"/>
                <w:highlight w:val="none"/>
                <w:lang w:val="en-US" w:eastAsia="zh-CN"/>
              </w:rPr>
              <w:t>69</w:t>
            </w:r>
            <w:r>
              <w:rPr>
                <w:color w:val="auto"/>
                <w:spacing w:val="-48"/>
                <w:highlight w:val="none"/>
              </w:rPr>
              <w:t xml:space="preserve"> </w:t>
            </w:r>
            <w:r>
              <w:rPr>
                <w:color w:val="auto"/>
                <w:spacing w:val="-3"/>
                <w:highlight w:val="none"/>
              </w:rPr>
              <w:t>分时，扣减</w:t>
            </w:r>
            <w:r>
              <w:rPr>
                <w:color w:val="auto"/>
                <w:spacing w:val="47"/>
                <w:highlight w:val="none"/>
              </w:rPr>
              <w:t xml:space="preserve"> </w:t>
            </w:r>
            <w:r>
              <w:rPr>
                <w:color w:val="auto"/>
                <w:spacing w:val="-3"/>
                <w:highlight w:val="none"/>
              </w:rPr>
              <w:t>[(7</w:t>
            </w:r>
            <w:r>
              <w:rPr>
                <w:rFonts w:hint="eastAsia"/>
                <w:color w:val="auto"/>
                <w:spacing w:val="-3"/>
                <w:highlight w:val="none"/>
                <w:lang w:val="en-US" w:eastAsia="zh-CN"/>
              </w:rPr>
              <w:t>0</w:t>
            </w:r>
            <w:r>
              <w:rPr>
                <w:color w:val="auto"/>
                <w:spacing w:val="-3"/>
                <w:highlight w:val="none"/>
              </w:rPr>
              <w:t>-总分)×300+</w:t>
            </w:r>
            <w:r>
              <w:rPr>
                <w:color w:val="auto"/>
                <w:spacing w:val="-4"/>
                <w:highlight w:val="none"/>
              </w:rPr>
              <w:t>3000] 元；</w:t>
            </w:r>
          </w:p>
          <w:p w14:paraId="4CD0E152">
            <w:pPr>
              <w:pStyle w:val="10"/>
              <w:spacing w:before="121" w:line="220" w:lineRule="auto"/>
              <w:ind w:left="119"/>
              <w:rPr>
                <w:color w:val="auto"/>
                <w:spacing w:val="-6"/>
                <w:highlight w:val="none"/>
              </w:rPr>
            </w:pPr>
            <w:r>
              <w:rPr>
                <w:color w:val="auto"/>
                <w:spacing w:val="-4"/>
                <w:highlight w:val="none"/>
              </w:rPr>
              <w:t>合同期内累计两次月考核得分低于 70</w:t>
            </w:r>
            <w:r>
              <w:rPr>
                <w:color w:val="auto"/>
                <w:spacing w:val="-24"/>
                <w:highlight w:val="none"/>
              </w:rPr>
              <w:t xml:space="preserve"> </w:t>
            </w:r>
            <w:r>
              <w:rPr>
                <w:color w:val="auto"/>
                <w:spacing w:val="-4"/>
                <w:highlight w:val="none"/>
              </w:rPr>
              <w:t>分（不含 7</w:t>
            </w:r>
            <w:r>
              <w:rPr>
                <w:color w:val="auto"/>
                <w:spacing w:val="-5"/>
                <w:highlight w:val="none"/>
              </w:rPr>
              <w:t>0</w:t>
            </w:r>
            <w:r>
              <w:rPr>
                <w:color w:val="auto"/>
                <w:spacing w:val="-24"/>
                <w:highlight w:val="none"/>
              </w:rPr>
              <w:t xml:space="preserve"> </w:t>
            </w:r>
            <w:r>
              <w:rPr>
                <w:color w:val="auto"/>
                <w:spacing w:val="-5"/>
                <w:highlight w:val="none"/>
              </w:rPr>
              <w:t>分）或出现 1 次月考核得分低于</w:t>
            </w:r>
            <w:r>
              <w:rPr>
                <w:color w:val="auto"/>
                <w:spacing w:val="-1"/>
                <w:highlight w:val="none"/>
              </w:rPr>
              <w:t>60</w:t>
            </w:r>
            <w:r>
              <w:rPr>
                <w:color w:val="auto"/>
                <w:spacing w:val="-48"/>
                <w:highlight w:val="none"/>
              </w:rPr>
              <w:t xml:space="preserve"> </w:t>
            </w:r>
            <w:r>
              <w:rPr>
                <w:color w:val="auto"/>
                <w:spacing w:val="-1"/>
                <w:highlight w:val="none"/>
              </w:rPr>
              <w:t>分（不含</w:t>
            </w:r>
            <w:r>
              <w:rPr>
                <w:color w:val="auto"/>
                <w:spacing w:val="-49"/>
                <w:highlight w:val="none"/>
              </w:rPr>
              <w:t xml:space="preserve"> </w:t>
            </w:r>
            <w:r>
              <w:rPr>
                <w:color w:val="auto"/>
                <w:spacing w:val="-1"/>
                <w:highlight w:val="none"/>
              </w:rPr>
              <w:t>60</w:t>
            </w:r>
            <w:r>
              <w:rPr>
                <w:color w:val="auto"/>
                <w:spacing w:val="-47"/>
                <w:highlight w:val="none"/>
              </w:rPr>
              <w:t xml:space="preserve"> </w:t>
            </w:r>
            <w:r>
              <w:rPr>
                <w:color w:val="auto"/>
                <w:spacing w:val="-1"/>
                <w:highlight w:val="none"/>
              </w:rPr>
              <w:t>分</w:t>
            </w:r>
            <w:r>
              <w:rPr>
                <w:color w:val="auto"/>
                <w:highlight w:val="none"/>
              </w:rPr>
              <w:t>），</w:t>
            </w:r>
            <w:r>
              <w:rPr>
                <w:rFonts w:hint="eastAsia"/>
                <w:color w:val="auto"/>
                <w:spacing w:val="-1"/>
                <w:highlight w:val="none"/>
                <w:lang w:eastAsia="zh-CN"/>
              </w:rPr>
              <w:t>招租方</w:t>
            </w:r>
            <w:r>
              <w:rPr>
                <w:color w:val="auto"/>
                <w:spacing w:val="-1"/>
                <w:highlight w:val="none"/>
              </w:rPr>
              <w:t>有权终止合同，所</w:t>
            </w:r>
            <w:r>
              <w:rPr>
                <w:color w:val="auto"/>
                <w:spacing w:val="-2"/>
                <w:highlight w:val="none"/>
              </w:rPr>
              <w:t>发生的一切损失由</w:t>
            </w:r>
            <w:r>
              <w:rPr>
                <w:rFonts w:hint="eastAsia"/>
                <w:color w:val="auto"/>
                <w:spacing w:val="-2"/>
                <w:highlight w:val="none"/>
                <w:lang w:eastAsia="zh-CN"/>
              </w:rPr>
              <w:t>承租方</w:t>
            </w:r>
            <w:r>
              <w:rPr>
                <w:color w:val="auto"/>
                <w:spacing w:val="-2"/>
                <w:highlight w:val="none"/>
              </w:rPr>
              <w:t>负责。</w:t>
            </w:r>
          </w:p>
          <w:p w14:paraId="69EABD86">
            <w:pPr>
              <w:pStyle w:val="10"/>
              <w:spacing w:before="121" w:line="220" w:lineRule="auto"/>
              <w:rPr>
                <w:color w:val="auto"/>
                <w:spacing w:val="-6"/>
                <w:highlight w:val="none"/>
              </w:rPr>
            </w:pPr>
          </w:p>
        </w:tc>
      </w:tr>
      <w:tr w14:paraId="3144CE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245" w:type="dxa"/>
            <w:shd w:val="clear" w:color="auto" w:fill="auto"/>
            <w:vAlign w:val="top"/>
          </w:tcPr>
          <w:p w14:paraId="45E71109">
            <w:pPr>
              <w:pStyle w:val="10"/>
              <w:spacing w:before="120" w:line="313" w:lineRule="auto"/>
              <w:ind w:left="399" w:leftChars="0" w:right="148" w:rightChars="0" w:hanging="241" w:firstLineChars="0"/>
              <w:rPr>
                <w:rFonts w:ascii="宋体" w:hAnsi="宋体" w:eastAsia="宋体" w:cs="宋体"/>
                <w:snapToGrid w:val="0"/>
                <w:color w:val="auto"/>
                <w:kern w:val="0"/>
                <w:sz w:val="21"/>
                <w:szCs w:val="21"/>
                <w:highlight w:val="none"/>
                <w:lang w:val="en-US" w:eastAsia="en-US" w:bidi="ar-SA"/>
              </w:rPr>
            </w:pPr>
            <w:r>
              <w:rPr>
                <w:color w:val="auto"/>
                <w:spacing w:val="-3"/>
                <w:highlight w:val="none"/>
              </w:rPr>
              <w:t>本月减扣金额</w:t>
            </w:r>
          </w:p>
        </w:tc>
        <w:tc>
          <w:tcPr>
            <w:tcW w:w="9090" w:type="dxa"/>
            <w:gridSpan w:val="3"/>
            <w:shd w:val="clear" w:color="auto" w:fill="auto"/>
            <w:vAlign w:val="top"/>
          </w:tcPr>
          <w:p w14:paraId="2A899318">
            <w:pPr>
              <w:spacing w:line="274" w:lineRule="auto"/>
              <w:rPr>
                <w:rFonts w:ascii="Arial"/>
                <w:color w:val="auto"/>
                <w:sz w:val="21"/>
                <w:highlight w:val="none"/>
              </w:rPr>
            </w:pPr>
          </w:p>
          <w:p w14:paraId="110D71D6">
            <w:pPr>
              <w:pStyle w:val="10"/>
              <w:spacing w:before="78" w:line="220" w:lineRule="auto"/>
              <w:ind w:left="1075" w:leftChars="0"/>
              <w:rPr>
                <w:rFonts w:ascii="宋体" w:hAnsi="宋体" w:eastAsia="宋体" w:cs="宋体"/>
                <w:snapToGrid w:val="0"/>
                <w:color w:val="auto"/>
                <w:kern w:val="0"/>
                <w:sz w:val="21"/>
                <w:szCs w:val="21"/>
                <w:highlight w:val="none"/>
                <w:lang w:val="en-US" w:eastAsia="en-US" w:bidi="ar-SA"/>
              </w:rPr>
            </w:pPr>
            <w:r>
              <w:rPr>
                <w:color w:val="auto"/>
                <w:highlight w:val="none"/>
              </w:rPr>
              <w:t>元</w:t>
            </w:r>
          </w:p>
        </w:tc>
      </w:tr>
    </w:tbl>
    <w:p w14:paraId="15C46FEB">
      <w:pPr>
        <w:rPr>
          <w:color w:val="auto"/>
          <w:highlight w:val="none"/>
        </w:rPr>
      </w:pPr>
    </w:p>
    <w:p w14:paraId="7BB13E27">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textAlignment w:val="baseline"/>
        <w:rPr>
          <w:rFonts w:hint="eastAsia" w:ascii="新宋体" w:hAnsi="新宋体" w:eastAsia="新宋体" w:cs="新宋体"/>
          <w:b w:val="0"/>
          <w:bCs w:val="0"/>
          <w:color w:val="auto"/>
          <w:spacing w:val="-2"/>
          <w:sz w:val="24"/>
          <w:szCs w:val="24"/>
          <w:highlight w:val="none"/>
        </w:rPr>
      </w:pPr>
    </w:p>
    <w:bookmarkEnd w:id="0"/>
    <w:sectPr>
      <w:footerReference r:id="rId7" w:type="default"/>
      <w:pgSz w:w="11900" w:h="16830"/>
      <w:pgMar w:top="1430" w:right="1592" w:bottom="1200" w:left="1760" w:header="0" w:footer="108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C392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E8D56">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B798B">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89805"/>
    <w:multiLevelType w:val="singleLevel"/>
    <w:tmpl w:val="80C89805"/>
    <w:lvl w:ilvl="0" w:tentative="0">
      <w:start w:val="1"/>
      <w:numFmt w:val="decimal"/>
      <w:lvlText w:val="%1."/>
      <w:lvlJc w:val="left"/>
      <w:pPr>
        <w:ind w:left="425" w:hanging="425"/>
      </w:pPr>
      <w:rPr>
        <w:rFonts w:hint="default"/>
      </w:rPr>
    </w:lvl>
  </w:abstractNum>
  <w:abstractNum w:abstractNumId="1">
    <w:nsid w:val="8242B334"/>
    <w:multiLevelType w:val="singleLevel"/>
    <w:tmpl w:val="8242B334"/>
    <w:lvl w:ilvl="0" w:tentative="0">
      <w:start w:val="1"/>
      <w:numFmt w:val="chineseCounting"/>
      <w:suff w:val="nothing"/>
      <w:lvlText w:val="（%1）"/>
      <w:lvlJc w:val="left"/>
      <w:pPr>
        <w:ind w:left="0" w:firstLine="420"/>
      </w:pPr>
      <w:rPr>
        <w:rFonts w:hint="eastAsia"/>
        <w:b/>
        <w:bCs/>
      </w:rPr>
    </w:lvl>
  </w:abstractNum>
  <w:abstractNum w:abstractNumId="2">
    <w:nsid w:val="8EE4F1CC"/>
    <w:multiLevelType w:val="singleLevel"/>
    <w:tmpl w:val="8EE4F1CC"/>
    <w:lvl w:ilvl="0" w:tentative="0">
      <w:start w:val="1"/>
      <w:numFmt w:val="decimal"/>
      <w:lvlText w:val="(%1)"/>
      <w:lvlJc w:val="left"/>
      <w:pPr>
        <w:ind w:left="425" w:hanging="425"/>
      </w:pPr>
      <w:rPr>
        <w:rFonts w:hint="default"/>
      </w:rPr>
    </w:lvl>
  </w:abstractNum>
  <w:abstractNum w:abstractNumId="3">
    <w:nsid w:val="BE39D55C"/>
    <w:multiLevelType w:val="singleLevel"/>
    <w:tmpl w:val="BE39D55C"/>
    <w:lvl w:ilvl="0" w:tentative="0">
      <w:start w:val="1"/>
      <w:numFmt w:val="decimal"/>
      <w:lvlText w:val="(%1)"/>
      <w:lvlJc w:val="left"/>
      <w:pPr>
        <w:ind w:left="425" w:hanging="425"/>
      </w:pPr>
      <w:rPr>
        <w:rFonts w:hint="default"/>
      </w:rPr>
    </w:lvl>
  </w:abstractNum>
  <w:abstractNum w:abstractNumId="4">
    <w:nsid w:val="C04BC702"/>
    <w:multiLevelType w:val="singleLevel"/>
    <w:tmpl w:val="C04BC702"/>
    <w:lvl w:ilvl="0" w:tentative="0">
      <w:start w:val="1"/>
      <w:numFmt w:val="decimal"/>
      <w:lvlText w:val="%1."/>
      <w:lvlJc w:val="left"/>
      <w:pPr>
        <w:ind w:left="425" w:hanging="425"/>
      </w:pPr>
      <w:rPr>
        <w:rFonts w:hint="default"/>
      </w:rPr>
    </w:lvl>
  </w:abstractNum>
  <w:abstractNum w:abstractNumId="5">
    <w:nsid w:val="CD1DB1AF"/>
    <w:multiLevelType w:val="singleLevel"/>
    <w:tmpl w:val="CD1DB1AF"/>
    <w:lvl w:ilvl="0" w:tentative="0">
      <w:start w:val="1"/>
      <w:numFmt w:val="decimal"/>
      <w:lvlText w:val="(%1)"/>
      <w:lvlJc w:val="left"/>
      <w:pPr>
        <w:tabs>
          <w:tab w:val="left" w:pos="312"/>
        </w:tabs>
      </w:pPr>
    </w:lvl>
  </w:abstractNum>
  <w:abstractNum w:abstractNumId="6">
    <w:nsid w:val="DE8CFF0E"/>
    <w:multiLevelType w:val="singleLevel"/>
    <w:tmpl w:val="DE8CFF0E"/>
    <w:lvl w:ilvl="0" w:tentative="0">
      <w:start w:val="1"/>
      <w:numFmt w:val="decimal"/>
      <w:lvlText w:val="%1."/>
      <w:lvlJc w:val="left"/>
      <w:pPr>
        <w:ind w:left="425" w:hanging="425"/>
      </w:pPr>
      <w:rPr>
        <w:rFonts w:hint="default"/>
      </w:rPr>
    </w:lvl>
  </w:abstractNum>
  <w:abstractNum w:abstractNumId="7">
    <w:nsid w:val="E0E347A4"/>
    <w:multiLevelType w:val="singleLevel"/>
    <w:tmpl w:val="E0E347A4"/>
    <w:lvl w:ilvl="0" w:tentative="0">
      <w:start w:val="1"/>
      <w:numFmt w:val="decimal"/>
      <w:lvlText w:val="(%1)"/>
      <w:lvlJc w:val="left"/>
      <w:pPr>
        <w:ind w:left="425" w:hanging="425"/>
      </w:pPr>
      <w:rPr>
        <w:rFonts w:hint="default"/>
      </w:rPr>
    </w:lvl>
  </w:abstractNum>
  <w:abstractNum w:abstractNumId="8">
    <w:nsid w:val="E54D1C41"/>
    <w:multiLevelType w:val="singleLevel"/>
    <w:tmpl w:val="E54D1C41"/>
    <w:lvl w:ilvl="0" w:tentative="0">
      <w:start w:val="1"/>
      <w:numFmt w:val="decimal"/>
      <w:lvlText w:val="%1."/>
      <w:lvlJc w:val="left"/>
      <w:pPr>
        <w:ind w:left="425" w:hanging="425"/>
      </w:pPr>
      <w:rPr>
        <w:rFonts w:hint="default"/>
      </w:rPr>
    </w:lvl>
  </w:abstractNum>
  <w:abstractNum w:abstractNumId="9">
    <w:nsid w:val="E6EA9EF7"/>
    <w:multiLevelType w:val="singleLevel"/>
    <w:tmpl w:val="E6EA9EF7"/>
    <w:lvl w:ilvl="0" w:tentative="0">
      <w:start w:val="1"/>
      <w:numFmt w:val="decimal"/>
      <w:lvlText w:val="(%1)"/>
      <w:lvlJc w:val="left"/>
      <w:pPr>
        <w:ind w:left="425" w:hanging="425"/>
      </w:pPr>
      <w:rPr>
        <w:rFonts w:hint="default"/>
      </w:rPr>
    </w:lvl>
  </w:abstractNum>
  <w:abstractNum w:abstractNumId="10">
    <w:nsid w:val="E9C71C28"/>
    <w:multiLevelType w:val="singleLevel"/>
    <w:tmpl w:val="E9C71C28"/>
    <w:lvl w:ilvl="0" w:tentative="0">
      <w:start w:val="1"/>
      <w:numFmt w:val="decimal"/>
      <w:lvlText w:val="(%1)"/>
      <w:lvlJc w:val="left"/>
      <w:pPr>
        <w:tabs>
          <w:tab w:val="left" w:pos="312"/>
        </w:tabs>
      </w:pPr>
    </w:lvl>
  </w:abstractNum>
  <w:abstractNum w:abstractNumId="11">
    <w:nsid w:val="F1B801D5"/>
    <w:multiLevelType w:val="singleLevel"/>
    <w:tmpl w:val="F1B801D5"/>
    <w:lvl w:ilvl="0" w:tentative="0">
      <w:start w:val="1"/>
      <w:numFmt w:val="decimal"/>
      <w:lvlText w:val="%1."/>
      <w:lvlJc w:val="left"/>
      <w:pPr>
        <w:ind w:left="425" w:hanging="425"/>
      </w:pPr>
      <w:rPr>
        <w:rFonts w:hint="default"/>
      </w:rPr>
    </w:lvl>
  </w:abstractNum>
  <w:abstractNum w:abstractNumId="12">
    <w:nsid w:val="F4187177"/>
    <w:multiLevelType w:val="singleLevel"/>
    <w:tmpl w:val="F4187177"/>
    <w:lvl w:ilvl="0" w:tentative="0">
      <w:start w:val="1"/>
      <w:numFmt w:val="chineseCounting"/>
      <w:suff w:val="nothing"/>
      <w:lvlText w:val="%1、"/>
      <w:lvlJc w:val="left"/>
      <w:pPr>
        <w:ind w:left="0" w:firstLine="420"/>
      </w:pPr>
      <w:rPr>
        <w:rFonts w:hint="eastAsia"/>
        <w:b/>
        <w:bCs/>
      </w:rPr>
    </w:lvl>
  </w:abstractNum>
  <w:abstractNum w:abstractNumId="13">
    <w:nsid w:val="15D51A7D"/>
    <w:multiLevelType w:val="singleLevel"/>
    <w:tmpl w:val="15D51A7D"/>
    <w:lvl w:ilvl="0" w:tentative="0">
      <w:start w:val="1"/>
      <w:numFmt w:val="decimal"/>
      <w:suff w:val="space"/>
      <w:lvlText w:val="%1."/>
      <w:lvlJc w:val="left"/>
      <w:pPr>
        <w:ind w:left="425" w:hanging="425"/>
      </w:pPr>
      <w:rPr>
        <w:rFonts w:hint="default"/>
      </w:rPr>
    </w:lvl>
  </w:abstractNum>
  <w:abstractNum w:abstractNumId="14">
    <w:nsid w:val="433B208F"/>
    <w:multiLevelType w:val="singleLevel"/>
    <w:tmpl w:val="433B208F"/>
    <w:lvl w:ilvl="0" w:tentative="0">
      <w:start w:val="1"/>
      <w:numFmt w:val="decimal"/>
      <w:lvlText w:val="%1."/>
      <w:lvlJc w:val="left"/>
      <w:pPr>
        <w:ind w:left="425" w:hanging="425"/>
      </w:pPr>
      <w:rPr>
        <w:rFonts w:hint="default"/>
      </w:rPr>
    </w:lvl>
  </w:abstractNum>
  <w:abstractNum w:abstractNumId="15">
    <w:nsid w:val="447E5D1C"/>
    <w:multiLevelType w:val="singleLevel"/>
    <w:tmpl w:val="447E5D1C"/>
    <w:lvl w:ilvl="0" w:tentative="0">
      <w:start w:val="1"/>
      <w:numFmt w:val="decimal"/>
      <w:lvlText w:val="%1."/>
      <w:lvlJc w:val="left"/>
      <w:pPr>
        <w:ind w:left="425" w:hanging="425"/>
      </w:pPr>
      <w:rPr>
        <w:rFonts w:hint="default"/>
      </w:rPr>
    </w:lvl>
  </w:abstractNum>
  <w:abstractNum w:abstractNumId="16">
    <w:nsid w:val="44F65426"/>
    <w:multiLevelType w:val="singleLevel"/>
    <w:tmpl w:val="44F65426"/>
    <w:lvl w:ilvl="0" w:tentative="0">
      <w:start w:val="1"/>
      <w:numFmt w:val="decimal"/>
      <w:lvlText w:val="%1."/>
      <w:lvlJc w:val="left"/>
      <w:pPr>
        <w:tabs>
          <w:tab w:val="left" w:pos="312"/>
        </w:tabs>
      </w:pPr>
    </w:lvl>
  </w:abstractNum>
  <w:abstractNum w:abstractNumId="17">
    <w:nsid w:val="4AFC3F51"/>
    <w:multiLevelType w:val="singleLevel"/>
    <w:tmpl w:val="4AFC3F51"/>
    <w:lvl w:ilvl="0" w:tentative="0">
      <w:start w:val="1"/>
      <w:numFmt w:val="decimal"/>
      <w:lvlText w:val="%1."/>
      <w:lvlJc w:val="left"/>
      <w:pPr>
        <w:tabs>
          <w:tab w:val="left" w:pos="312"/>
        </w:tabs>
      </w:pPr>
    </w:lvl>
  </w:abstractNum>
  <w:abstractNum w:abstractNumId="18">
    <w:nsid w:val="5C82F428"/>
    <w:multiLevelType w:val="singleLevel"/>
    <w:tmpl w:val="5C82F428"/>
    <w:lvl w:ilvl="0" w:tentative="0">
      <w:start w:val="1"/>
      <w:numFmt w:val="decimal"/>
      <w:lvlText w:val="%1."/>
      <w:lvlJc w:val="left"/>
      <w:pPr>
        <w:ind w:left="425" w:hanging="425"/>
      </w:pPr>
      <w:rPr>
        <w:rFonts w:hint="default"/>
      </w:rPr>
    </w:lvl>
  </w:abstractNum>
  <w:abstractNum w:abstractNumId="19">
    <w:nsid w:val="61ADCC68"/>
    <w:multiLevelType w:val="singleLevel"/>
    <w:tmpl w:val="61ADCC68"/>
    <w:lvl w:ilvl="0" w:tentative="0">
      <w:start w:val="1"/>
      <w:numFmt w:val="decimal"/>
      <w:suff w:val="space"/>
      <w:lvlText w:val="%1."/>
      <w:lvlJc w:val="left"/>
      <w:pPr>
        <w:ind w:left="425" w:hanging="425"/>
      </w:pPr>
      <w:rPr>
        <w:rFonts w:hint="default"/>
      </w:rPr>
    </w:lvl>
  </w:abstractNum>
  <w:abstractNum w:abstractNumId="20">
    <w:nsid w:val="67D04A6A"/>
    <w:multiLevelType w:val="singleLevel"/>
    <w:tmpl w:val="67D04A6A"/>
    <w:lvl w:ilvl="0" w:tentative="0">
      <w:start w:val="1"/>
      <w:numFmt w:val="decimal"/>
      <w:lvlText w:val="(%1)"/>
      <w:lvlJc w:val="left"/>
      <w:pPr>
        <w:tabs>
          <w:tab w:val="left" w:pos="312"/>
        </w:tabs>
      </w:pPr>
    </w:lvl>
  </w:abstractNum>
  <w:abstractNum w:abstractNumId="21">
    <w:nsid w:val="6B90E0C3"/>
    <w:multiLevelType w:val="singleLevel"/>
    <w:tmpl w:val="6B90E0C3"/>
    <w:lvl w:ilvl="0" w:tentative="0">
      <w:start w:val="1"/>
      <w:numFmt w:val="decimal"/>
      <w:lvlText w:val="%1."/>
      <w:lvlJc w:val="left"/>
      <w:pPr>
        <w:tabs>
          <w:tab w:val="left" w:pos="312"/>
        </w:tabs>
      </w:pPr>
    </w:lvl>
  </w:abstractNum>
  <w:num w:numId="1">
    <w:abstractNumId w:val="12"/>
  </w:num>
  <w:num w:numId="2">
    <w:abstractNumId w:val="4"/>
  </w:num>
  <w:num w:numId="3">
    <w:abstractNumId w:val="2"/>
  </w:num>
  <w:num w:numId="4">
    <w:abstractNumId w:val="5"/>
  </w:num>
  <w:num w:numId="5">
    <w:abstractNumId w:val="20"/>
  </w:num>
  <w:num w:numId="6">
    <w:abstractNumId w:val="10"/>
  </w:num>
  <w:num w:numId="7">
    <w:abstractNumId w:val="14"/>
  </w:num>
  <w:num w:numId="8">
    <w:abstractNumId w:val="9"/>
  </w:num>
  <w:num w:numId="9">
    <w:abstractNumId w:val="17"/>
  </w:num>
  <w:num w:numId="10">
    <w:abstractNumId w:val="16"/>
  </w:num>
  <w:num w:numId="11">
    <w:abstractNumId w:val="1"/>
  </w:num>
  <w:num w:numId="12">
    <w:abstractNumId w:val="8"/>
  </w:num>
  <w:num w:numId="13">
    <w:abstractNumId w:val="7"/>
  </w:num>
  <w:num w:numId="14">
    <w:abstractNumId w:val="18"/>
  </w:num>
  <w:num w:numId="15">
    <w:abstractNumId w:val="15"/>
  </w:num>
  <w:num w:numId="16">
    <w:abstractNumId w:val="0"/>
  </w:num>
  <w:num w:numId="17">
    <w:abstractNumId w:val="3"/>
  </w:num>
  <w:num w:numId="18">
    <w:abstractNumId w:val="11"/>
  </w:num>
  <w:num w:numId="19">
    <w:abstractNumId w:val="13"/>
  </w:num>
  <w:num w:numId="20">
    <w:abstractNumId w:val="21"/>
  </w:num>
  <w:num w:numId="21">
    <w:abstractNumId w:val="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isplayBackgroundShape w:val="1"/>
  <w:bordersDoNotSurroundHeader w:val="1"/>
  <w:bordersDoNotSurroundFooter w:val="1"/>
  <w:attachedTemplate r:id="rId1"/>
  <w:documentProtection w:enforcement="0"/>
  <w:defaultTabStop w:val="526"/>
  <w:hyphenationZone w:val="360"/>
  <w:displayHorizontalDrawingGridEvery w:val="1"/>
  <w:displayVerticalDrawingGridEvery w:val="1"/>
  <w:characterSpacingControl w:val="doNotCompress"/>
  <w:footnotePr>
    <w:footnote w:id="0"/>
    <w:footnote w:id="1"/>
  </w:footnotePr>
  <w:endnotePr>
    <w:endnote w:id="0"/>
    <w:endnote w:id="1"/>
  </w:endnotePr>
  <w:compat>
    <w:spaceForUL/>
    <w:doNotLeaveBackslashAlone/>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1034BB"/>
    <w:rsid w:val="002B06D1"/>
    <w:rsid w:val="04675D48"/>
    <w:rsid w:val="04DD3090"/>
    <w:rsid w:val="091034BB"/>
    <w:rsid w:val="098F1349"/>
    <w:rsid w:val="0A60366D"/>
    <w:rsid w:val="0D6F0040"/>
    <w:rsid w:val="0DFA16E3"/>
    <w:rsid w:val="0E6F3E7F"/>
    <w:rsid w:val="10A5002C"/>
    <w:rsid w:val="10B8781D"/>
    <w:rsid w:val="10D95F27"/>
    <w:rsid w:val="10DC66D4"/>
    <w:rsid w:val="1154735C"/>
    <w:rsid w:val="11812847"/>
    <w:rsid w:val="129F0AAB"/>
    <w:rsid w:val="13573133"/>
    <w:rsid w:val="13AF4599"/>
    <w:rsid w:val="14396A7F"/>
    <w:rsid w:val="15D73A35"/>
    <w:rsid w:val="15ED6EB7"/>
    <w:rsid w:val="161E5C48"/>
    <w:rsid w:val="182860D2"/>
    <w:rsid w:val="18890233"/>
    <w:rsid w:val="18B073F0"/>
    <w:rsid w:val="19DD3CDF"/>
    <w:rsid w:val="1BC4291D"/>
    <w:rsid w:val="1D51673F"/>
    <w:rsid w:val="1DAB3FD6"/>
    <w:rsid w:val="1DCA2399"/>
    <w:rsid w:val="1EC20419"/>
    <w:rsid w:val="20213D83"/>
    <w:rsid w:val="214630B1"/>
    <w:rsid w:val="23284CA7"/>
    <w:rsid w:val="23BF5EBD"/>
    <w:rsid w:val="24FD1AF3"/>
    <w:rsid w:val="28011B94"/>
    <w:rsid w:val="287F4F34"/>
    <w:rsid w:val="28FB4835"/>
    <w:rsid w:val="2CC3566A"/>
    <w:rsid w:val="2D8D3ECA"/>
    <w:rsid w:val="312611C0"/>
    <w:rsid w:val="31EA5FAE"/>
    <w:rsid w:val="344C6B9D"/>
    <w:rsid w:val="376B68E6"/>
    <w:rsid w:val="37816907"/>
    <w:rsid w:val="380E4447"/>
    <w:rsid w:val="38AF73EA"/>
    <w:rsid w:val="3A2A41F8"/>
    <w:rsid w:val="3B451BF2"/>
    <w:rsid w:val="3BCD027C"/>
    <w:rsid w:val="3CA60B04"/>
    <w:rsid w:val="3E917038"/>
    <w:rsid w:val="3F15211D"/>
    <w:rsid w:val="40290372"/>
    <w:rsid w:val="40D45C40"/>
    <w:rsid w:val="413109A6"/>
    <w:rsid w:val="4339622E"/>
    <w:rsid w:val="43B71F87"/>
    <w:rsid w:val="44356037"/>
    <w:rsid w:val="466E447D"/>
    <w:rsid w:val="47A57393"/>
    <w:rsid w:val="47FE6991"/>
    <w:rsid w:val="49696133"/>
    <w:rsid w:val="4982492A"/>
    <w:rsid w:val="49CC016C"/>
    <w:rsid w:val="49F03845"/>
    <w:rsid w:val="4B376E5A"/>
    <w:rsid w:val="4B971D44"/>
    <w:rsid w:val="4BDC31C0"/>
    <w:rsid w:val="4C2368AC"/>
    <w:rsid w:val="4CD82614"/>
    <w:rsid w:val="4E1D0249"/>
    <w:rsid w:val="4F722BA3"/>
    <w:rsid w:val="50781E13"/>
    <w:rsid w:val="5118702E"/>
    <w:rsid w:val="514501A0"/>
    <w:rsid w:val="51D35AA8"/>
    <w:rsid w:val="5283097E"/>
    <w:rsid w:val="52892AF8"/>
    <w:rsid w:val="52B87BFB"/>
    <w:rsid w:val="52D82877"/>
    <w:rsid w:val="53114AD1"/>
    <w:rsid w:val="536230C7"/>
    <w:rsid w:val="536A1914"/>
    <w:rsid w:val="5382777D"/>
    <w:rsid w:val="543744C9"/>
    <w:rsid w:val="54530B87"/>
    <w:rsid w:val="548D0188"/>
    <w:rsid w:val="55C7591B"/>
    <w:rsid w:val="573D7F76"/>
    <w:rsid w:val="57A852D8"/>
    <w:rsid w:val="58602F7F"/>
    <w:rsid w:val="59267B0E"/>
    <w:rsid w:val="59BC5A1F"/>
    <w:rsid w:val="59F36628"/>
    <w:rsid w:val="5B357F7A"/>
    <w:rsid w:val="5CBA7F88"/>
    <w:rsid w:val="5D7137E2"/>
    <w:rsid w:val="5EB86749"/>
    <w:rsid w:val="5F39195F"/>
    <w:rsid w:val="5FA05BCE"/>
    <w:rsid w:val="60E90E3C"/>
    <w:rsid w:val="624A5290"/>
    <w:rsid w:val="630A1FF2"/>
    <w:rsid w:val="639257BA"/>
    <w:rsid w:val="653C0BB6"/>
    <w:rsid w:val="679F666F"/>
    <w:rsid w:val="67A55102"/>
    <w:rsid w:val="67C1666E"/>
    <w:rsid w:val="6A2856D7"/>
    <w:rsid w:val="6A7A0DD1"/>
    <w:rsid w:val="6B557B0C"/>
    <w:rsid w:val="6B770D5D"/>
    <w:rsid w:val="6C6153F8"/>
    <w:rsid w:val="6D3B47CD"/>
    <w:rsid w:val="6D405558"/>
    <w:rsid w:val="71AA1F21"/>
    <w:rsid w:val="728B0908"/>
    <w:rsid w:val="72C879B4"/>
    <w:rsid w:val="750A2CD7"/>
    <w:rsid w:val="75A3300B"/>
    <w:rsid w:val="75E579CC"/>
    <w:rsid w:val="75FC2F67"/>
    <w:rsid w:val="7C013085"/>
    <w:rsid w:val="7CDA010F"/>
    <w:rsid w:val="7E2F04C1"/>
    <w:rsid w:val="7E4A05E1"/>
    <w:rsid w:val="7EFB3D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0"/>
    <w:pPr>
      <w:keepNext/>
      <w:keepLines/>
      <w:spacing w:line="416" w:lineRule="auto"/>
      <w:outlineLvl w:val="2"/>
    </w:pPr>
    <w:rPr>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semiHidden/>
    <w:qFormat/>
    <w:uiPriority w:val="0"/>
    <w:rPr>
      <w:rFonts w:ascii="仿宋" w:hAnsi="仿宋" w:eastAsia="仿宋" w:cs="仿宋"/>
      <w:sz w:val="28"/>
      <w:szCs w:val="28"/>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yanne20250812\2&#39277;&#22530;&#24037;&#20316;\4.&#39135;&#22530;&#22806;&#21253;\1.&#20840;&#22806;&#21253;\1.&#37319;&#36141;&#38656;&#27714;\&#37319;&#36141;&#38656;&#27714;2026\&#37319;&#36141;&#38656;&#27714;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采购需求1.dot</Template>
  <Pages>22</Pages>
  <Words>12423</Words>
  <Characters>12789</Characters>
  <TotalTime>0</TotalTime>
  <ScaleCrop>false</ScaleCrop>
  <LinksUpToDate>false</LinksUpToDate>
  <CharactersWithSpaces>12942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2026-05-13T00:13:00Z</dcterms:created>
  <dc:creator>yanne</dc:creator>
  <cp:lastModifiedBy>广东华伦</cp:lastModifiedBy>
  <cp:lastPrinted>2026-06-10T02:08:00Z</cp:lastPrinted>
  <dcterms:modified xsi:type="dcterms:W3CDTF">2026-06-16T06:19:31Z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2026-05-09T09:51:47Z</vt:filetime>
  </property>
  <property fmtid="{D5CDD505-2E9C-101B-9397-08002B2CF9AE}" pid="4" name="UsrData">
    <vt:lpwstr>69fe932b43cd31001fedbbf9wl</vt:lpwstr>
  </property>
  <property fmtid="{D5CDD505-2E9C-101B-9397-08002B2CF9AE}" pid="5" name="KSOTemplateDocerSaveRecord">
    <vt:lpwstr>eyJoZGlkIjoiMjk1NzdlYmE0NmZiMTU2YTZkNDRlM2VmZDkwMjZkZjUiLCJ1c2VySWQiOiI2MTE4OTc1MzEifQ==</vt:lpwstr>
  </property>
  <property fmtid="{D5CDD505-2E9C-101B-9397-08002B2CF9AE}" pid="6" name="KSOProductBuildVer">
    <vt:lpwstr>2052-12.1.0.26895</vt:lpwstr>
  </property>
  <property fmtid="{D5CDD505-2E9C-101B-9397-08002B2CF9AE}" pid="7" name="ICV">
    <vt:lpwstr>1131055E7C1848FABFDB308078CBF3F9_13</vt:lpwstr>
  </property>
</Properties>
</file>