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441701-2025-00674</w:t>
      </w:r>
    </w:p>
    <w:p>
      <w:pPr>
        <w:pStyle w:val="null3"/>
        <w:jc w:val="center"/>
        <w:outlineLvl w:val="3"/>
      </w:pPr>
      <w:r>
        <w:rPr>
          <w:sz w:val="24"/>
          <w:b/>
        </w:rPr>
        <w:t>采购项目编号：</w:t>
      </w:r>
      <w:r>
        <w:rPr>
          <w:sz w:val="24"/>
          <w:b/>
        </w:rPr>
        <w:t>0724-2531YJ021890</w:t>
      </w:r>
    </w:p>
    <w:p>
      <w:pPr>
        <w:pStyle w:val="null3"/>
        <w:jc w:val="center"/>
        <w:outlineLvl w:val="3"/>
      </w:pPr>
      <w:r>
        <w:rPr>
          <w:sz w:val="24"/>
          <w:b/>
        </w:rPr>
        <w:t>项目名称：</w:t>
      </w:r>
      <w:r>
        <w:rPr>
          <w:sz w:val="24"/>
          <w:b/>
        </w:rPr>
        <w:t>阳江市人民医院医疗设备维保服务采购项目</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阳江市人民医院医疗设备维保服务采购项目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阳江市人民医院医疗设备维保服务采购项目</w:t>
      </w:r>
    </w:p>
    <w:p>
      <w:pPr>
        <w:pStyle w:val="null3"/>
        <w:ind w:firstLine="480"/>
      </w:pPr>
      <w:r>
        <w:rPr/>
        <w:t>采购计划编号：</w:t>
      </w:r>
      <w:r>
        <w:rPr/>
        <w:t>441701-2025-00674</w:t>
      </w:r>
    </w:p>
    <w:p>
      <w:pPr>
        <w:pStyle w:val="null3"/>
        <w:ind w:firstLine="480"/>
      </w:pPr>
      <w:r>
        <w:rPr/>
        <w:t>采购项目编号：</w:t>
      </w:r>
      <w:r>
        <w:rPr/>
        <w:t>0724-2531YJ021890</w:t>
      </w:r>
    </w:p>
    <w:p>
      <w:pPr>
        <w:pStyle w:val="null3"/>
        <w:ind w:firstLine="480"/>
      </w:pPr>
      <w:r>
        <w:rPr/>
        <w:t>采购方式：</w:t>
      </w:r>
      <w:r>
        <w:rPr/>
        <w:t>公开招标</w:t>
      </w:r>
    </w:p>
    <w:p>
      <w:pPr>
        <w:pStyle w:val="null3"/>
        <w:ind w:firstLine="480"/>
      </w:pPr>
      <w:r>
        <w:rPr/>
        <w:t>预算金额：</w:t>
      </w:r>
      <w:r>
        <w:rPr/>
        <w:t>9,300,000.00</w:t>
      </w:r>
      <w:r>
        <w:rPr/>
        <w:t>元</w:t>
      </w:r>
    </w:p>
    <w:p>
      <w:pPr>
        <w:pStyle w:val="null3"/>
        <w:outlineLvl w:val="3"/>
      </w:pPr>
      <w:r>
        <w:rPr>
          <w:sz w:val="24"/>
          <w:b/>
        </w:rPr>
        <w:t>2.项目内容及需求情况（采购项目技术规格、参数及要求）</w:t>
      </w:r>
    </w:p>
    <w:p>
      <w:pPr>
        <w:pStyle w:val="null3"/>
      </w:pPr>
      <w:r>
        <w:rPr/>
        <w:t>采购包1(阳江市人民医院医疗设备维保服务采购项目):</w:t>
      </w:r>
    </w:p>
    <w:p>
      <w:pPr>
        <w:pStyle w:val="null3"/>
      </w:pPr>
      <w:r>
        <w:rPr/>
        <w:t>采购包预算金额：9,300,000.00元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医疗设备维修和保养服务</w:t>
            </w:r>
          </w:p>
        </w:tc>
        <w:tc>
          <w:tcPr>
            <w:tcW w:type="dxa" w:w="2136"/>
          </w:tcPr>
          <w:p>
            <w:pPr>
              <w:pStyle w:val="null3"/>
            </w:pPr>
            <w:r>
              <w:rPr/>
              <w:t>阳江市人民医院医疗设备维保服务采购项目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2）有依法缴纳税收和社会保障资金的良好记录：提供《阳江市政府采购供应商资格信用承诺函》（格式详见附件）。</w:t>
      </w:r>
    </w:p>
    <w:p>
      <w:pPr>
        <w:pStyle w:val="null3"/>
      </w:pPr>
      <w:r>
        <w:rPr/>
        <w:t>3）具有良好的商业信誉和健全的财务会计制度：提供《阳江市政府采购供应商资格信用承诺函》（格式详见附件）。</w:t>
      </w:r>
    </w:p>
    <w:p>
      <w:pPr>
        <w:pStyle w:val="null3"/>
      </w:pPr>
      <w:r>
        <w:rPr/>
        <w:t>4）履行合同所必需的设备和专业技术能力：提供《阳江市政府采购供应商资格信用承诺函》（格式详见附件）。</w:t>
      </w:r>
    </w:p>
    <w:p>
      <w:pPr>
        <w:pStyle w:val="null3"/>
      </w:pPr>
      <w:r>
        <w:rPr/>
        <w:t>5）参加采购活动前3年内，在经营活动中没有重大违法记录：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采购包1（阳江市人民医院医疗设备维保服务采购项目）：</w:t>
      </w:r>
      <w:r>
        <w:rPr/>
        <w:t>本项目不属于专门面向中小企业采购的项目。仅在评审时对符合条件的小型、微型企业进行价格扣除（监狱企业、残疾人福利性单位视同为小型、微型企业）。</w:t>
      </w:r>
    </w:p>
    <w:p>
      <w:pPr>
        <w:pStyle w:val="null3"/>
        <w:outlineLvl w:val="3"/>
      </w:pPr>
      <w:r>
        <w:rPr>
          <w:sz w:val="24"/>
          <w:b/>
        </w:rPr>
        <w:t>3.本项目特定的资格要求：</w:t>
      </w:r>
    </w:p>
    <w:p>
      <w:pPr>
        <w:pStyle w:val="null3"/>
      </w:pPr>
      <w:r>
        <w:rPr/>
        <w:t>采购包1（阳江市人民医院医疗设备维保服务采购项目）：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如所提供球管为投标人自己生产，需提供监督管理部门签发的有效的《医疗器械生产许可证》（如国家另有规定，则适用其规定）。如所提供球管非投标人自己生产，需提供监督管理部门签发的有效的《第二类医疗器械经营备案凭证》或承诺供货前取得《第二类医疗器械经营备案凭证》（投标时提供承诺函，格式自拟）（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0662-3282109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020-37860503/559、0662-2222138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020-37860503/559、0662-2222138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699"/>
        <w:gridCol w:w="1463"/>
        <w:gridCol w:w="1563"/>
        <w:gridCol w:w="969"/>
        <w:gridCol w:w="858"/>
        <w:gridCol w:w="1095"/>
        <w:gridCol w:w="1189"/>
      </w:tblGrid>
      <w:tr>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1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设备类型</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型号</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品牌</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维保期限</w:t>
            </w:r>
          </w:p>
        </w:tc>
        <w:tc>
          <w:tcPr>
            <w:tcW w:type="dxa" w:w="1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金额</w:t>
            </w:r>
          </w:p>
        </w:tc>
      </w:tr>
      <w:tr>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256排CT</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Revolution CT</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GE</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r>
              <w:rPr>
                <w:sz w:val="20"/>
              </w:rPr>
              <w:t>年</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930万元</w:t>
            </w:r>
          </w:p>
        </w:tc>
      </w:tr>
    </w:tbl>
    <w:p>
      <w:pPr>
        <w:pStyle w:val="null3"/>
        <w:jc w:val="both"/>
      </w:pPr>
      <w:r>
        <w:rPr>
          <w:sz w:val="20"/>
        </w:rPr>
        <w:t>维保服务内容：整机全保，含人工、所有配件（包含：</w:t>
      </w:r>
      <w:r>
        <w:rPr>
          <w:sz w:val="20"/>
        </w:rPr>
        <w:t>球管</w:t>
      </w:r>
      <w:r>
        <w:rPr>
          <w:sz w:val="20"/>
        </w:rPr>
        <w:t>、</w:t>
      </w:r>
      <w:r>
        <w:rPr>
          <w:sz w:val="20"/>
        </w:rPr>
        <w:t>AW工作站、</w:t>
      </w:r>
      <w:r>
        <w:rPr>
          <w:sz w:val="20"/>
        </w:rPr>
        <w:t>探测器</w:t>
      </w:r>
      <w:r>
        <w:rPr>
          <w:sz w:val="20"/>
        </w:rPr>
        <w:t>），不含第三方设备和软件。</w:t>
      </w:r>
    </w:p>
    <w:p>
      <w:pPr>
        <w:pStyle w:val="null3"/>
      </w:pPr>
      <w:r>
        <w:rPr/>
        <w:t>采购包1（阳江市人民医院医疗设备维保服务采购项目）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自合同签订之日起三年。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在签订合同后,采购人支付合同金额30%作为首期款；具体实施时间以收到中标供应商合格请款资料（包括但不限于发票等）后10个工作日内支付（如果中标人为中小企业，在签订合同后,采购人支付合同金额30%作为首期款；具体实施时间以收到中标供应商合格请款资料后5个工作日内支付）。。</w:t>
            </w:r>
          </w:p>
          <w:p>
            <w:pPr>
              <w:pStyle w:val="null3"/>
            </w:pPr>
            <w:r>
              <w:rPr/>
              <w:t>第2期为(进度款)：支付比例20%，服务期满12个月后，采购人支付合同金额20%作为第二期维保款；具体实施时间以收到中标供应商合格请款资料（包括但不限于发票等）后10个工作日内支付。。</w:t>
            </w:r>
          </w:p>
          <w:p>
            <w:pPr>
              <w:pStyle w:val="null3"/>
            </w:pPr>
            <w:r>
              <w:rPr/>
              <w:t>第3期为(进度款)：支付比例20%，服务期满18个月后，采购人支付合同金额20%作为第三期维保款；具体实施时间以收到中标供应商合格请款资料（包括但不限于发票等）后10个工作日内支付。。</w:t>
            </w:r>
          </w:p>
          <w:p>
            <w:pPr>
              <w:pStyle w:val="null3"/>
            </w:pPr>
            <w:r>
              <w:rPr/>
              <w:t>第4期为(进度款)：支付比例20%，服务期满24个月后，采购人支付合同金额20%作为第四期维保款；具体实施时间以收到中标供应商合格请款资料（包括但不限于发票等）后10个工作日内支付。。</w:t>
            </w:r>
          </w:p>
          <w:p>
            <w:pPr>
              <w:pStyle w:val="null3"/>
            </w:pPr>
            <w:r>
              <w:rPr/>
              <w:t>第5期为(尾款)：支付比例10%，服务期满36个月后，采购人支付合同金额10%。具体实施时间以收到中标供应商合格请款资料（包括但不限于发票等）后10个工作日内支付。。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1期：1、验收应在采购人和中标供应商双方共同参加下进行，由采购人组织验收，正常运行并满足使用要求。 2、验收按国家、地方或行业现行相关验收规范和评定标准执行。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投标报价不得高于人民币9,300,000.00元（超出该上限的投标报价将作为无效投标处理）,投标报价应为人民币含税全包价，投标人应综合考虑完成本项目所发生的各项费用，应包括成本、利润、税金、合同条款规定的保险、政策性文件规定及合同包含的所有风险、责任及措施等费用及实施本项目所需的其他一切费用，投标人应列入而未列入其中的费用，均视为已包含在内，风险由投标人承担。采购人不再另行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采购合同由中标人与采购人双方签订，签订时间为《中标通知书》发出之日起30个日历天内。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阳江市人民医院医疗设备维保服务采购项目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9,300,000.00</w:t>
            </w:r>
          </w:p>
        </w:tc>
        <w:tc>
          <w:tcPr>
            <w:tcW w:type="dxa" w:w="933"/>
          </w:tcPr>
          <w:p>
            <w:pPr>
              <w:pStyle w:val="null3"/>
              <w:jc w:val="right"/>
            </w:pPr>
            <w:r>
              <w:rPr/>
              <w:t>9,300,000.00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阳江市人民医院医疗设备维保服务采购项目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120" w:after="120"/>
              <w:jc w:val="both"/>
            </w:pPr>
            <w:r>
              <w:rPr>
                <w:sz w:val="20"/>
                <w:b/>
              </w:rPr>
              <w:t>一、</w:t>
            </w:r>
            <w:r>
              <w:rPr>
                <w:sz w:val="20"/>
                <w:b/>
              </w:rPr>
              <w:t>采购项目服务技术要求：</w:t>
            </w:r>
          </w:p>
          <w:p>
            <w:pPr>
              <w:pStyle w:val="null3"/>
              <w:ind w:firstLine="200"/>
              <w:jc w:val="both"/>
            </w:pPr>
            <w:r>
              <w:rPr>
                <w:sz w:val="20"/>
              </w:rPr>
              <w:t>▲1、年度定期维护保养次数≥4次，定期维护服务检测包括设备清洁、性能测试及校准、必要的机械或电气的检查，以及非紧急性质的预防性维护。</w:t>
            </w:r>
          </w:p>
          <w:p>
            <w:pPr>
              <w:pStyle w:val="null3"/>
              <w:ind w:firstLine="200"/>
              <w:jc w:val="both"/>
            </w:pPr>
            <w:r>
              <w:rPr>
                <w:sz w:val="20"/>
              </w:rPr>
              <w:t>2、投标人</w:t>
            </w:r>
            <w:r>
              <w:rPr>
                <w:sz w:val="20"/>
              </w:rPr>
              <w:t>及</w:t>
            </w:r>
            <w:r>
              <w:rPr>
                <w:sz w:val="20"/>
              </w:rPr>
              <w:t>授权投标人的厂商提供客户服务专线电话，每天开通服务时间不少于</w:t>
            </w:r>
            <w:r>
              <w:rPr>
                <w:sz w:val="20"/>
              </w:rPr>
              <w:t>12 小时。服务专线电话每年365天开通，并有专人接听并全程协调资源，且可视化中央控制、实时管理：每年响应时间为 365 天；电话1小时内响应；接到报修后24小时内维修人员到达现场。</w:t>
            </w:r>
          </w:p>
          <w:p>
            <w:pPr>
              <w:pStyle w:val="null3"/>
              <w:ind w:firstLine="200"/>
              <w:jc w:val="both"/>
            </w:pPr>
            <w:r>
              <w:rPr>
                <w:sz w:val="20"/>
              </w:rPr>
              <w:t>3、开机保证：开机保证率承诺为≥97%，计算公式如下：开机保证率=</w:t>
            </w:r>
            <w:r>
              <w:rPr>
                <w:sz w:val="20"/>
              </w:rPr>
              <w:t>开机天数</w:t>
            </w:r>
            <w:r>
              <w:rPr>
                <w:sz w:val="20"/>
              </w:rPr>
              <w:t>/365天</w:t>
            </w:r>
            <w:r>
              <w:rPr>
                <w:sz w:val="20"/>
              </w:rPr>
              <w:t>，达不到开机保证率的情况下停机一天，则合同期限将相应延长</w:t>
            </w:r>
            <w:r>
              <w:rPr>
                <w:sz w:val="20"/>
              </w:rPr>
              <w:t>3个日历日。</w:t>
            </w:r>
          </w:p>
          <w:p>
            <w:pPr>
              <w:pStyle w:val="null3"/>
              <w:ind w:firstLine="200"/>
              <w:jc w:val="both"/>
            </w:pPr>
            <w:r>
              <w:rPr>
                <w:sz w:val="20"/>
              </w:rPr>
              <w:t>▲4、投标人</w:t>
            </w:r>
            <w:r>
              <w:rPr>
                <w:sz w:val="20"/>
              </w:rPr>
              <w:t>或授权投标人的厂商</w:t>
            </w:r>
            <w:r>
              <w:rPr>
                <w:sz w:val="20"/>
              </w:rPr>
              <w:t>能随时按需要取得设备生产者研发和工厂的技术、物力支持。投标人提供应用培训专家，支持本项目的维修保障服务，并能以现场的和远程的形式，提供临床扫描、图像处理和相应业务拓展的专业支持。</w:t>
            </w:r>
            <w:r>
              <w:rPr>
                <w:sz w:val="20"/>
              </w:rPr>
              <w:t>(提供相关证明材料)</w:t>
            </w:r>
          </w:p>
          <w:p>
            <w:pPr>
              <w:pStyle w:val="null3"/>
              <w:ind w:firstLine="200"/>
              <w:jc w:val="both"/>
            </w:pPr>
            <w:r>
              <w:rPr>
                <w:sz w:val="20"/>
              </w:rPr>
              <w:t>5、投标人</w:t>
            </w:r>
            <w:r>
              <w:rPr>
                <w:sz w:val="20"/>
              </w:rPr>
              <w:t>或授权投标人的厂商</w:t>
            </w:r>
            <w:r>
              <w:rPr>
                <w:sz w:val="20"/>
              </w:rPr>
              <w:t>提供专业诊断工具，可以及时准确诊断设备故障，主要包括</w:t>
            </w:r>
            <w:r>
              <w:rPr>
                <w:sz w:val="20"/>
              </w:rPr>
              <w:t>CT剂量测试仪、CatPhan600模体、水模和QA模、5269092电压测试模体、5735916高压检测工具和5717725无负载高压检测工具、5720762排气加油工具（提供工具清单及图片</w:t>
            </w:r>
            <w:r>
              <w:rPr>
                <w:sz w:val="20"/>
              </w:rPr>
              <w:t>等</w:t>
            </w:r>
            <w:r>
              <w:rPr>
                <w:sz w:val="20"/>
              </w:rPr>
              <w:t>相关证明材料）。</w:t>
            </w:r>
          </w:p>
          <w:p>
            <w:pPr>
              <w:pStyle w:val="null3"/>
              <w:ind w:firstLine="200"/>
              <w:jc w:val="both"/>
            </w:pPr>
            <w:r>
              <w:rPr>
                <w:sz w:val="20"/>
              </w:rPr>
              <w:t>▲6、零备件供应：</w:t>
            </w:r>
            <w:r>
              <w:rPr>
                <w:sz w:val="20"/>
              </w:rPr>
              <w:t>投标人或授权投标人的厂商提供的所有更换的核心零部件（球管、探测器模块、高压油箱、束光器等）应为原厂全新件，其它备件应保证为原厂认证测试合格件，现场更换时需要提供相应的合法来源证明（投标时提供承诺函并加盖公章）。</w:t>
            </w:r>
          </w:p>
          <w:p>
            <w:pPr>
              <w:pStyle w:val="null3"/>
              <w:ind w:firstLine="200"/>
              <w:jc w:val="both"/>
            </w:pPr>
            <w:r>
              <w:rPr>
                <w:sz w:val="20"/>
              </w:rPr>
              <w:t>7、投标人</w:t>
            </w:r>
            <w:r>
              <w:rPr>
                <w:sz w:val="20"/>
              </w:rPr>
              <w:t>或授权投标人的厂商</w:t>
            </w:r>
            <w:r>
              <w:rPr>
                <w:sz w:val="20"/>
              </w:rPr>
              <w:t>能合法获得、完整使用有效的原厂高级故障诊断维修钥匙（</w:t>
            </w:r>
            <w:r>
              <w:rPr>
                <w:sz w:val="20"/>
              </w:rPr>
              <w:t>Service Key），以解决相应故障。(提供产品相关原厂授权、功能界面截图等证明资料)</w:t>
            </w:r>
          </w:p>
          <w:p>
            <w:pPr>
              <w:pStyle w:val="null3"/>
              <w:ind w:firstLine="200"/>
              <w:jc w:val="both"/>
            </w:pPr>
            <w:r>
              <w:rPr>
                <w:sz w:val="20"/>
              </w:rPr>
              <w:t>▲8、投标人</w:t>
            </w:r>
            <w:r>
              <w:rPr>
                <w:sz w:val="20"/>
              </w:rPr>
              <w:t>或授权投标人的厂商</w:t>
            </w:r>
            <w:r>
              <w:rPr>
                <w:sz w:val="20"/>
              </w:rPr>
              <w:t>能及时获取并提供全套完整的原厂系统安全性软硬件改版措施，</w:t>
            </w:r>
            <w:r>
              <w:rPr>
                <w:sz w:val="20"/>
              </w:rPr>
              <w:t>维保</w:t>
            </w:r>
            <w:r>
              <w:rPr>
                <w:sz w:val="20"/>
              </w:rPr>
              <w:t>期内提供设备（含独立工作站）的系统安全性软件升级补丁和技术支持。</w:t>
            </w:r>
            <w:r>
              <w:rPr>
                <w:sz w:val="20"/>
              </w:rPr>
              <w:t>(提供往期已实施原厂系统安全性软硬件改版措施的材料作为证明材料)</w:t>
            </w:r>
          </w:p>
          <w:p>
            <w:pPr>
              <w:pStyle w:val="null3"/>
              <w:ind w:firstLine="201"/>
              <w:jc w:val="both"/>
            </w:pPr>
            <w:r>
              <w:rPr>
                <w:sz w:val="20"/>
                <w:b/>
              </w:rPr>
              <w:t>▲</w:t>
            </w:r>
            <w:r>
              <w:rPr>
                <w:sz w:val="20"/>
              </w:rPr>
              <w:t>9、</w:t>
            </w:r>
            <w:r>
              <w:rPr>
                <w:sz w:val="20"/>
              </w:rPr>
              <w:t>每年提供</w:t>
            </w:r>
            <w:r>
              <w:rPr>
                <w:sz w:val="20"/>
              </w:rPr>
              <w:t>≥2次与维保产品相关的</w:t>
            </w:r>
            <w:r>
              <w:rPr>
                <w:sz w:val="20"/>
              </w:rPr>
              <w:t>原厂</w:t>
            </w:r>
            <w:r>
              <w:rPr>
                <w:sz w:val="20"/>
              </w:rPr>
              <w:t>临床培训或设备管理培训，可根据采购人需求选择培训类型（提供</w:t>
            </w:r>
            <w:r>
              <w:rPr>
                <w:sz w:val="20"/>
              </w:rPr>
              <w:t>近一年内原厂</w:t>
            </w:r>
            <w:r>
              <w:rPr>
                <w:sz w:val="20"/>
              </w:rPr>
              <w:t>培训案例证明</w:t>
            </w:r>
            <w:r>
              <w:rPr>
                <w:sz w:val="20"/>
              </w:rPr>
              <w:t>及全职临床应用培训讲师清单及工程师证书</w:t>
            </w:r>
            <w:r>
              <w:rPr>
                <w:sz w:val="20"/>
              </w:rPr>
              <w:t>）。</w:t>
            </w:r>
          </w:p>
          <w:p>
            <w:pPr>
              <w:pStyle w:val="null3"/>
              <w:ind w:firstLine="200"/>
              <w:jc w:val="both"/>
            </w:pPr>
            <w:r>
              <w:rPr>
                <w:sz w:val="20"/>
              </w:rPr>
              <w:t>10、</w:t>
            </w:r>
            <w:r>
              <w:rPr>
                <w:sz w:val="20"/>
              </w:rPr>
              <w:t>投标人</w:t>
            </w:r>
            <w:r>
              <w:rPr>
                <w:sz w:val="20"/>
              </w:rPr>
              <w:t>或授权投标人的厂商</w:t>
            </w:r>
            <w:r>
              <w:rPr>
                <w:sz w:val="20"/>
              </w:rPr>
              <w:t>维保期限内更换的球管技术参数要求：</w:t>
            </w:r>
          </w:p>
          <w:p>
            <w:pPr>
              <w:pStyle w:val="null3"/>
              <w:ind w:firstLine="200"/>
              <w:jc w:val="both"/>
            </w:pPr>
            <w:r>
              <w:rPr>
                <w:sz w:val="20"/>
              </w:rPr>
              <w:t>▲</w:t>
            </w:r>
            <w:r>
              <w:rPr>
                <w:sz w:val="20"/>
              </w:rPr>
              <w:t>10.1</w:t>
            </w:r>
            <w:r>
              <w:rPr>
                <w:sz w:val="20"/>
              </w:rPr>
              <w:t>提供投标型号球管的原版技术白皮书，且以下应标参数均以此技术白皮书为准</w:t>
            </w:r>
          </w:p>
          <w:p>
            <w:pPr>
              <w:pStyle w:val="null3"/>
              <w:ind w:firstLine="200"/>
              <w:jc w:val="both"/>
            </w:pPr>
            <w:r>
              <w:rPr>
                <w:sz w:val="20"/>
              </w:rPr>
              <w:t>10.</w:t>
            </w:r>
            <w:r>
              <w:rPr>
                <w:sz w:val="20"/>
              </w:rPr>
              <w:t>2阳极热容量：</w:t>
            </w:r>
            <w:r>
              <w:rPr>
                <w:sz w:val="20"/>
              </w:rPr>
              <w:t>≥</w:t>
            </w:r>
            <w:r>
              <w:rPr>
                <w:sz w:val="20"/>
              </w:rPr>
              <w:t>5MJ</w:t>
            </w:r>
          </w:p>
          <w:p>
            <w:pPr>
              <w:pStyle w:val="null3"/>
              <w:ind w:firstLine="200"/>
              <w:jc w:val="both"/>
            </w:pPr>
            <w:r>
              <w:rPr>
                <w:sz w:val="20"/>
              </w:rPr>
              <w:t>10.</w:t>
            </w:r>
            <w:r>
              <w:rPr>
                <w:sz w:val="20"/>
              </w:rPr>
              <w:t>3.焦点数量：≥三个</w:t>
            </w:r>
          </w:p>
          <w:p>
            <w:pPr>
              <w:pStyle w:val="null3"/>
              <w:ind w:firstLine="200"/>
              <w:jc w:val="both"/>
            </w:pPr>
            <w:r>
              <w:rPr>
                <w:sz w:val="20"/>
              </w:rPr>
              <w:t>▲</w:t>
            </w:r>
            <w:r>
              <w:rPr>
                <w:sz w:val="20"/>
              </w:rPr>
              <w:t>10.4</w:t>
            </w:r>
            <w:r>
              <w:rPr>
                <w:sz w:val="20"/>
              </w:rPr>
              <w:t>小焦点</w:t>
            </w:r>
            <w:r>
              <w:rPr>
                <w:sz w:val="20"/>
              </w:rPr>
              <w:t>≤1.0mm x 0.7 mm</w:t>
            </w:r>
          </w:p>
          <w:p>
            <w:pPr>
              <w:pStyle w:val="null3"/>
              <w:ind w:firstLine="200"/>
              <w:jc w:val="both"/>
            </w:pPr>
            <w:r>
              <w:rPr>
                <w:sz w:val="20"/>
              </w:rPr>
              <w:t>10.5</w:t>
            </w:r>
            <w:r>
              <w:rPr>
                <w:sz w:val="20"/>
              </w:rPr>
              <w:t>大焦点</w:t>
            </w:r>
            <w:r>
              <w:rPr>
                <w:sz w:val="20"/>
              </w:rPr>
              <w:t>≤1.6mm x 1.2mm</w:t>
            </w:r>
          </w:p>
          <w:p>
            <w:pPr>
              <w:pStyle w:val="null3"/>
              <w:ind w:firstLine="200"/>
              <w:jc w:val="both"/>
            </w:pPr>
            <w:r>
              <w:rPr>
                <w:sz w:val="20"/>
              </w:rPr>
              <w:t>10.6</w:t>
            </w:r>
            <w:r>
              <w:rPr>
                <w:sz w:val="20"/>
              </w:rPr>
              <w:t>超大焦点</w:t>
            </w:r>
            <w:r>
              <w:rPr>
                <w:sz w:val="20"/>
              </w:rPr>
              <w:t>≤2.0mm x 1.2mm</w:t>
            </w:r>
          </w:p>
          <w:p>
            <w:pPr>
              <w:pStyle w:val="null3"/>
              <w:ind w:firstLine="200"/>
              <w:jc w:val="both"/>
            </w:pPr>
            <w:r>
              <w:rPr>
                <w:sz w:val="20"/>
              </w:rPr>
              <w:t>10.7</w:t>
            </w:r>
            <w:r>
              <w:rPr>
                <w:sz w:val="20"/>
              </w:rPr>
              <w:t>以技术白皮书为准的普通扫描</w:t>
            </w:r>
            <w:r>
              <w:rPr>
                <w:sz w:val="20"/>
              </w:rPr>
              <w:t>140kv条件下，可持续4秒扫描的大焦点输出mA数</w:t>
            </w:r>
            <w:r>
              <w:rPr>
                <w:sz w:val="20"/>
              </w:rPr>
              <w:t>≥</w:t>
            </w:r>
            <w:r>
              <w:rPr>
                <w:sz w:val="20"/>
              </w:rPr>
              <w:t>48</w:t>
            </w:r>
            <w:r>
              <w:rPr>
                <w:sz w:val="20"/>
              </w:rPr>
              <w:t>0</w:t>
            </w:r>
            <w:r>
              <w:rPr>
                <w:sz w:val="20"/>
              </w:rPr>
              <w:t>mA</w:t>
            </w:r>
          </w:p>
          <w:p>
            <w:pPr>
              <w:pStyle w:val="null3"/>
              <w:ind w:firstLine="200"/>
              <w:jc w:val="both"/>
            </w:pPr>
            <w:r>
              <w:rPr>
                <w:sz w:val="20"/>
              </w:rPr>
              <w:t>▲</w:t>
            </w:r>
            <w:r>
              <w:rPr>
                <w:sz w:val="20"/>
              </w:rPr>
              <w:t>10.8</w:t>
            </w:r>
            <w:r>
              <w:rPr>
                <w:sz w:val="20"/>
              </w:rPr>
              <w:t>以技术白皮书为准的普通扫描</w:t>
            </w:r>
            <w:r>
              <w:rPr>
                <w:sz w:val="20"/>
              </w:rPr>
              <w:t>140kv条件下，可持续4秒扫描的小焦点输出mA数</w:t>
            </w:r>
            <w:r>
              <w:rPr>
                <w:sz w:val="20"/>
              </w:rPr>
              <w:t>≥</w:t>
            </w:r>
            <w:r>
              <w:rPr>
                <w:sz w:val="20"/>
              </w:rPr>
              <w:t>320mA</w:t>
            </w:r>
          </w:p>
          <w:p>
            <w:pPr>
              <w:pStyle w:val="null3"/>
              <w:ind w:firstLine="200"/>
              <w:jc w:val="both"/>
            </w:pPr>
            <w:r>
              <w:rPr>
                <w:sz w:val="20"/>
              </w:rPr>
              <w:t>▲</w:t>
            </w:r>
            <w:r>
              <w:rPr>
                <w:sz w:val="20"/>
              </w:rPr>
              <w:t>10.9</w:t>
            </w:r>
            <w:r>
              <w:rPr>
                <w:sz w:val="20"/>
              </w:rPr>
              <w:t>供以技术白皮书为准的普通扫描</w:t>
            </w:r>
            <w:r>
              <w:rPr>
                <w:sz w:val="20"/>
              </w:rPr>
              <w:t>140kv条件下，可持续4秒扫描的超大焦点输出mA数</w:t>
            </w:r>
            <w:r>
              <w:rPr>
                <w:sz w:val="20"/>
              </w:rPr>
              <w:t>≥</w:t>
            </w:r>
            <w:r>
              <w:rPr>
                <w:sz w:val="20"/>
              </w:rPr>
              <w:t>53</w:t>
            </w:r>
            <w:r>
              <w:rPr>
                <w:sz w:val="20"/>
              </w:rPr>
              <w:t>0</w:t>
            </w:r>
            <w:r>
              <w:rPr>
                <w:sz w:val="20"/>
              </w:rPr>
              <w:t>mA</w:t>
            </w:r>
          </w:p>
          <w:p>
            <w:pPr>
              <w:pStyle w:val="null3"/>
              <w:ind w:firstLine="200"/>
              <w:jc w:val="both"/>
            </w:pPr>
            <w:r>
              <w:rPr>
                <w:sz w:val="20"/>
              </w:rPr>
              <w:t>★10.10投标人所提供的球管应具备医疗器械注册证，可以为设备整机注册证或单独球管注册证。</w:t>
            </w:r>
          </w:p>
          <w:p>
            <w:pPr>
              <w:pStyle w:val="null3"/>
              <w:spacing w:before="120" w:after="120"/>
              <w:jc w:val="both"/>
            </w:pPr>
            <w:r>
              <w:rPr>
                <w:sz w:val="20"/>
                <w:b/>
              </w:rPr>
              <w:t>二、其他技术要求</w:t>
            </w:r>
            <w:r>
              <w:rPr>
                <w:sz w:val="20"/>
                <w:b/>
              </w:rPr>
              <w:t>(不纳入“一般技术参数的响应情况”评审)</w:t>
            </w:r>
          </w:p>
          <w:p>
            <w:pPr>
              <w:pStyle w:val="null3"/>
              <w:ind w:firstLine="200"/>
              <w:jc w:val="both"/>
            </w:pPr>
            <w:r>
              <w:rPr>
                <w:sz w:val="20"/>
              </w:rPr>
              <w:t>1.服务方案</w:t>
            </w:r>
          </w:p>
          <w:p>
            <w:pPr>
              <w:pStyle w:val="null3"/>
              <w:ind w:firstLine="200"/>
              <w:jc w:val="both"/>
            </w:pPr>
            <w:r>
              <w:rPr>
                <w:sz w:val="20"/>
              </w:rPr>
              <w:t>投标人根据对项目的整体理解制定服务方案，对技术需求的重点难点进行专项、透彻的分析，包括但不限于：</w:t>
            </w:r>
            <w:r>
              <w:rPr>
                <w:sz w:val="20"/>
              </w:rPr>
              <w:t>①对服务要求、具体特点的理解；②实施计划；③对本项目维保设备技术要点的熟悉程度；④对重点关键环节的把握；⑤对难点问题的预计等方面。</w:t>
            </w:r>
          </w:p>
          <w:p>
            <w:pPr>
              <w:pStyle w:val="null3"/>
              <w:ind w:firstLine="200"/>
              <w:jc w:val="both"/>
            </w:pPr>
            <w:r>
              <w:rPr>
                <w:sz w:val="20"/>
              </w:rPr>
              <w:t>2.服务人员配置</w:t>
            </w:r>
          </w:p>
          <w:p>
            <w:pPr>
              <w:pStyle w:val="null3"/>
              <w:ind w:firstLine="200"/>
              <w:jc w:val="both"/>
            </w:pPr>
            <w:r>
              <w:rPr>
                <w:sz w:val="20"/>
              </w:rPr>
              <w:t>1）服务工程师，具有医疗设备维修经验，能提供医疗设备维修工程师资质，以及企业为其购买的社保证明</w:t>
            </w:r>
            <w:r>
              <w:rPr>
                <w:sz w:val="21"/>
              </w:rPr>
              <w:t>近六个月内任意一个月</w:t>
            </w:r>
            <w:r>
              <w:rPr>
                <w:sz w:val="20"/>
              </w:rPr>
              <w:t>。根据医院维保设备实际需求和工作需要，人员由投标人自行安排，但人员的一切事务及法律法规及安全责任必须由投标单位负责，医院不承担任何责任。</w:t>
            </w:r>
          </w:p>
          <w:p>
            <w:pPr>
              <w:pStyle w:val="null3"/>
              <w:ind w:firstLine="200"/>
              <w:jc w:val="both"/>
            </w:pPr>
            <w:r>
              <w:rPr>
                <w:sz w:val="20"/>
              </w:rPr>
              <w:t>2)投标单位工程技术人员文明作业，工作中尽量不影响医院的正常业务。</w:t>
            </w:r>
          </w:p>
          <w:p>
            <w:pPr>
              <w:pStyle w:val="null3"/>
              <w:ind w:firstLine="200"/>
              <w:jc w:val="both"/>
            </w:pPr>
            <w:r>
              <w:rPr>
                <w:sz w:val="20"/>
              </w:rPr>
              <w:t>3)服务人员要具有较好的沟通能力，良好的服务意识，积极的工作态度。遵守医院各项规章制度，对不服从管理的人员，医院有权要求调换。</w:t>
            </w:r>
          </w:p>
          <w:p>
            <w:pPr>
              <w:pStyle w:val="null3"/>
              <w:ind w:firstLine="200"/>
              <w:jc w:val="both"/>
            </w:pPr>
            <w:r>
              <w:rPr>
                <w:sz w:val="20"/>
              </w:rPr>
              <w:t>3.应急预案和保障措施</w:t>
            </w:r>
          </w:p>
          <w:p>
            <w:pPr>
              <w:pStyle w:val="null3"/>
              <w:ind w:firstLine="200"/>
              <w:jc w:val="both"/>
            </w:pPr>
            <w:r>
              <w:rPr>
                <w:sz w:val="20"/>
              </w:rPr>
              <w:t>1)预防措施</w:t>
            </w:r>
          </w:p>
          <w:p>
            <w:pPr>
              <w:pStyle w:val="null3"/>
              <w:ind w:firstLine="200"/>
              <w:jc w:val="both"/>
            </w:pPr>
            <w:r>
              <w:rPr>
                <w:sz w:val="20"/>
              </w:rPr>
              <w:t>①投标人工程师学习熟知所维保医疗设备的操作规程并能熟练操作设备。</w:t>
            </w:r>
          </w:p>
          <w:p>
            <w:pPr>
              <w:pStyle w:val="null3"/>
              <w:ind w:firstLine="200"/>
              <w:jc w:val="both"/>
            </w:pPr>
            <w:r>
              <w:rPr>
                <w:sz w:val="20"/>
              </w:rPr>
              <w:t>②投标人工程师不定期检查所维保医疗设备状况，确保设备处于良好待用状态，发现故障不能自行解决的，应立即向总部报修。</w:t>
            </w:r>
          </w:p>
          <w:p>
            <w:pPr>
              <w:pStyle w:val="null3"/>
              <w:ind w:firstLine="200"/>
              <w:jc w:val="both"/>
            </w:pPr>
            <w:r>
              <w:rPr>
                <w:sz w:val="20"/>
              </w:rPr>
              <w:t>③在对医疗设备进行维保过程中，投标人工程师应随时观察设备的状态是否正常。</w:t>
            </w:r>
          </w:p>
          <w:p>
            <w:pPr>
              <w:pStyle w:val="null3"/>
              <w:ind w:firstLine="200"/>
              <w:jc w:val="both"/>
            </w:pPr>
            <w:r>
              <w:rPr>
                <w:sz w:val="20"/>
              </w:rPr>
              <w:t>2)应急、保障措施</w:t>
            </w:r>
          </w:p>
          <w:p>
            <w:pPr>
              <w:pStyle w:val="null3"/>
              <w:ind w:firstLine="200"/>
              <w:jc w:val="both"/>
            </w:pPr>
            <w:r>
              <w:rPr>
                <w:sz w:val="20"/>
              </w:rPr>
              <w:t>①当发生突发事件时，投标人人员应及时到达现场,服从医院统一指挥，提供技术保障支持。</w:t>
            </w:r>
          </w:p>
          <w:p>
            <w:pPr>
              <w:pStyle w:val="null3"/>
              <w:ind w:firstLine="200"/>
              <w:jc w:val="both"/>
            </w:pPr>
            <w:r>
              <w:rPr>
                <w:sz w:val="20"/>
              </w:rPr>
              <w:t>②夜间及节假日发生事件时，如需要，投标单位人员提供现场支持。</w:t>
            </w:r>
          </w:p>
          <w:p>
            <w:pPr>
              <w:pStyle w:val="null3"/>
              <w:ind w:firstLine="200"/>
              <w:jc w:val="both"/>
            </w:pPr>
            <w:r>
              <w:rPr>
                <w:sz w:val="20"/>
              </w:rPr>
              <w:t>③当因设备故障无法满足突发事件使用时，工程师应及时协调各备件库房紧急调配。</w:t>
            </w:r>
          </w:p>
          <w:p>
            <w:pPr>
              <w:pStyle w:val="null3"/>
              <w:ind w:firstLine="200"/>
              <w:jc w:val="both"/>
            </w:pPr>
            <w:r>
              <w:rPr>
                <w:sz w:val="20"/>
              </w:rPr>
              <w:t>④突发事件时根据设备故障性质和程度，决定是否停用设备，并及时安排现场紧急维修，以保证病人的救治，使设备故障对病人救治造成的影响程度降至最低。</w:t>
            </w:r>
          </w:p>
          <w:p>
            <w:pPr>
              <w:pStyle w:val="null3"/>
              <w:ind w:firstLine="200"/>
              <w:jc w:val="both"/>
            </w:pPr>
            <w:r>
              <w:rPr>
                <w:sz w:val="20"/>
              </w:rPr>
              <w:t>⑤在突发事件中，设备发生故障工程师按程序接收故障设备，及时优先进行维修。</w:t>
            </w:r>
          </w:p>
          <w:p>
            <w:pPr>
              <w:pStyle w:val="null3"/>
              <w:ind w:firstLine="200"/>
              <w:jc w:val="both"/>
            </w:pPr>
            <w:r>
              <w:rPr>
                <w:sz w:val="20"/>
              </w:rPr>
              <w:t>3)流程</w:t>
            </w:r>
          </w:p>
          <w:p>
            <w:pPr>
              <w:pStyle w:val="null3"/>
              <w:jc w:val="both"/>
            </w:pPr>
            <w:r>
              <w:rPr>
                <w:sz w:val="20"/>
              </w:rPr>
              <w:t xml:space="preserve">    有完善的设备故障报告流程和应急响应流程。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采购机构代理服务收费标准：采购代理人向中标人收取的中标服务费标准，参照国家计委[计价格[2002]1980号]文及国家发改委[2011]534号文服务类招标代理服务收费标准差额定率累进法计算收取。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2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医疗设备维保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采购包1（阳江市人民医院医疗设备维保服务采购项目）：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采购包1（阳江市人民医院医疗设备维保服务采购项目）：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如所提供球管为投标人自己生产，需提供监督管理部门签发的有效的《医疗器械生产许可证》（如国家另有规定，则适用其规定）。如所提供球管非投标人自己生产，需提供监督管理部门签发的有效的《第二类医疗器械经营备案凭证》或承诺供货前取得《第二类医疗器械经营备案凭证》（投标时提供承诺函，格式自拟）（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w:t>
            </w:r>
          </w:p>
        </w:tc>
      </w:tr>
    </w:tbl>
    <w:p>
      <w:pPr>
        <w:pStyle w:val="null3"/>
        <w:ind w:firstLine="480"/>
      </w:pPr>
      <w:r>
        <w:rPr/>
        <w:t>表二符合性审查表：</w:t>
      </w:r>
    </w:p>
    <w:p>
      <w:pPr>
        <w:pStyle w:val="null3"/>
      </w:pPr>
      <w:r>
        <w:rPr/>
        <w:t>采购包1（阳江市人民医院医疗设备维保服务采购项目）：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采购包1(阳江市人民医院医疗设备维保服务采购项目):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商务部分19.0分</w:t>
            </w:r>
          </w:p>
          <w:p>
            <w:pPr>
              <w:pStyle w:val="null3"/>
            </w:pPr>
            <w:r>
              <w:rPr/>
              <w:t>技术部分71.0分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对采购需求中“▲”重要技术参数的响应情况 (36.0分)</w:t>
            </w:r>
          </w:p>
        </w:tc>
        <w:tc>
          <w:tcPr>
            <w:tcW w:type="dxa" w:w="5076"/>
          </w:tcPr>
          <w:p>
            <w:pPr>
              <w:pStyle w:val="null3"/>
              <w:jc w:val="left"/>
            </w:pPr>
            <w:r>
              <w:rPr/>
              <w:t>根据各投标人对《第二章采购需求》“技术标准与要求”中带“▲”的条款为重要技术参数要求响应情况进行评审（共9项）： 完全满足的得36分：每有一项带“▲”条款的重要技术参数负偏离或不响应的扣4分，最低得0分。 注：招标文件中条款标注“▲”条款中明确要求提供证明资料的，以投标人提供的证明资料加盖投标人公章为准，用户需求中没有明确要求提供证明资料的，则以投标人提供的《技术和服务要求响应表》作为证明材料并加盖供应商公章，不提供不得分。</w:t>
            </w:r>
          </w:p>
        </w:tc>
      </w:tr>
      <w:tr>
        <w:tc>
          <w:tcPr>
            <w:tcW w:type="dxa" w:w="922"/>
            <w:gridSpan w:val="2"/>
            <w:vMerge/>
          </w:tcPr>
          <w:p/>
        </w:tc>
        <w:tc>
          <w:tcPr>
            <w:tcW w:type="dxa" w:w="2307"/>
          </w:tcPr>
          <w:p>
            <w:pPr>
              <w:pStyle w:val="null3"/>
              <w:jc w:val="left"/>
            </w:pPr>
            <w:r>
              <w:rPr/>
              <w:t>对采购需求中一般技术参数的响应情况 (18.0分)</w:t>
            </w:r>
          </w:p>
        </w:tc>
        <w:tc>
          <w:tcPr>
            <w:tcW w:type="dxa" w:w="5076"/>
          </w:tcPr>
          <w:p>
            <w:pPr>
              <w:pStyle w:val="null3"/>
              <w:jc w:val="left"/>
            </w:pPr>
            <w:r>
              <w:rPr/>
              <w:t>根据各投标人对《第二章采购需求》“技术标准与要求”中未标注“▲”的一般技术参数的响应情况进行评审（共9项）： 未标注“▲”的一般技术参数完全满足或优于的，得18分，每有1项负偏离或不完全满足的扣2分，最低得0分。 注：招标文件中非“▲”服务条款中明确要求提供证明资料的，以投标人提供的证明资料加盖投标人公章为准，用户需求中没有明确要求提供证明资料的，则以投标人提供技术偏离表作为证明材料并加盖供应商公章，不提供不得分。</w:t>
            </w:r>
          </w:p>
        </w:tc>
      </w:tr>
      <w:tr>
        <w:tc>
          <w:tcPr>
            <w:tcW w:type="dxa" w:w="922"/>
            <w:gridSpan w:val="2"/>
            <w:vMerge/>
          </w:tcPr>
          <w:p/>
        </w:tc>
        <w:tc>
          <w:tcPr>
            <w:tcW w:type="dxa" w:w="2307"/>
          </w:tcPr>
          <w:p>
            <w:pPr>
              <w:pStyle w:val="null3"/>
              <w:jc w:val="left"/>
            </w:pPr>
            <w:r>
              <w:rPr/>
              <w:t>服务方案 (9.0分)</w:t>
            </w:r>
          </w:p>
        </w:tc>
        <w:tc>
          <w:tcPr>
            <w:tcW w:type="dxa" w:w="5076"/>
          </w:tcPr>
          <w:p>
            <w:pPr>
              <w:pStyle w:val="null3"/>
              <w:jc w:val="left"/>
            </w:pPr>
            <w:r>
              <w:rPr/>
              <w:t>根据投标人针对本项目所提供的服务方案（包括但不限于：①对服务要求、具体特点的理解；②实施计划；③对本项目维保设备技术要点的熟悉程度；④对重点关键环节的把握；⑤对难点问题的预计等）进行评审： 1.投标人针对本项目有明确具体的计划安排，服务方案完整合理、可行性强，工作内容清晰，完全满足项目要求的，得9分； 2.投标人针对本项目有明确的计划安排，服务方案有一定的合理性和可行性，工作内容完整，部分满足项目要求的，得5分； 3.投标人针对本项目有简单的计划安排，服务方案有部分不合理，工作内容不清晰，不能满足项目要求的，得2分； 4.没有计划安排及服务方案，不得分。</w:t>
            </w:r>
          </w:p>
        </w:tc>
      </w:tr>
      <w:tr>
        <w:tc>
          <w:tcPr>
            <w:tcW w:type="dxa" w:w="922"/>
            <w:gridSpan w:val="2"/>
            <w:vMerge/>
          </w:tcPr>
          <w:p/>
        </w:tc>
        <w:tc>
          <w:tcPr>
            <w:tcW w:type="dxa" w:w="2307"/>
          </w:tcPr>
          <w:p>
            <w:pPr>
              <w:pStyle w:val="null3"/>
              <w:jc w:val="left"/>
            </w:pPr>
            <w:r>
              <w:rPr/>
              <w:t>服务人员配置方案 (8.0分)</w:t>
            </w:r>
          </w:p>
        </w:tc>
        <w:tc>
          <w:tcPr>
            <w:tcW w:type="dxa" w:w="5076"/>
          </w:tcPr>
          <w:p>
            <w:pPr>
              <w:pStyle w:val="null3"/>
              <w:jc w:val="left"/>
            </w:pPr>
            <w:r>
              <w:rPr/>
              <w:t>根据投标人针对本项目所提供的服务人员配置方案（包括但不限于人员资质、专人跟进、服务沟通等）进行评审： 1.服务人员配置方案人员架构合理，有安排专人负责响应采购人的维修要求及服务过程中的沟通，有专业的、具有相关资质的服务人员，对需维修的设备有完整可行操作的维修处理方法，完全满足项目要求的，得8分； 2.服务人员配置方案架构有一定合理性，有安排专人负责响应采购人的维修要求及服务过程中的沟通，有专业的、具有相关资质的服务人员，对需维修的设备有基础保底操作的维修处理方法，部分满足项目要求的，得5分； 3.服务人员配置方案架构不合理，但有安排专人负责响应采购人的维修要求及服务过程中的沟通，有相关资质的服务人员，对需维修的设备没有提供操作的维修处理方法，不能满足项目要求的，得2分； 4.没有重点或没有安排专人负责响应采购人的维修要求及服务过程中的沟通或未提供服务人员配置方案，不得分。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2022年1月1日至今（以合同签订时间为准），投标人承接的同类设备维保项目业绩，,每提供1项得1分，最高得5分。 注：须提供合同关键页（含签订合同双方的单位名称、合同项目名称与含签订合同双方的落款盖章、签订日期的关键页）加盖公章，资料不清晰、无法认定或未提供的不得分。</w:t>
            </w:r>
          </w:p>
        </w:tc>
      </w:tr>
      <w:tr>
        <w:tc>
          <w:tcPr>
            <w:tcW w:type="dxa" w:w="922"/>
            <w:gridSpan w:val="2"/>
            <w:vMerge/>
          </w:tcPr>
          <w:p/>
        </w:tc>
        <w:tc>
          <w:tcPr>
            <w:tcW w:type="dxa" w:w="2307"/>
          </w:tcPr>
          <w:p>
            <w:pPr>
              <w:pStyle w:val="null3"/>
              <w:jc w:val="left"/>
            </w:pPr>
            <w:r>
              <w:rPr/>
              <w:t>体系认证情况 (6.0分)</w:t>
            </w:r>
          </w:p>
        </w:tc>
        <w:tc>
          <w:tcPr>
            <w:tcW w:type="dxa" w:w="5076"/>
          </w:tcPr>
          <w:p>
            <w:pPr>
              <w:pStyle w:val="null3"/>
              <w:jc w:val="left"/>
            </w:pPr>
            <w:r>
              <w:rPr/>
              <w:t>投标人或对投标人提供授权的公司具备ISO27001信息安全管理体系认证证书,具备医疗器械服务质量管理ISO14971认证证书，每份证书3分，最高得6分。 注：提供证书复印件或国家市场监督管理总局全国认证认可信息公共服务平台认证查询截图加盖公章；如因投标人成立时间不满足认证时间要求且办理认证所需要合理时间不足导致未能获得认证证书的，投标人提供相关佐证资料，情况属实的，可对应得分，否则不得分。</w:t>
            </w:r>
          </w:p>
        </w:tc>
      </w:tr>
      <w:tr>
        <w:tc>
          <w:tcPr>
            <w:tcW w:type="dxa" w:w="922"/>
            <w:gridSpan w:val="2"/>
            <w:vMerge/>
          </w:tcPr>
          <w:p/>
        </w:tc>
        <w:tc>
          <w:tcPr>
            <w:tcW w:type="dxa" w:w="2307"/>
          </w:tcPr>
          <w:p>
            <w:pPr>
              <w:pStyle w:val="null3"/>
              <w:jc w:val="left"/>
            </w:pPr>
            <w:r>
              <w:rPr/>
              <w:t>应急预案和保障措施 (8.0分)</w:t>
            </w:r>
          </w:p>
        </w:tc>
        <w:tc>
          <w:tcPr>
            <w:tcW w:type="dxa" w:w="5076"/>
          </w:tcPr>
          <w:p>
            <w:pPr>
              <w:pStyle w:val="null3"/>
              <w:jc w:val="left"/>
            </w:pPr>
            <w:r>
              <w:rPr/>
              <w:t>根据投标人提供的应急预案和保障措施（包括但不限于紧急联系信息、设备故障报告流程、应急响应流程、备件和设备库存管理等）进行评审： 1.投标人所提供的应急预案和保障措施内容详细，有完整合理的部署规划，有详细明确的紧急联系信息，有完善科学的设备故障报告流程和应急响应流程，对特殊情况有完整的应对方案，备件和设备库存完全能满足日常需要，完全满足项目要求的，得8分； 2.投标人所提供的应急预案和保障措施内容完整，部署规划有一定的合理性，有紧急联系信息，有具体设备故障报告流程和应急响应流程，对特殊情况有应对方案，备件和设备库存部分满足日常需要，部分满足项目要求的，得5分； 3.投标人所提供的应急预案和保障措施内容简单，部署规划不合理，紧急联系信息不明确，设备故障报告流程和应急响应流程不清晰，对特殊情况的应对方案不明确，备件和设备库存不能满足日常需要，不能满足项目要求的，得2分； 4.没有应急预案和保障措施内容，不得分。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sz w:val="33"/>
          <w:b/>
        </w:rPr>
        <w:t>广东省政府采购</w:t>
      </w:r>
    </w:p>
    <w:p>
      <w:pPr>
        <w:pStyle w:val="null3"/>
        <w:spacing w:before="150" w:after="150"/>
        <w:ind w:left="0" w:right="0"/>
        <w:jc w:val="both"/>
      </w:pPr>
      <w:r>
        <w:rPr>
          <w:sz w:val="33"/>
          <w:color w:val="222222"/>
        </w:rPr>
        <w:t xml:space="preserve"> </w:t>
      </w:r>
    </w:p>
    <w:p>
      <w:pPr>
        <w:pStyle w:val="null3"/>
        <w:spacing w:before="0" w:after="0"/>
        <w:ind w:left="0" w:right="0"/>
        <w:jc w:val="center"/>
      </w:pPr>
      <w:r>
        <w:rPr>
          <w:sz w:val="33"/>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sz w:val="21"/>
          <w:b/>
        </w:rPr>
        <w:t>甲方：</w:t>
      </w:r>
      <w:r>
        <w:rPr>
          <w:u w:val="single"/>
        </w:rPr>
        <w:t xml:space="preserve">  </w:t>
      </w:r>
    </w:p>
    <w:p>
      <w:pPr>
        <w:pStyle w:val="null3"/>
        <w:jc w:val="both"/>
      </w:pPr>
      <w:r>
        <w:rPr>
          <w:sz w:val="21"/>
          <w:color w:val="222222"/>
        </w:rPr>
        <w:t>电话：</w:t>
      </w:r>
      <w:r>
        <w:rPr>
          <w:u w:val="single"/>
        </w:rPr>
        <w:t xml:space="preserve">  </w:t>
      </w:r>
      <w:r>
        <w:rPr>
          <w:sz w:val="21"/>
          <w:color w:val="222222"/>
        </w:rPr>
        <w:t>传真：</w:t>
      </w:r>
      <w:r>
        <w:rPr>
          <w:u w:val="single"/>
        </w:rPr>
        <w:t xml:space="preserve">  </w:t>
      </w:r>
      <w:r>
        <w:rPr>
          <w:sz w:val="21"/>
          <w:color w:val="222222"/>
        </w:rPr>
        <w:t>地址：</w:t>
      </w:r>
      <w:r>
        <w:rPr>
          <w:u w:val="single"/>
        </w:rPr>
        <w:t xml:space="preserve">   </w:t>
      </w:r>
    </w:p>
    <w:p>
      <w:pPr>
        <w:pStyle w:val="null3"/>
        <w:jc w:val="both"/>
      </w:pPr>
      <w:r>
        <w:rPr>
          <w:sz w:val="21"/>
          <w:b/>
        </w:rPr>
        <w:t>乙方：</w:t>
      </w:r>
      <w:r>
        <w:rPr>
          <w:u w:val="single"/>
        </w:rPr>
        <w:t xml:space="preserve">  </w:t>
      </w:r>
    </w:p>
    <w:p>
      <w:pPr>
        <w:pStyle w:val="null3"/>
        <w:jc w:val="both"/>
      </w:pPr>
      <w:r>
        <w:rPr>
          <w:sz w:val="21"/>
          <w:color w:val="222222"/>
        </w:rPr>
        <w:t>电话：</w:t>
      </w:r>
      <w:r>
        <w:rPr>
          <w:u w:val="single"/>
        </w:rPr>
        <w:t xml:space="preserve">   </w:t>
      </w:r>
      <w:r>
        <w:rPr>
          <w:sz w:val="21"/>
          <w:color w:val="222222"/>
        </w:rPr>
        <w:t>传真：</w:t>
      </w:r>
      <w:r>
        <w:rPr>
          <w:u w:val="single"/>
        </w:rPr>
        <w:t xml:space="preserve">   </w:t>
      </w:r>
      <w:r>
        <w:rPr>
          <w:sz w:val="21"/>
          <w:color w:val="222222"/>
        </w:rPr>
        <w:t>地址：</w:t>
      </w:r>
      <w:r>
        <w:rPr>
          <w:u w:val="single"/>
        </w:rPr>
        <w:t xml:space="preserve">   </w:t>
      </w:r>
    </w:p>
    <w:p>
      <w:pPr>
        <w:pStyle w:val="null3"/>
        <w:spacing w:before="150" w:after="150"/>
        <w:jc w:val="both"/>
      </w:pPr>
      <w:r>
        <w:rPr/>
        <w:t xml:space="preserve"> </w:t>
      </w:r>
    </w:p>
    <w:p>
      <w:pPr>
        <w:pStyle w:val="null3"/>
        <w:ind w:firstLine="480"/>
        <w:jc w:val="both"/>
      </w:pPr>
      <w:r>
        <w:rPr>
          <w:sz w:val="21"/>
          <w:color w:val="222222"/>
        </w:rPr>
        <w:t>根据</w:t>
      </w:r>
      <w:r>
        <w:rPr>
          <w:u w:val="single"/>
        </w:rPr>
        <w:t xml:space="preserve">         </w:t>
      </w:r>
      <w:r>
        <w:rPr>
          <w:sz w:val="21"/>
          <w:color w:val="222222"/>
          <w:u w:val="single"/>
        </w:rPr>
        <w:t>项目</w:t>
      </w:r>
      <w:r>
        <w:rPr>
          <w:u w:val="single"/>
        </w:rPr>
        <w:t xml:space="preserve"> </w:t>
      </w:r>
      <w:r>
        <w:rPr>
          <w:sz w:val="21"/>
          <w:color w:val="222222"/>
        </w:rPr>
        <w:t>的采购结果，按照《中华人民共和国政府采购法》，《中华人民共和国民法典</w:t>
      </w:r>
      <w:r>
        <w:rPr>
          <w:sz w:val="21"/>
          <w:color w:val="222222"/>
        </w:rPr>
        <w:t>(</w:t>
      </w:r>
      <w:r>
        <w:rPr>
          <w:sz w:val="21"/>
          <w:color w:val="222222"/>
        </w:rPr>
        <w:t>合同编</w:t>
      </w:r>
      <w:r>
        <w:rPr>
          <w:sz w:val="21"/>
          <w:color w:val="222222"/>
        </w:rPr>
        <w:t>)</w:t>
      </w:r>
      <w:r>
        <w:rPr>
          <w:sz w:val="21"/>
          <w:color w:val="222222"/>
        </w:rPr>
        <w:t>》的规定，经双方协商，本着平等互利和诚实信用的原则，一致同意遵守本合同如下。</w:t>
      </w:r>
    </w:p>
    <w:p>
      <w:pPr>
        <w:pStyle w:val="null3"/>
        <w:jc w:val="both"/>
      </w:pPr>
      <w:r>
        <w:rPr>
          <w:sz w:val="21"/>
          <w:b/>
        </w:rPr>
        <w:t>一、合同金额</w:t>
      </w:r>
    </w:p>
    <w:p>
      <w:pPr>
        <w:pStyle w:val="null3"/>
        <w:jc w:val="both"/>
      </w:pPr>
      <w:r>
        <w:rPr>
          <w:sz w:val="21"/>
          <w:color w:val="222222"/>
        </w:rPr>
        <w:t>　　合同金额为（大写）：</w:t>
      </w:r>
      <w:r>
        <w:rPr>
          <w:sz w:val="21"/>
          <w:color w:val="222222"/>
        </w:rPr>
        <w:t>_____________</w:t>
      </w:r>
      <w:r>
        <w:rPr>
          <w:sz w:val="21"/>
          <w:color w:val="222222"/>
        </w:rPr>
        <w:t>元（￥</w:t>
      </w:r>
      <w:r>
        <w:rPr>
          <w:sz w:val="21"/>
          <w:color w:val="222222"/>
        </w:rPr>
        <w:t>_________</w:t>
      </w:r>
      <w:r>
        <w:rPr>
          <w:sz w:val="21"/>
          <w:color w:val="222222"/>
        </w:rPr>
        <w:t>元）人民币。</w:t>
      </w:r>
    </w:p>
    <w:p>
      <w:pPr>
        <w:pStyle w:val="null3"/>
        <w:jc w:val="both"/>
      </w:pPr>
      <w:r>
        <w:rPr>
          <w:sz w:val="21"/>
          <w:b/>
        </w:rPr>
        <w:t>二、服务期</w:t>
      </w:r>
    </w:p>
    <w:p>
      <w:pPr>
        <w:pStyle w:val="null3"/>
        <w:jc w:val="both"/>
      </w:pPr>
      <w:r>
        <w:rPr>
          <w:sz w:val="21"/>
          <w:color w:val="222222"/>
        </w:rPr>
        <w:t>自合同签订之日起</w:t>
      </w:r>
      <w:r>
        <w:rPr>
          <w:sz w:val="21"/>
          <w:color w:val="222222"/>
        </w:rPr>
        <w:t>三</w:t>
      </w:r>
      <w:r>
        <w:rPr>
          <w:sz w:val="21"/>
          <w:color w:val="222222"/>
        </w:rPr>
        <w:t>年。</w:t>
      </w:r>
    </w:p>
    <w:p>
      <w:pPr>
        <w:pStyle w:val="null3"/>
        <w:jc w:val="both"/>
      </w:pPr>
      <w:r>
        <w:rPr>
          <w:sz w:val="21"/>
          <w:b/>
        </w:rPr>
        <w:t>三、验收</w:t>
      </w:r>
    </w:p>
    <w:p>
      <w:pPr>
        <w:pStyle w:val="null3"/>
        <w:jc w:val="both"/>
      </w:pPr>
      <w:r>
        <w:rPr>
          <w:sz w:val="21"/>
          <w:color w:val="222222"/>
        </w:rPr>
        <w:t>1</w:t>
      </w:r>
      <w:r>
        <w:rPr>
          <w:sz w:val="21"/>
          <w:color w:val="222222"/>
        </w:rPr>
        <w:t>、验收应在</w:t>
      </w:r>
      <w:r>
        <w:rPr>
          <w:sz w:val="21"/>
          <w:color w:val="222222"/>
        </w:rPr>
        <w:t>甲方</w:t>
      </w:r>
      <w:r>
        <w:rPr>
          <w:sz w:val="21"/>
          <w:color w:val="222222"/>
        </w:rPr>
        <w:t>和</w:t>
      </w:r>
      <w:r>
        <w:rPr>
          <w:sz w:val="21"/>
          <w:color w:val="222222"/>
        </w:rPr>
        <w:t>乙方</w:t>
      </w:r>
      <w:r>
        <w:rPr>
          <w:sz w:val="21"/>
          <w:color w:val="222222"/>
        </w:rPr>
        <w:t>双方共同参加下进行，由</w:t>
      </w:r>
      <w:r>
        <w:rPr>
          <w:sz w:val="21"/>
          <w:color w:val="222222"/>
        </w:rPr>
        <w:t>甲方</w:t>
      </w:r>
      <w:r>
        <w:rPr>
          <w:sz w:val="21"/>
          <w:color w:val="222222"/>
        </w:rPr>
        <w:t>组织验收</w:t>
      </w:r>
      <w:r>
        <w:rPr>
          <w:sz w:val="21"/>
          <w:color w:val="222222"/>
        </w:rPr>
        <w:t>，</w:t>
      </w:r>
      <w:r>
        <w:rPr>
          <w:sz w:val="21"/>
          <w:color w:val="222222"/>
        </w:rPr>
        <w:t>正常运行并满足使用要求。</w:t>
      </w:r>
    </w:p>
    <w:p>
      <w:pPr>
        <w:pStyle w:val="null3"/>
        <w:jc w:val="both"/>
      </w:pPr>
      <w:r>
        <w:rPr>
          <w:sz w:val="21"/>
          <w:color w:val="222222"/>
        </w:rPr>
        <w:t>2</w:t>
      </w:r>
      <w:r>
        <w:rPr>
          <w:sz w:val="21"/>
          <w:color w:val="222222"/>
        </w:rPr>
        <w:t>、验收按国家、地方或行业现行相关验收规范和评定标准执行。</w:t>
      </w:r>
    </w:p>
    <w:p>
      <w:pPr>
        <w:pStyle w:val="null3"/>
        <w:jc w:val="both"/>
      </w:pPr>
      <w:r>
        <w:rPr>
          <w:sz w:val="21"/>
          <w:b/>
        </w:rPr>
        <w:t>四</w:t>
      </w:r>
      <w:r>
        <w:rPr>
          <w:sz w:val="21"/>
          <w:b/>
        </w:rPr>
        <w:t>、付款方式</w:t>
      </w:r>
    </w:p>
    <w:p>
      <w:pPr>
        <w:pStyle w:val="null3"/>
        <w:jc w:val="both"/>
      </w:pPr>
      <w:r>
        <w:rPr>
          <w:sz w:val="21"/>
          <w:color w:val="222222"/>
        </w:rPr>
        <w:t>第</w:t>
      </w:r>
      <w:r>
        <w:rPr>
          <w:sz w:val="21"/>
          <w:color w:val="222222"/>
        </w:rPr>
        <w:t>1</w:t>
      </w:r>
      <w:r>
        <w:rPr>
          <w:sz w:val="21"/>
          <w:color w:val="222222"/>
        </w:rPr>
        <w:t>期为</w:t>
      </w:r>
      <w:r>
        <w:rPr>
          <w:sz w:val="21"/>
          <w:color w:val="222222"/>
        </w:rPr>
        <w:t>(</w:t>
      </w:r>
      <w:r>
        <w:rPr>
          <w:sz w:val="21"/>
          <w:color w:val="222222"/>
        </w:rPr>
        <w:t>预付款</w:t>
      </w:r>
      <w:r>
        <w:rPr>
          <w:sz w:val="21"/>
          <w:color w:val="222222"/>
        </w:rPr>
        <w:t>)</w:t>
      </w:r>
      <w:r>
        <w:rPr>
          <w:sz w:val="21"/>
          <w:color w:val="222222"/>
        </w:rPr>
        <w:t>：</w:t>
      </w:r>
      <w:r>
        <w:rPr>
          <w:sz w:val="21"/>
          <w:color w:val="222222"/>
        </w:rPr>
        <w:t>支付比例</w:t>
      </w:r>
      <w:r>
        <w:rPr>
          <w:sz w:val="21"/>
          <w:color w:val="222222"/>
        </w:rPr>
        <w:t>3</w:t>
      </w:r>
      <w:r>
        <w:rPr>
          <w:sz w:val="21"/>
          <w:color w:val="222222"/>
        </w:rPr>
        <w:t>0</w:t>
      </w:r>
      <w:r>
        <w:rPr>
          <w:sz w:val="21"/>
          <w:color w:val="222222"/>
        </w:rPr>
        <w:t>%,</w:t>
      </w:r>
      <w:r>
        <w:rPr>
          <w:sz w:val="21"/>
          <w:color w:val="222222"/>
        </w:rPr>
        <w:t>在签订合同后</w:t>
      </w:r>
      <w:r>
        <w:rPr>
          <w:sz w:val="21"/>
          <w:color w:val="222222"/>
        </w:rPr>
        <w:t>,</w:t>
      </w:r>
      <w:r>
        <w:rPr>
          <w:sz w:val="21"/>
          <w:color w:val="222222"/>
        </w:rPr>
        <w:t>甲方</w:t>
      </w:r>
      <w:r>
        <w:rPr>
          <w:sz w:val="21"/>
          <w:color w:val="222222"/>
        </w:rPr>
        <w:t>支付合同金额</w:t>
      </w:r>
      <w:r>
        <w:rPr>
          <w:sz w:val="21"/>
          <w:color w:val="222222"/>
        </w:rPr>
        <w:t>3</w:t>
      </w:r>
      <w:r>
        <w:rPr>
          <w:sz w:val="21"/>
          <w:color w:val="222222"/>
        </w:rPr>
        <w:t>0</w:t>
      </w:r>
      <w:r>
        <w:rPr>
          <w:sz w:val="21"/>
          <w:color w:val="222222"/>
        </w:rPr>
        <w:t>%</w:t>
      </w:r>
      <w:r>
        <w:rPr>
          <w:sz w:val="21"/>
          <w:color w:val="222222"/>
        </w:rPr>
        <w:t>作为首期款；具体实施时间以收到</w:t>
      </w:r>
      <w:r>
        <w:rPr>
          <w:sz w:val="21"/>
          <w:color w:val="222222"/>
        </w:rPr>
        <w:t>乙方</w:t>
      </w:r>
      <w:r>
        <w:rPr>
          <w:sz w:val="21"/>
          <w:color w:val="222222"/>
        </w:rPr>
        <w:t>合格请款资料</w:t>
      </w:r>
      <w:r>
        <w:rPr>
          <w:sz w:val="21"/>
          <w:color w:val="222222"/>
        </w:rPr>
        <w:t>（</w:t>
      </w:r>
      <w:r>
        <w:rPr>
          <w:sz w:val="21"/>
          <w:color w:val="222222"/>
        </w:rPr>
        <w:t>包括但不限于发票等</w:t>
      </w:r>
      <w:r>
        <w:rPr>
          <w:sz w:val="21"/>
          <w:color w:val="222222"/>
        </w:rPr>
        <w:t>）</w:t>
      </w:r>
      <w:r>
        <w:rPr>
          <w:sz w:val="21"/>
          <w:color w:val="222222"/>
        </w:rPr>
        <w:t>后</w:t>
      </w:r>
      <w:r>
        <w:rPr>
          <w:sz w:val="21"/>
          <w:color w:val="222222"/>
        </w:rPr>
        <w:t>1</w:t>
      </w:r>
      <w:r>
        <w:rPr>
          <w:sz w:val="21"/>
          <w:color w:val="222222"/>
        </w:rPr>
        <w:t>0</w:t>
      </w:r>
      <w:r>
        <w:rPr>
          <w:sz w:val="21"/>
          <w:color w:val="222222"/>
        </w:rPr>
        <w:t>个工作日内支付</w:t>
      </w:r>
      <w:r>
        <w:rPr>
          <w:sz w:val="21"/>
          <w:color w:val="222222"/>
        </w:rPr>
        <w:t>（</w:t>
      </w:r>
      <w:r>
        <w:rPr>
          <w:sz w:val="21"/>
          <w:color w:val="222222"/>
        </w:rPr>
        <w:t>如果</w:t>
      </w:r>
      <w:r>
        <w:rPr>
          <w:sz w:val="21"/>
          <w:color w:val="222222"/>
        </w:rPr>
        <w:t>乙方</w:t>
      </w:r>
      <w:r>
        <w:rPr>
          <w:sz w:val="21"/>
          <w:color w:val="222222"/>
        </w:rPr>
        <w:t>为中小企业，在签订合同后</w:t>
      </w:r>
      <w:r>
        <w:rPr>
          <w:sz w:val="21"/>
          <w:color w:val="222222"/>
        </w:rPr>
        <w:t>,</w:t>
      </w:r>
      <w:r>
        <w:rPr>
          <w:sz w:val="21"/>
          <w:color w:val="222222"/>
        </w:rPr>
        <w:t>甲方</w:t>
      </w:r>
      <w:r>
        <w:rPr>
          <w:sz w:val="21"/>
          <w:color w:val="222222"/>
        </w:rPr>
        <w:t>支付合同金额</w:t>
      </w:r>
      <w:r>
        <w:rPr>
          <w:sz w:val="21"/>
          <w:color w:val="222222"/>
        </w:rPr>
        <w:t>3</w:t>
      </w:r>
      <w:r>
        <w:rPr>
          <w:sz w:val="21"/>
          <w:color w:val="222222"/>
        </w:rPr>
        <w:t>0</w:t>
      </w:r>
      <w:r>
        <w:rPr>
          <w:sz w:val="21"/>
          <w:color w:val="222222"/>
        </w:rPr>
        <w:t>%</w:t>
      </w:r>
      <w:r>
        <w:rPr>
          <w:sz w:val="21"/>
          <w:color w:val="222222"/>
        </w:rPr>
        <w:t>作为首期款；具体实施时间以收到</w:t>
      </w:r>
      <w:r>
        <w:rPr>
          <w:sz w:val="21"/>
          <w:color w:val="222222"/>
        </w:rPr>
        <w:t>乙方</w:t>
      </w:r>
      <w:r>
        <w:rPr>
          <w:sz w:val="21"/>
          <w:color w:val="222222"/>
        </w:rPr>
        <w:t>合格请款资料后</w:t>
      </w:r>
      <w:r>
        <w:rPr>
          <w:sz w:val="21"/>
          <w:color w:val="222222"/>
        </w:rPr>
        <w:t>5</w:t>
      </w:r>
      <w:r>
        <w:rPr>
          <w:sz w:val="21"/>
          <w:color w:val="222222"/>
        </w:rPr>
        <w:t>个工作日内支付</w:t>
      </w:r>
      <w:r>
        <w:rPr>
          <w:sz w:val="21"/>
          <w:color w:val="222222"/>
        </w:rPr>
        <w:t>）</w:t>
      </w:r>
      <w:r>
        <w:rPr>
          <w:sz w:val="21"/>
          <w:color w:val="222222"/>
        </w:rPr>
        <w:t>。</w:t>
      </w:r>
    </w:p>
    <w:p>
      <w:pPr>
        <w:pStyle w:val="null3"/>
        <w:jc w:val="both"/>
      </w:pPr>
      <w:r>
        <w:rPr>
          <w:sz w:val="21"/>
          <w:color w:val="222222"/>
        </w:rPr>
        <w:t>第</w:t>
      </w:r>
      <w:r>
        <w:rPr>
          <w:sz w:val="21"/>
          <w:color w:val="222222"/>
        </w:rPr>
        <w:t>2</w:t>
      </w:r>
      <w:r>
        <w:rPr>
          <w:sz w:val="21"/>
          <w:color w:val="222222"/>
        </w:rPr>
        <w:t>期为</w:t>
      </w:r>
      <w:r>
        <w:rPr>
          <w:sz w:val="21"/>
          <w:color w:val="222222"/>
        </w:rPr>
        <w:t>(</w:t>
      </w:r>
      <w:r>
        <w:rPr>
          <w:sz w:val="21"/>
          <w:color w:val="222222"/>
        </w:rPr>
        <w:t>进度款</w:t>
      </w:r>
      <w:r>
        <w:rPr>
          <w:sz w:val="21"/>
          <w:color w:val="222222"/>
        </w:rPr>
        <w:t>)</w:t>
      </w:r>
      <w:r>
        <w:rPr>
          <w:sz w:val="21"/>
          <w:color w:val="222222"/>
        </w:rPr>
        <w:t>：</w:t>
      </w:r>
      <w:r>
        <w:rPr>
          <w:sz w:val="21"/>
          <w:color w:val="222222"/>
        </w:rPr>
        <w:t>支付比例</w:t>
      </w:r>
      <w:r>
        <w:rPr>
          <w:sz w:val="21"/>
          <w:color w:val="222222"/>
        </w:rPr>
        <w:t>20</w:t>
      </w:r>
      <w:r>
        <w:rPr>
          <w:sz w:val="21"/>
          <w:color w:val="222222"/>
        </w:rPr>
        <w:t>%,</w:t>
      </w:r>
      <w:r>
        <w:rPr>
          <w:sz w:val="21"/>
          <w:color w:val="222222"/>
        </w:rPr>
        <w:t>服务期满</w:t>
      </w:r>
      <w:r>
        <w:rPr>
          <w:sz w:val="21"/>
          <w:color w:val="222222"/>
        </w:rPr>
        <w:t>12</w:t>
      </w:r>
      <w:r>
        <w:rPr>
          <w:sz w:val="21"/>
          <w:color w:val="222222"/>
        </w:rPr>
        <w:t>个月</w:t>
      </w:r>
      <w:r>
        <w:rPr>
          <w:sz w:val="21"/>
          <w:color w:val="222222"/>
        </w:rPr>
        <w:t>后，</w:t>
      </w:r>
      <w:r>
        <w:rPr>
          <w:sz w:val="21"/>
          <w:color w:val="222222"/>
        </w:rPr>
        <w:t>甲方</w:t>
      </w:r>
      <w:r>
        <w:rPr>
          <w:sz w:val="21"/>
          <w:color w:val="222222"/>
        </w:rPr>
        <w:t>支付合同金额</w:t>
      </w:r>
      <w:r>
        <w:rPr>
          <w:sz w:val="21"/>
          <w:color w:val="222222"/>
        </w:rPr>
        <w:t>20</w:t>
      </w:r>
      <w:r>
        <w:rPr>
          <w:sz w:val="21"/>
          <w:color w:val="222222"/>
        </w:rPr>
        <w:t>%</w:t>
      </w:r>
      <w:r>
        <w:rPr>
          <w:sz w:val="21"/>
          <w:color w:val="222222"/>
        </w:rPr>
        <w:t>作为第二期维保款；具体实施时间以收到</w:t>
      </w:r>
      <w:r>
        <w:rPr>
          <w:sz w:val="21"/>
          <w:color w:val="222222"/>
        </w:rPr>
        <w:t>乙方</w:t>
      </w:r>
      <w:r>
        <w:rPr>
          <w:sz w:val="21"/>
          <w:color w:val="222222"/>
        </w:rPr>
        <w:t>合格请款资料</w:t>
      </w:r>
      <w:r>
        <w:rPr>
          <w:sz w:val="21"/>
          <w:color w:val="222222"/>
        </w:rPr>
        <w:t>（</w:t>
      </w:r>
      <w:r>
        <w:rPr>
          <w:sz w:val="21"/>
          <w:color w:val="222222"/>
        </w:rPr>
        <w:t>包括但不限于发票等</w:t>
      </w:r>
      <w:r>
        <w:rPr>
          <w:sz w:val="21"/>
          <w:color w:val="222222"/>
        </w:rPr>
        <w:t>）</w:t>
      </w:r>
      <w:r>
        <w:rPr>
          <w:sz w:val="21"/>
          <w:color w:val="222222"/>
        </w:rPr>
        <w:t>后</w:t>
      </w:r>
      <w:r>
        <w:rPr>
          <w:sz w:val="21"/>
          <w:color w:val="222222"/>
        </w:rPr>
        <w:t>1</w:t>
      </w:r>
      <w:r>
        <w:rPr>
          <w:sz w:val="21"/>
          <w:color w:val="222222"/>
        </w:rPr>
        <w:t>0</w:t>
      </w:r>
      <w:r>
        <w:rPr>
          <w:sz w:val="21"/>
          <w:color w:val="222222"/>
        </w:rPr>
        <w:t>个工作日内支付</w:t>
      </w:r>
      <w:r>
        <w:rPr>
          <w:sz w:val="21"/>
          <w:color w:val="222222"/>
        </w:rPr>
        <w:t>。</w:t>
      </w:r>
    </w:p>
    <w:p>
      <w:pPr>
        <w:pStyle w:val="null3"/>
        <w:jc w:val="both"/>
      </w:pPr>
      <w:r>
        <w:rPr>
          <w:sz w:val="21"/>
          <w:color w:val="222222"/>
        </w:rPr>
        <w:t>第</w:t>
      </w:r>
      <w:r>
        <w:rPr>
          <w:sz w:val="21"/>
          <w:color w:val="222222"/>
        </w:rPr>
        <w:t>3</w:t>
      </w:r>
      <w:r>
        <w:rPr>
          <w:sz w:val="21"/>
          <w:color w:val="222222"/>
        </w:rPr>
        <w:t>期为</w:t>
      </w:r>
      <w:r>
        <w:rPr>
          <w:sz w:val="21"/>
          <w:color w:val="222222"/>
        </w:rPr>
        <w:t>(</w:t>
      </w:r>
      <w:r>
        <w:rPr>
          <w:sz w:val="21"/>
          <w:color w:val="222222"/>
        </w:rPr>
        <w:t>进度款</w:t>
      </w:r>
      <w:r>
        <w:rPr>
          <w:sz w:val="21"/>
          <w:color w:val="222222"/>
        </w:rPr>
        <w:t>)</w:t>
      </w:r>
      <w:r>
        <w:rPr>
          <w:sz w:val="21"/>
          <w:color w:val="222222"/>
        </w:rPr>
        <w:t>：</w:t>
      </w:r>
      <w:r>
        <w:rPr>
          <w:sz w:val="21"/>
          <w:color w:val="222222"/>
        </w:rPr>
        <w:t>支付比例</w:t>
      </w:r>
      <w:r>
        <w:rPr>
          <w:sz w:val="21"/>
          <w:color w:val="222222"/>
        </w:rPr>
        <w:t>20</w:t>
      </w:r>
      <w:r>
        <w:rPr>
          <w:sz w:val="21"/>
          <w:color w:val="222222"/>
        </w:rPr>
        <w:t>%,</w:t>
      </w:r>
      <w:r>
        <w:rPr>
          <w:sz w:val="21"/>
          <w:color w:val="222222"/>
        </w:rPr>
        <w:t>服务期满</w:t>
      </w:r>
      <w:r>
        <w:rPr>
          <w:sz w:val="21"/>
          <w:color w:val="222222"/>
        </w:rPr>
        <w:t>18</w:t>
      </w:r>
      <w:r>
        <w:rPr>
          <w:sz w:val="21"/>
          <w:color w:val="222222"/>
        </w:rPr>
        <w:t>个月</w:t>
      </w:r>
      <w:r>
        <w:rPr>
          <w:sz w:val="21"/>
          <w:color w:val="222222"/>
        </w:rPr>
        <w:t>后，</w:t>
      </w:r>
      <w:r>
        <w:rPr>
          <w:sz w:val="21"/>
          <w:color w:val="222222"/>
        </w:rPr>
        <w:t>甲方</w:t>
      </w:r>
      <w:r>
        <w:rPr>
          <w:sz w:val="21"/>
          <w:color w:val="222222"/>
        </w:rPr>
        <w:t>支付合同金额</w:t>
      </w:r>
      <w:r>
        <w:rPr>
          <w:sz w:val="21"/>
          <w:color w:val="222222"/>
        </w:rPr>
        <w:t>20</w:t>
      </w:r>
      <w:r>
        <w:rPr>
          <w:sz w:val="21"/>
          <w:color w:val="222222"/>
        </w:rPr>
        <w:t>%</w:t>
      </w:r>
      <w:r>
        <w:rPr>
          <w:sz w:val="21"/>
          <w:color w:val="222222"/>
        </w:rPr>
        <w:t>作为第</w:t>
      </w:r>
      <w:r>
        <w:rPr>
          <w:sz w:val="21"/>
          <w:color w:val="222222"/>
        </w:rPr>
        <w:t>三</w:t>
      </w:r>
      <w:r>
        <w:rPr>
          <w:sz w:val="21"/>
          <w:color w:val="222222"/>
        </w:rPr>
        <w:t>期维保款；具体实施时间以收到</w:t>
      </w:r>
      <w:r>
        <w:rPr>
          <w:sz w:val="21"/>
          <w:color w:val="222222"/>
        </w:rPr>
        <w:t>乙方</w:t>
      </w:r>
      <w:r>
        <w:rPr>
          <w:sz w:val="21"/>
          <w:color w:val="222222"/>
        </w:rPr>
        <w:t>合格请款资料</w:t>
      </w:r>
      <w:r>
        <w:rPr>
          <w:sz w:val="21"/>
          <w:color w:val="222222"/>
        </w:rPr>
        <w:t>（</w:t>
      </w:r>
      <w:r>
        <w:rPr>
          <w:sz w:val="21"/>
          <w:color w:val="222222"/>
        </w:rPr>
        <w:t>包括但不限于发票等</w:t>
      </w:r>
      <w:r>
        <w:rPr>
          <w:sz w:val="21"/>
          <w:color w:val="222222"/>
        </w:rPr>
        <w:t>）</w:t>
      </w:r>
      <w:r>
        <w:rPr>
          <w:sz w:val="21"/>
          <w:color w:val="222222"/>
        </w:rPr>
        <w:t>后</w:t>
      </w:r>
      <w:r>
        <w:rPr>
          <w:sz w:val="21"/>
          <w:color w:val="222222"/>
        </w:rPr>
        <w:t>1</w:t>
      </w:r>
      <w:r>
        <w:rPr>
          <w:sz w:val="21"/>
          <w:color w:val="222222"/>
        </w:rPr>
        <w:t>0</w:t>
      </w:r>
      <w:r>
        <w:rPr>
          <w:sz w:val="21"/>
          <w:color w:val="222222"/>
        </w:rPr>
        <w:t>个工作日内支付</w:t>
      </w:r>
      <w:r>
        <w:rPr>
          <w:sz w:val="21"/>
          <w:color w:val="222222"/>
        </w:rPr>
        <w:t>。</w:t>
      </w:r>
    </w:p>
    <w:p>
      <w:pPr>
        <w:pStyle w:val="null3"/>
        <w:jc w:val="both"/>
      </w:pPr>
      <w:r>
        <w:rPr>
          <w:sz w:val="21"/>
          <w:color w:val="222222"/>
        </w:rPr>
        <w:t>第</w:t>
      </w:r>
      <w:r>
        <w:rPr>
          <w:sz w:val="21"/>
          <w:color w:val="222222"/>
        </w:rPr>
        <w:t>4</w:t>
      </w:r>
      <w:r>
        <w:rPr>
          <w:sz w:val="21"/>
          <w:color w:val="222222"/>
        </w:rPr>
        <w:t>期为</w:t>
      </w:r>
      <w:r>
        <w:rPr>
          <w:sz w:val="21"/>
          <w:color w:val="222222"/>
        </w:rPr>
        <w:t>(</w:t>
      </w:r>
      <w:r>
        <w:rPr>
          <w:sz w:val="21"/>
          <w:color w:val="222222"/>
        </w:rPr>
        <w:t>进度款</w:t>
      </w:r>
      <w:r>
        <w:rPr>
          <w:sz w:val="21"/>
          <w:color w:val="222222"/>
        </w:rPr>
        <w:t>)</w:t>
      </w:r>
      <w:r>
        <w:rPr>
          <w:sz w:val="21"/>
          <w:color w:val="222222"/>
        </w:rPr>
        <w:t>：</w:t>
      </w:r>
      <w:r>
        <w:rPr>
          <w:sz w:val="21"/>
          <w:color w:val="222222"/>
        </w:rPr>
        <w:t>支付比例</w:t>
      </w:r>
      <w:r>
        <w:rPr>
          <w:sz w:val="21"/>
          <w:color w:val="222222"/>
        </w:rPr>
        <w:t>20</w:t>
      </w:r>
      <w:r>
        <w:rPr>
          <w:sz w:val="21"/>
          <w:color w:val="222222"/>
        </w:rPr>
        <w:t>%,</w:t>
      </w:r>
      <w:r>
        <w:rPr>
          <w:sz w:val="21"/>
          <w:color w:val="222222"/>
        </w:rPr>
        <w:t>服务期满</w:t>
      </w:r>
      <w:r>
        <w:rPr>
          <w:sz w:val="21"/>
          <w:color w:val="222222"/>
        </w:rPr>
        <w:t>24</w:t>
      </w:r>
      <w:r>
        <w:rPr>
          <w:sz w:val="21"/>
          <w:color w:val="222222"/>
        </w:rPr>
        <w:t>个月</w:t>
      </w:r>
      <w:r>
        <w:rPr>
          <w:sz w:val="21"/>
          <w:color w:val="222222"/>
        </w:rPr>
        <w:t>后，</w:t>
      </w:r>
      <w:r>
        <w:rPr>
          <w:sz w:val="21"/>
          <w:color w:val="222222"/>
        </w:rPr>
        <w:t>甲方</w:t>
      </w:r>
      <w:r>
        <w:rPr>
          <w:sz w:val="21"/>
          <w:color w:val="222222"/>
        </w:rPr>
        <w:t>支付合同金额</w:t>
      </w:r>
      <w:r>
        <w:rPr>
          <w:sz w:val="21"/>
          <w:color w:val="222222"/>
        </w:rPr>
        <w:t>20</w:t>
      </w:r>
      <w:r>
        <w:rPr>
          <w:sz w:val="21"/>
          <w:color w:val="222222"/>
        </w:rPr>
        <w:t>%</w:t>
      </w:r>
      <w:r>
        <w:rPr>
          <w:sz w:val="21"/>
          <w:color w:val="222222"/>
        </w:rPr>
        <w:t>作为第</w:t>
      </w:r>
      <w:r>
        <w:rPr>
          <w:sz w:val="21"/>
          <w:color w:val="222222"/>
        </w:rPr>
        <w:t>四</w:t>
      </w:r>
      <w:r>
        <w:rPr>
          <w:sz w:val="21"/>
          <w:color w:val="222222"/>
        </w:rPr>
        <w:t>期维保款；具体实施时间以收到</w:t>
      </w:r>
      <w:r>
        <w:rPr>
          <w:sz w:val="21"/>
          <w:color w:val="222222"/>
        </w:rPr>
        <w:t>乙方</w:t>
      </w:r>
      <w:r>
        <w:rPr>
          <w:sz w:val="21"/>
          <w:color w:val="222222"/>
        </w:rPr>
        <w:t>合格请款资料</w:t>
      </w:r>
      <w:r>
        <w:rPr>
          <w:sz w:val="21"/>
          <w:color w:val="222222"/>
        </w:rPr>
        <w:t>（</w:t>
      </w:r>
      <w:r>
        <w:rPr>
          <w:sz w:val="21"/>
          <w:color w:val="222222"/>
        </w:rPr>
        <w:t>包括但不限于发票等</w:t>
      </w:r>
      <w:r>
        <w:rPr>
          <w:sz w:val="21"/>
          <w:color w:val="222222"/>
        </w:rPr>
        <w:t>）</w:t>
      </w:r>
      <w:r>
        <w:rPr>
          <w:sz w:val="21"/>
          <w:color w:val="222222"/>
        </w:rPr>
        <w:t>后</w:t>
      </w:r>
      <w:r>
        <w:rPr>
          <w:sz w:val="21"/>
          <w:color w:val="222222"/>
        </w:rPr>
        <w:t>1</w:t>
      </w:r>
      <w:r>
        <w:rPr>
          <w:sz w:val="21"/>
          <w:color w:val="222222"/>
        </w:rPr>
        <w:t>0</w:t>
      </w:r>
      <w:r>
        <w:rPr>
          <w:sz w:val="21"/>
          <w:color w:val="222222"/>
        </w:rPr>
        <w:t>个工作日内支付。</w:t>
      </w:r>
    </w:p>
    <w:p>
      <w:pPr>
        <w:pStyle w:val="null3"/>
        <w:jc w:val="both"/>
      </w:pPr>
      <w:r>
        <w:rPr>
          <w:sz w:val="21"/>
          <w:color w:val="222222"/>
        </w:rPr>
        <w:t>第</w:t>
      </w:r>
      <w:r>
        <w:rPr>
          <w:sz w:val="21"/>
          <w:color w:val="222222"/>
        </w:rPr>
        <w:t>5</w:t>
      </w:r>
      <w:r>
        <w:rPr>
          <w:sz w:val="21"/>
          <w:color w:val="222222"/>
        </w:rPr>
        <w:t>期为</w:t>
      </w:r>
      <w:r>
        <w:rPr>
          <w:sz w:val="21"/>
          <w:color w:val="222222"/>
        </w:rPr>
        <w:t>(</w:t>
      </w:r>
      <w:r>
        <w:rPr>
          <w:sz w:val="21"/>
          <w:color w:val="222222"/>
        </w:rPr>
        <w:t>尾款</w:t>
      </w:r>
      <w:r>
        <w:rPr>
          <w:sz w:val="21"/>
          <w:color w:val="222222"/>
        </w:rPr>
        <w:t>)</w:t>
      </w:r>
      <w:r>
        <w:rPr>
          <w:sz w:val="21"/>
          <w:color w:val="222222"/>
        </w:rPr>
        <w:t>：</w:t>
      </w:r>
      <w:r>
        <w:rPr>
          <w:sz w:val="21"/>
          <w:color w:val="222222"/>
        </w:rPr>
        <w:t>支付比例</w:t>
      </w:r>
      <w:r>
        <w:rPr>
          <w:sz w:val="21"/>
          <w:color w:val="222222"/>
        </w:rPr>
        <w:t>10</w:t>
      </w:r>
      <w:r>
        <w:rPr>
          <w:sz w:val="21"/>
          <w:color w:val="222222"/>
        </w:rPr>
        <w:t>%,</w:t>
      </w:r>
      <w:r>
        <w:rPr>
          <w:sz w:val="21"/>
          <w:color w:val="222222"/>
        </w:rPr>
        <w:t>服务期满</w:t>
      </w:r>
      <w:r>
        <w:rPr>
          <w:sz w:val="21"/>
          <w:color w:val="222222"/>
        </w:rPr>
        <w:t>36</w:t>
      </w:r>
      <w:r>
        <w:rPr>
          <w:sz w:val="21"/>
          <w:color w:val="222222"/>
        </w:rPr>
        <w:t>个月</w:t>
      </w:r>
      <w:r>
        <w:rPr>
          <w:sz w:val="21"/>
          <w:color w:val="222222"/>
        </w:rPr>
        <w:t>后，</w:t>
      </w:r>
      <w:r>
        <w:rPr>
          <w:sz w:val="21"/>
          <w:color w:val="222222"/>
        </w:rPr>
        <w:t>甲方</w:t>
      </w:r>
      <w:r>
        <w:rPr>
          <w:sz w:val="21"/>
          <w:color w:val="222222"/>
        </w:rPr>
        <w:t>支付合同金额</w:t>
      </w:r>
      <w:r>
        <w:rPr>
          <w:sz w:val="21"/>
          <w:color w:val="222222"/>
        </w:rPr>
        <w:t>10</w:t>
      </w:r>
      <w:r>
        <w:rPr>
          <w:sz w:val="21"/>
          <w:color w:val="222222"/>
        </w:rPr>
        <w:t>%</w:t>
      </w:r>
      <w:r>
        <w:rPr>
          <w:sz w:val="21"/>
          <w:color w:val="222222"/>
        </w:rPr>
        <w:t>。具体实施时间以收到</w:t>
      </w:r>
      <w:r>
        <w:rPr>
          <w:sz w:val="21"/>
          <w:color w:val="222222"/>
        </w:rPr>
        <w:t>乙方</w:t>
      </w:r>
      <w:r>
        <w:rPr>
          <w:sz w:val="21"/>
          <w:color w:val="222222"/>
        </w:rPr>
        <w:t>合格请款资料</w:t>
      </w:r>
      <w:r>
        <w:rPr>
          <w:sz w:val="21"/>
          <w:color w:val="222222"/>
        </w:rPr>
        <w:t>（</w:t>
      </w:r>
      <w:r>
        <w:rPr>
          <w:sz w:val="21"/>
          <w:color w:val="222222"/>
        </w:rPr>
        <w:t>包括但不限于发票等</w:t>
      </w:r>
      <w:r>
        <w:rPr>
          <w:sz w:val="21"/>
          <w:color w:val="222222"/>
        </w:rPr>
        <w:t>）</w:t>
      </w:r>
      <w:r>
        <w:rPr>
          <w:sz w:val="21"/>
          <w:color w:val="222222"/>
        </w:rPr>
        <w:t>后</w:t>
      </w:r>
      <w:r>
        <w:rPr>
          <w:sz w:val="21"/>
          <w:color w:val="222222"/>
        </w:rPr>
        <w:t>1</w:t>
      </w:r>
      <w:r>
        <w:rPr>
          <w:sz w:val="21"/>
          <w:color w:val="222222"/>
        </w:rPr>
        <w:t>0</w:t>
      </w:r>
      <w:r>
        <w:rPr>
          <w:sz w:val="21"/>
          <w:color w:val="222222"/>
        </w:rPr>
        <w:t>个工作日内支付</w:t>
      </w:r>
      <w:r>
        <w:rPr>
          <w:sz w:val="21"/>
          <w:color w:val="222222"/>
        </w:rPr>
        <w:t>。</w:t>
      </w:r>
    </w:p>
    <w:p>
      <w:pPr>
        <w:pStyle w:val="null3"/>
        <w:jc w:val="both"/>
      </w:pPr>
      <w:r>
        <w:rPr>
          <w:sz w:val="21"/>
          <w:b/>
        </w:rPr>
        <w:t>五</w:t>
      </w:r>
      <w:r>
        <w:rPr>
          <w:sz w:val="21"/>
          <w:b/>
        </w:rPr>
        <w:t>、其他要求</w:t>
      </w:r>
    </w:p>
    <w:p>
      <w:pPr>
        <w:pStyle w:val="null3"/>
        <w:jc w:val="both"/>
      </w:pPr>
      <w:r>
        <w:rPr>
          <w:sz w:val="21"/>
          <w:b/>
        </w:rPr>
        <w:t>六</w:t>
      </w:r>
      <w:r>
        <w:rPr>
          <w:sz w:val="21"/>
          <w:b/>
        </w:rPr>
        <w:t>、知识产权归属</w:t>
      </w:r>
    </w:p>
    <w:p>
      <w:pPr>
        <w:pStyle w:val="null3"/>
        <w:ind w:firstLine="480"/>
        <w:jc w:val="both"/>
      </w:pPr>
      <w:r>
        <w:rPr>
          <w:sz w:val="21"/>
          <w:color w:val="222222"/>
        </w:rPr>
        <w:t>本项目成果知识产权归甲方所有。乙方不得泄露任何关于项目的相关信息，否则需承担相应责任。</w:t>
      </w:r>
    </w:p>
    <w:p>
      <w:pPr>
        <w:pStyle w:val="null3"/>
        <w:jc w:val="both"/>
      </w:pPr>
      <w:r>
        <w:rPr>
          <w:sz w:val="21"/>
          <w:b/>
        </w:rPr>
        <w:t>七</w:t>
      </w:r>
      <w:r>
        <w:rPr>
          <w:sz w:val="21"/>
          <w:b/>
        </w:rPr>
        <w:t>、违约责任与赔偿损失</w:t>
      </w:r>
    </w:p>
    <w:p>
      <w:pPr>
        <w:pStyle w:val="null3"/>
        <w:jc w:val="both"/>
      </w:pPr>
      <w:r>
        <w:rPr>
          <w:sz w:val="21"/>
          <w:color w:val="222222"/>
        </w:rPr>
        <w:t>1.</w:t>
      </w:r>
      <w:r>
        <w:rPr>
          <w:sz w:val="21"/>
          <w:color w:val="222222"/>
        </w:rPr>
        <w:t>乙方提供的服务不符合本合同规定的，甲方有权拒收，并且乙方须向甲方方支付本合同总价</w:t>
      </w:r>
      <w:r>
        <w:rPr>
          <w:sz w:val="21"/>
          <w:color w:val="222222"/>
        </w:rPr>
        <w:t>5%</w:t>
      </w:r>
      <w:r>
        <w:rPr>
          <w:sz w:val="21"/>
          <w:color w:val="222222"/>
        </w:rPr>
        <w:t>的违约金。</w:t>
      </w:r>
    </w:p>
    <w:p>
      <w:pPr>
        <w:pStyle w:val="null3"/>
        <w:jc w:val="both"/>
      </w:pPr>
      <w:r>
        <w:rPr>
          <w:sz w:val="21"/>
          <w:color w:val="222222"/>
        </w:rPr>
        <w:t>2.</w:t>
      </w:r>
      <w:r>
        <w:rPr>
          <w:sz w:val="21"/>
          <w:color w:val="222222"/>
        </w:rPr>
        <w:t>乙方未能按本合同规定的交货时间提供服务，从逾期之日起每日按本合同总价</w:t>
      </w:r>
      <w:r>
        <w:rPr>
          <w:sz w:val="21"/>
          <w:color w:val="222222"/>
        </w:rPr>
        <w:t>3</w:t>
      </w:r>
      <w:r>
        <w:rPr>
          <w:sz w:val="21"/>
          <w:color w:val="222222"/>
        </w:rPr>
        <w:t>‰的数额向甲方支付违约金；逾期半个月以上的，甲方有权终止合同，由此造成的甲方经济损失由乙方承担。</w:t>
      </w:r>
    </w:p>
    <w:p>
      <w:pPr>
        <w:pStyle w:val="null3"/>
        <w:jc w:val="both"/>
      </w:pPr>
      <w:r>
        <w:rPr>
          <w:sz w:val="21"/>
          <w:color w:val="222222"/>
        </w:rPr>
        <w:t>3.</w:t>
      </w:r>
      <w:r>
        <w:rPr>
          <w:sz w:val="21"/>
          <w:color w:val="222222"/>
        </w:rPr>
        <w:t>甲方无正当理由拒收接受服务，到期拒付服务款项的，甲方向乙方偿付本合同总的</w:t>
      </w:r>
      <w:r>
        <w:rPr>
          <w:sz w:val="21"/>
          <w:color w:val="222222"/>
        </w:rPr>
        <w:t>5%</w:t>
      </w:r>
      <w:r>
        <w:rPr>
          <w:sz w:val="21"/>
          <w:color w:val="222222"/>
        </w:rPr>
        <w:t>的违约金。甲方人逾期付款，则每日按本合同总价的</w:t>
      </w:r>
      <w:r>
        <w:rPr>
          <w:sz w:val="21"/>
          <w:color w:val="222222"/>
        </w:rPr>
        <w:t>3</w:t>
      </w:r>
      <w:r>
        <w:rPr>
          <w:sz w:val="21"/>
          <w:color w:val="222222"/>
        </w:rPr>
        <w:t>‰向乙方偿付违约金。</w:t>
      </w:r>
    </w:p>
    <w:p>
      <w:pPr>
        <w:pStyle w:val="null3"/>
        <w:jc w:val="both"/>
      </w:pPr>
      <w:r>
        <w:rPr>
          <w:sz w:val="21"/>
          <w:color w:val="222222"/>
        </w:rPr>
        <w:t>4.</w:t>
      </w:r>
      <w:r>
        <w:rPr>
          <w:sz w:val="21"/>
          <w:color w:val="222222"/>
        </w:rPr>
        <w:t>对于因甲方原因导致变更、中止或者终止政府采购合同的，甲方应当依照以下合同约定对供应商受到的损失予以赔偿或者补偿：</w:t>
      </w:r>
    </w:p>
    <w:p>
      <w:pPr>
        <w:pStyle w:val="null3"/>
        <w:jc w:val="both"/>
      </w:pPr>
      <w:r>
        <w:rPr>
          <w:u w:val="single"/>
        </w:rPr>
        <w:t xml:space="preserve">              </w:t>
      </w:r>
    </w:p>
    <w:p>
      <w:pPr>
        <w:pStyle w:val="null3"/>
        <w:jc w:val="both"/>
      </w:pPr>
      <w:r>
        <w:rPr>
          <w:sz w:val="21"/>
          <w:color w:val="222222"/>
        </w:rPr>
        <w:t>5.</w:t>
      </w:r>
      <w:r>
        <w:rPr>
          <w:sz w:val="21"/>
          <w:color w:val="222222"/>
        </w:rPr>
        <w:t>其它违约责任按《中华人民共和国民法典</w:t>
      </w:r>
      <w:r>
        <w:rPr>
          <w:sz w:val="21"/>
          <w:color w:val="222222"/>
        </w:rPr>
        <w:t>(</w:t>
      </w:r>
      <w:r>
        <w:rPr>
          <w:sz w:val="21"/>
          <w:color w:val="222222"/>
        </w:rPr>
        <w:t>合同编</w:t>
      </w:r>
      <w:r>
        <w:rPr>
          <w:sz w:val="21"/>
          <w:color w:val="222222"/>
        </w:rPr>
        <w:t>)</w:t>
      </w:r>
      <w:r>
        <w:rPr>
          <w:sz w:val="21"/>
          <w:color w:val="222222"/>
        </w:rPr>
        <w:t>》处理。</w:t>
      </w:r>
    </w:p>
    <w:p>
      <w:pPr>
        <w:pStyle w:val="null3"/>
        <w:jc w:val="both"/>
      </w:pPr>
      <w:r>
        <w:rPr>
          <w:sz w:val="21"/>
          <w:b/>
        </w:rPr>
        <w:t>八</w:t>
      </w:r>
      <w:r>
        <w:rPr>
          <w:sz w:val="21"/>
          <w:b/>
        </w:rPr>
        <w:t>、争议的解决</w:t>
      </w:r>
    </w:p>
    <w:p>
      <w:pPr>
        <w:pStyle w:val="null3"/>
        <w:ind w:firstLine="400"/>
        <w:jc w:val="both"/>
      </w:pPr>
      <w:r>
        <w:rPr>
          <w:sz w:val="21"/>
          <w:color w:val="222222"/>
        </w:rPr>
        <w:t>合同执行过程中发生的任何争议，如双方不能通过友好协商解决，按相关法律法规处理。</w:t>
      </w:r>
      <w:r>
        <w:rPr>
          <w:sz w:val="21"/>
          <w:color w:val="222222"/>
        </w:rPr>
        <w:t xml:space="preserve">     </w:t>
      </w:r>
    </w:p>
    <w:p>
      <w:pPr>
        <w:pStyle w:val="null3"/>
        <w:jc w:val="both"/>
      </w:pPr>
      <w:r>
        <w:rPr>
          <w:sz w:val="21"/>
          <w:b/>
        </w:rPr>
        <w:t>九</w:t>
      </w:r>
      <w:r>
        <w:rPr>
          <w:sz w:val="21"/>
          <w:b/>
        </w:rPr>
        <w:t>、不可抗力</w:t>
      </w:r>
    </w:p>
    <w:p>
      <w:pPr>
        <w:pStyle w:val="null3"/>
        <w:jc w:val="both"/>
      </w:pPr>
      <w:r>
        <w:rPr>
          <w:sz w:val="21"/>
          <w:color w:val="222222"/>
        </w:rPr>
        <w:t>　　任何一方由于不可抗力原因不能履行合同时，应在不可抗力事件结束后</w:t>
      </w:r>
      <w:r>
        <w:rPr>
          <w:sz w:val="21"/>
          <w:color w:val="222222"/>
        </w:rPr>
        <w:t>1</w:t>
      </w:r>
      <w:r>
        <w:rPr>
          <w:sz w:val="21"/>
          <w:color w:val="222222"/>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十、税费</w:t>
      </w:r>
    </w:p>
    <w:p>
      <w:pPr>
        <w:pStyle w:val="null3"/>
        <w:jc w:val="both"/>
      </w:pPr>
      <w:r>
        <w:rPr>
          <w:sz w:val="21"/>
          <w:color w:val="222222"/>
        </w:rPr>
        <w:t>　　在中国境内、外发生的与本合同执行有关的一切税费均由乙方负担。</w:t>
      </w:r>
    </w:p>
    <w:p>
      <w:pPr>
        <w:pStyle w:val="null3"/>
        <w:jc w:val="both"/>
      </w:pPr>
      <w:r>
        <w:rPr>
          <w:sz w:val="21"/>
          <w:b/>
        </w:rPr>
        <w:t>十</w:t>
      </w:r>
      <w:r>
        <w:rPr>
          <w:sz w:val="21"/>
          <w:b/>
        </w:rPr>
        <w:t>一</w:t>
      </w:r>
      <w:r>
        <w:rPr>
          <w:sz w:val="21"/>
          <w:b/>
        </w:rPr>
        <w:t>、其它</w:t>
      </w:r>
    </w:p>
    <w:p>
      <w:pPr>
        <w:pStyle w:val="null3"/>
        <w:jc w:val="both"/>
      </w:pPr>
      <w:r>
        <w:rPr>
          <w:sz w:val="21"/>
          <w:color w:val="222222"/>
        </w:rPr>
        <w:t>1.</w:t>
      </w:r>
      <w:r>
        <w:rPr>
          <w:sz w:val="21"/>
          <w:color w:val="222222"/>
        </w:rPr>
        <w:t>本合同所有附件、招标文件、投标文件、中标通知书均为合同的有效组成部分，与本合同具有同等法律效力。</w:t>
      </w:r>
    </w:p>
    <w:p>
      <w:pPr>
        <w:pStyle w:val="null3"/>
        <w:jc w:val="both"/>
      </w:pPr>
      <w:r>
        <w:rPr>
          <w:sz w:val="21"/>
          <w:color w:val="222222"/>
        </w:rPr>
        <w:t>2.</w:t>
      </w:r>
      <w:r>
        <w:rPr>
          <w:sz w:val="21"/>
          <w:color w:val="222222"/>
        </w:rPr>
        <w:t>在执行本合同的过程中，所有经双方签署确认的文件（包括会议纪要、补充协议、往来信函）即成为本合同的有效组成部分。</w:t>
      </w:r>
    </w:p>
    <w:p>
      <w:pPr>
        <w:pStyle w:val="null3"/>
        <w:jc w:val="both"/>
      </w:pPr>
      <w:r>
        <w:rPr>
          <w:sz w:val="21"/>
          <w:color w:val="222222"/>
        </w:rPr>
        <w:t>3.</w:t>
      </w:r>
      <w:r>
        <w:rPr>
          <w:sz w:val="21"/>
          <w:color w:val="222222"/>
        </w:rPr>
        <w:t>如一方地址、电话、传真号码有变更，应在变更当日内书面通知对方，否则，应承担相应责任。</w:t>
      </w:r>
    </w:p>
    <w:p>
      <w:pPr>
        <w:pStyle w:val="null3"/>
        <w:jc w:val="both"/>
      </w:pPr>
      <w:r>
        <w:rPr>
          <w:sz w:val="21"/>
          <w:color w:val="222222"/>
        </w:rPr>
        <w:t>4.</w:t>
      </w:r>
      <w:r>
        <w:rPr>
          <w:sz w:val="21"/>
          <w:color w:val="222222"/>
        </w:rPr>
        <w:t>除甲方事先书面同意外，乙方不得部分或全部转让其应履行的合同项下的义务。</w:t>
      </w:r>
    </w:p>
    <w:p>
      <w:pPr>
        <w:pStyle w:val="null3"/>
        <w:jc w:val="both"/>
      </w:pPr>
      <w:r>
        <w:rPr>
          <w:sz w:val="21"/>
          <w:b/>
        </w:rPr>
        <w:t>十</w:t>
      </w:r>
      <w:r>
        <w:rPr>
          <w:sz w:val="21"/>
          <w:b/>
        </w:rPr>
        <w:t>二</w:t>
      </w:r>
      <w:r>
        <w:rPr>
          <w:sz w:val="21"/>
          <w:b/>
        </w:rPr>
        <w:t>、合同生效</w:t>
      </w:r>
    </w:p>
    <w:p>
      <w:pPr>
        <w:pStyle w:val="null3"/>
        <w:ind w:firstLine="480"/>
        <w:jc w:val="both"/>
      </w:pPr>
      <w:r>
        <w:rPr>
          <w:sz w:val="21"/>
          <w:color w:val="222222"/>
        </w:rPr>
        <w:t>1</w:t>
      </w:r>
      <w:r>
        <w:rPr>
          <w:sz w:val="21"/>
          <w:color w:val="222222"/>
        </w:rPr>
        <w:t>、本合同在甲乙双方法人代表或其授权代表签字盖章后生效。</w:t>
      </w:r>
    </w:p>
    <w:p>
      <w:pPr>
        <w:pStyle w:val="null3"/>
        <w:ind w:firstLine="480"/>
        <w:jc w:val="both"/>
      </w:pPr>
      <w:r>
        <w:rPr>
          <w:sz w:val="21"/>
          <w:color w:val="222222"/>
        </w:rPr>
        <w:t>2</w:t>
      </w:r>
      <w:r>
        <w:rPr>
          <w:sz w:val="21"/>
          <w:color w:val="222222"/>
        </w:rPr>
        <w:t>、合同壹式</w:t>
      </w:r>
      <w:r>
        <w:rPr>
          <w:u w:val="single"/>
        </w:rPr>
        <w:t xml:space="preserve">   </w:t>
      </w:r>
      <w:r>
        <w:rPr>
          <w:sz w:val="21"/>
          <w:color w:val="222222"/>
        </w:rPr>
        <w:t>份，其中甲乙双方各执</w:t>
      </w:r>
      <w:r>
        <w:rPr>
          <w:u w:val="single"/>
        </w:rPr>
        <w:t xml:space="preserve">   </w:t>
      </w:r>
      <w:r>
        <w:rPr>
          <w:sz w:val="21"/>
          <w:color w:val="222222"/>
        </w:rPr>
        <w:t>份，采购代理机构执壹份。</w:t>
      </w:r>
    </w:p>
    <w:p>
      <w:pPr>
        <w:pStyle w:val="null3"/>
        <w:jc w:val="both"/>
      </w:pPr>
      <w:r>
        <w:rPr/>
        <w:t xml:space="preserve"> </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color w:val="222222"/>
        </w:rPr>
        <w:t>签订地点：</w:t>
      </w:r>
    </w:p>
    <w:p>
      <w:pPr>
        <w:pStyle w:val="null3"/>
        <w:jc w:val="both"/>
      </w:pPr>
      <w:r>
        <w:rPr>
          <w:sz w:val="21"/>
          <w:color w:val="222222"/>
        </w:rPr>
        <w:t>签订日期：　　　年　　月　　日</w:t>
      </w:r>
      <w:r>
        <w:rPr>
          <w:sz w:val="21"/>
          <w:color w:val="222222"/>
        </w:rPr>
        <w:t xml:space="preserve">                         </w:t>
      </w:r>
      <w:r>
        <w:rPr>
          <w:sz w:val="21"/>
          <w:color w:val="222222"/>
        </w:rPr>
        <w:t>签订日期：　　　年　　月　　日</w:t>
      </w:r>
    </w:p>
    <w:p>
      <w:pPr>
        <w:pStyle w:val="null3"/>
        <w:jc w:val="both"/>
      </w:pPr>
      <w:r>
        <w:rPr>
          <w:sz w:val="21"/>
          <w:color w:val="222222"/>
        </w:rPr>
        <w:t>开户名称：</w:t>
      </w:r>
    </w:p>
    <w:p>
      <w:pPr>
        <w:pStyle w:val="null3"/>
        <w:jc w:val="both"/>
      </w:pPr>
      <w:r>
        <w:rPr>
          <w:sz w:val="21"/>
          <w:color w:val="222222"/>
        </w:rPr>
        <w:t>银行帐号：</w:t>
      </w:r>
    </w:p>
    <w:p>
      <w:pPr>
        <w:pStyle w:val="null3"/>
        <w:jc w:val="both"/>
      </w:pPr>
      <w:r>
        <w:rPr>
          <w:sz w:val="21"/>
          <w:color w:val="222222"/>
        </w:rPr>
        <w:t>开</w:t>
      </w:r>
      <w:r>
        <w:rPr>
          <w:sz w:val="21"/>
          <w:color w:val="222222"/>
        </w:rPr>
        <w:t>户</w:t>
      </w:r>
      <w:r>
        <w:rPr>
          <w:sz w:val="21"/>
          <w:color w:val="222222"/>
        </w:rPr>
        <w:t>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441701-2025-00674</w:t>
      </w:r>
    </w:p>
    <w:p>
      <w:pPr>
        <w:pStyle w:val="null3"/>
        <w:jc w:val="center"/>
        <w:outlineLvl w:val="3"/>
      </w:pPr>
      <w:r>
        <w:rPr>
          <w:sz w:val="24"/>
          <w:b/>
        </w:rPr>
        <w:t>采购项目编号：</w:t>
      </w:r>
      <w:r>
        <w:rPr>
          <w:sz w:val="24"/>
          <w:b/>
        </w:rPr>
        <w:t>0724-2531YJ021890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阳江市人民医院医疗设备维保服务采购项目</w:t>
      </w:r>
      <w:r>
        <w:rPr>
          <w:u w:val="single"/>
        </w:rPr>
        <w:t>”</w:t>
      </w:r>
      <w:r>
        <w:rPr/>
        <w:t>项目的招标[采购项目编号为：</w:t>
      </w:r>
      <w:r>
        <w:rPr>
          <w:u w:val="single"/>
        </w:rPr>
        <w:t>0724-2531YJ021890</w:t>
      </w:r>
      <w:r>
        <w:rPr/>
        <w:t>]，我方愿参与投标。</w:t>
      </w:r>
    </w:p>
    <w:p>
      <w:pPr>
        <w:pStyle w:val="null3"/>
        <w:ind w:firstLine="480"/>
      </w:pPr>
      <w:r>
        <w:rPr/>
        <w:t>我方确认收到贵方提供的</w:t>
      </w:r>
      <w:r>
        <w:rPr>
          <w:u w:val="single"/>
        </w:rPr>
        <w:t>“</w:t>
      </w:r>
      <w:r>
        <w:rPr>
          <w:u w:val="single"/>
        </w:rPr>
        <w:t>阳江市人民医院医疗设备维保服务采购项目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阳江市人民医院医疗设备维保服务采购项目</w:t>
      </w:r>
      <w:r>
        <w:rPr/>
        <w:t>”项目采购[采购项目编号为</w:t>
      </w:r>
      <w:r>
        <w:rPr/>
        <w:t>0724-2531YJ021890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阳江市人民医院医疗设备维保服务采购项目</w:t>
      </w:r>
      <w:r>
        <w:rPr/>
        <w:t>招标中获中标（采购项目编号：</w:t>
      </w:r>
      <w:r>
        <w:rPr/>
        <w:t>0724-2531YJ021890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阳江市人民医院医疗设备维保服务采购项目</w:t>
      </w:r>
      <w:r>
        <w:rPr/>
        <w:t>”项目（采购项目编号：</w:t>
      </w:r>
      <w:r>
        <w:rPr/>
        <w:t>0724-2531YJ021890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