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441701-2026-00063</w:t>
      </w:r>
    </w:p>
    <w:p>
      <w:pPr>
        <w:pStyle w:val="null3"/>
        <w:jc w:val="center"/>
        <w:outlineLvl w:val="3"/>
      </w:pPr>
      <w:r>
        <w:rPr>
          <w:sz w:val="24"/>
          <w:b/>
        </w:rPr>
        <w:t>采购项目编号：</w:t>
      </w:r>
      <w:r>
        <w:rPr>
          <w:sz w:val="24"/>
          <w:b/>
        </w:rPr>
        <w:t>0724-2531YJ029079</w:t>
      </w:r>
    </w:p>
    <w:p>
      <w:pPr>
        <w:pStyle w:val="null3"/>
        <w:jc w:val="center"/>
        <w:outlineLvl w:val="3"/>
      </w:pPr>
      <w:r>
        <w:rPr>
          <w:sz w:val="24"/>
          <w:b/>
        </w:rPr>
        <w:t>项目名称：</w:t>
      </w:r>
      <w:r>
        <w:rPr>
          <w:sz w:val="24"/>
          <w:b/>
        </w:rPr>
        <w:t>阳江市人民医院医疗设备采购项目（25-7）</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阳江市人民医院医疗设备采购项目（25-7）</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阳江市人民医院医疗设备采购项目（25-7）</w:t>
      </w:r>
    </w:p>
    <w:p>
      <w:pPr>
        <w:pStyle w:val="null3"/>
        <w:ind w:firstLine="480"/>
      </w:pPr>
      <w:r>
        <w:rPr/>
        <w:t>采购计划编号：</w:t>
      </w:r>
      <w:r>
        <w:rPr/>
        <w:t>441701-2026-00063</w:t>
      </w:r>
    </w:p>
    <w:p>
      <w:pPr>
        <w:pStyle w:val="null3"/>
        <w:ind w:firstLine="480"/>
      </w:pPr>
      <w:r>
        <w:rPr/>
        <w:t>采购项目编号：</w:t>
      </w:r>
      <w:r>
        <w:rPr/>
        <w:t>0724-2531YJ029079</w:t>
      </w:r>
    </w:p>
    <w:p>
      <w:pPr>
        <w:pStyle w:val="null3"/>
        <w:ind w:firstLine="480"/>
      </w:pPr>
      <w:r>
        <w:rPr/>
        <w:t>采购方式：</w:t>
      </w:r>
      <w:r>
        <w:rPr/>
        <w:t>公开招标</w:t>
      </w:r>
    </w:p>
    <w:p>
      <w:pPr>
        <w:pStyle w:val="null3"/>
        <w:ind w:firstLine="480"/>
      </w:pPr>
      <w:r>
        <w:rPr/>
        <w:t>预算金额：</w:t>
      </w:r>
      <w:r>
        <w:rPr/>
        <w:t>1,260,000.00</w:t>
      </w:r>
      <w:r>
        <w:rPr/>
        <w:t>元</w:t>
      </w:r>
    </w:p>
    <w:p>
      <w:pPr>
        <w:pStyle w:val="null3"/>
        <w:outlineLvl w:val="3"/>
      </w:pPr>
      <w:r>
        <w:rPr>
          <w:sz w:val="24"/>
          <w:b/>
        </w:rPr>
        <w:t>2.项目内容及需求情况（采购项目技术规格、参数及要求）</w:t>
      </w:r>
    </w:p>
    <w:p>
      <w:pPr>
        <w:pStyle w:val="null3"/>
      </w:pPr>
      <w:r>
        <w:rPr/>
        <w:t>采购包1(阳江市人民医院医疗设备采购项目（25-7）):</w:t>
      </w:r>
    </w:p>
    <w:p>
      <w:pPr>
        <w:pStyle w:val="null3"/>
      </w:pPr>
      <w:r>
        <w:rPr/>
        <w:t>采购包预算金额：1,260,000.00元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定量数字脑电图仪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手术器械</w:t>
            </w:r>
          </w:p>
        </w:tc>
        <w:tc>
          <w:tcPr>
            <w:tcW w:type="dxa" w:w="2136"/>
          </w:tcPr>
          <w:p>
            <w:pPr>
              <w:pStyle w:val="null3"/>
            </w:pPr>
            <w:r>
              <w:rPr/>
              <w:t>耳鼻喉综合动力系统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合同履行期限：所有设备在合同签订生效后30天内完成安装调试工作，交付采购人使用。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采购包1（阳江市人民医院医疗设备采购项目（25-7））：</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outlineLvl w:val="3"/>
      </w:pPr>
      <w:r>
        <w:rPr>
          <w:sz w:val="24"/>
          <w:b/>
        </w:rPr>
        <w:t>3.本项目特定的资格要求：</w:t>
      </w:r>
    </w:p>
    <w:p>
      <w:pPr>
        <w:pStyle w:val="null3"/>
      </w:pPr>
      <w:r>
        <w:rPr/>
        <w:t>采购包1（阳江市人民医院医疗设备采购项目（25-7））：</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设备采购表</w:t>
      </w:r>
    </w:p>
    <w:tbl>
      <w:tblPr>
        <w:tblW w:w="0" w:type="auto"/>
        <w:tblBorders>
          <w:top w:val="none" w:color="000000" w:sz="4"/>
          <w:left w:val="none" w:color="000000" w:sz="4"/>
          <w:bottom w:val="none" w:color="000000" w:sz="4"/>
          <w:right w:val="none" w:color="000000" w:sz="4"/>
          <w:insideH w:val="none"/>
          <w:insideV w:val="none"/>
        </w:tblBorders>
      </w:tblPr>
      <w:tblGrid>
        <w:gridCol w:w="985"/>
        <w:gridCol w:w="2676"/>
        <w:gridCol w:w="1323"/>
        <w:gridCol w:w="1661"/>
        <w:gridCol w:w="1661"/>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定量数字脑电图仪</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耳鼻喉综合动力系统</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r>
    </w:tbl>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1"/>
              </w:rPr>
              <w:t>我方自愿参加</w:t>
            </w:r>
            <w:r>
              <w:rPr>
                <w:sz w:val="21"/>
                <w:u w:val="single"/>
              </w:rPr>
              <w:t xml:space="preserve">        </w:t>
            </w:r>
            <w:r>
              <w:rPr>
                <w:sz w:val="21"/>
                <w:u w:val="single"/>
              </w:rPr>
              <w:t>（项目名称）</w:t>
            </w:r>
            <w:r>
              <w:rPr>
                <w:sz w:val="21"/>
                <w:u w:val="single"/>
              </w:rPr>
              <w:t xml:space="preserve">        </w:t>
            </w:r>
            <w:r>
              <w:rPr>
                <w:sz w:val="21"/>
              </w:rPr>
              <w:t>(</w:t>
            </w:r>
            <w:r>
              <w:rPr>
                <w:sz w:val="21"/>
              </w:rPr>
              <w:t>项目编号：</w:t>
            </w:r>
            <w:r>
              <w:rPr>
                <w:sz w:val="19"/>
                <w:u w:val="single"/>
              </w:rPr>
              <w:t xml:space="preserve">          </w:t>
            </w:r>
            <w:r>
              <w:rPr>
                <w:sz w:val="21"/>
              </w:rPr>
              <w:t>)</w:t>
            </w:r>
            <w:r>
              <w:rPr>
                <w:sz w:val="21"/>
              </w:rPr>
              <w:t>的政府采购活动，并郑重承诺符合《中华人民共和国政府采购法》第二十二条第一款第</w:t>
            </w:r>
            <w:r>
              <w:rPr>
                <w:sz w:val="21"/>
              </w:rPr>
              <w:t>(</w:t>
            </w:r>
            <w:r>
              <w:rPr>
                <w:sz w:val="21"/>
              </w:rPr>
              <w:t>二</w:t>
            </w:r>
            <w:r>
              <w:rPr>
                <w:sz w:val="21"/>
              </w:rPr>
              <w:t>)</w:t>
            </w:r>
            <w:r>
              <w:rPr>
                <w:sz w:val="21"/>
              </w:rPr>
              <w:t>项、第</w:t>
            </w:r>
            <w:r>
              <w:rPr>
                <w:sz w:val="21"/>
              </w:rPr>
              <w:t>(</w:t>
            </w:r>
            <w:r>
              <w:rPr>
                <w:sz w:val="21"/>
              </w:rPr>
              <w:t>三</w:t>
            </w:r>
            <w:r>
              <w:rPr>
                <w:sz w:val="21"/>
              </w:rPr>
              <w:t>)</w:t>
            </w:r>
            <w:r>
              <w:rPr>
                <w:sz w:val="21"/>
              </w:rPr>
              <w:t>项、第</w:t>
            </w:r>
            <w:r>
              <w:rPr>
                <w:sz w:val="21"/>
              </w:rPr>
              <w:t>(</w:t>
            </w:r>
            <w:r>
              <w:rPr>
                <w:sz w:val="21"/>
              </w:rPr>
              <w:t>四</w:t>
            </w:r>
            <w:r>
              <w:rPr>
                <w:sz w:val="21"/>
              </w:rPr>
              <w:t>)</w:t>
            </w:r>
            <w:r>
              <w:rPr>
                <w:sz w:val="21"/>
              </w:rPr>
              <w:t>项、第</w:t>
            </w:r>
            <w:r>
              <w:rPr>
                <w:sz w:val="21"/>
              </w:rPr>
              <w:t>(</w:t>
            </w:r>
            <w:r>
              <w:rPr>
                <w:sz w:val="21"/>
              </w:rPr>
              <w:t>五</w:t>
            </w:r>
            <w:r>
              <w:rPr>
                <w:sz w:val="21"/>
              </w:rPr>
              <w:t>)</w:t>
            </w:r>
            <w:r>
              <w:rPr>
                <w:sz w:val="21"/>
              </w:rPr>
              <w:t>项规定条件，具体包括</w:t>
            </w:r>
            <w:r>
              <w:rPr>
                <w:sz w:val="21"/>
              </w:rPr>
              <w:t>:</w:t>
            </w:r>
          </w:p>
          <w:p>
            <w:pPr>
              <w:pStyle w:val="null3"/>
              <w:spacing w:before="240"/>
              <w:ind w:left="645"/>
              <w:jc w:val="left"/>
            </w:pPr>
            <w:r>
              <w:rPr>
                <w:sz w:val="21"/>
              </w:rPr>
              <w:t>1.</w:t>
            </w:r>
            <w:r>
              <w:rPr>
                <w:sz w:val="21"/>
              </w:rPr>
              <w:t>具有良好的商业信誉和健全的财务会计制度；</w:t>
            </w:r>
          </w:p>
          <w:p>
            <w:pPr>
              <w:pStyle w:val="null3"/>
              <w:spacing w:before="195"/>
              <w:ind w:left="645"/>
              <w:jc w:val="left"/>
            </w:pPr>
            <w:r>
              <w:rPr>
                <w:sz w:val="21"/>
              </w:rPr>
              <w:t>2.</w:t>
            </w:r>
            <w:r>
              <w:rPr>
                <w:sz w:val="21"/>
              </w:rPr>
              <w:t>具有履行合同所必需的设备和专业技术能力；</w:t>
            </w:r>
          </w:p>
          <w:p>
            <w:pPr>
              <w:pStyle w:val="null3"/>
              <w:spacing w:before="255"/>
              <w:ind w:left="645"/>
              <w:jc w:val="left"/>
            </w:pPr>
            <w:r>
              <w:rPr>
                <w:sz w:val="21"/>
              </w:rPr>
              <w:t>3.</w:t>
            </w:r>
            <w:r>
              <w:rPr>
                <w:sz w:val="21"/>
              </w:rPr>
              <w:t>具有依法缴纳税收和社会保障资金的良好记录；</w:t>
            </w:r>
          </w:p>
          <w:p>
            <w:pPr>
              <w:pStyle w:val="null3"/>
              <w:spacing w:before="240"/>
              <w:ind w:left="30" w:firstLine="612"/>
              <w:jc w:val="left"/>
            </w:pPr>
            <w:r>
              <w:rPr>
                <w:sz w:val="21"/>
              </w:rPr>
              <w:t>4.</w:t>
            </w:r>
            <w:r>
              <w:rPr>
                <w:sz w:val="21"/>
              </w:rPr>
              <w:t>参加政府采购活动前三年内，在经营活动中没有重大违法记录。</w:t>
            </w:r>
          </w:p>
          <w:p>
            <w:pPr>
              <w:pStyle w:val="null3"/>
              <w:spacing w:before="240"/>
              <w:ind w:left="30" w:firstLine="610"/>
              <w:jc w:val="left"/>
            </w:pPr>
            <w:r>
              <w:rPr>
                <w:sz w:val="21"/>
              </w:rPr>
              <w:t>我方对上述承诺的真实性负责，在评审环节结束后，自愿接受采购单位</w:t>
            </w:r>
            <w:r>
              <w:rPr>
                <w:sz w:val="21"/>
              </w:rPr>
              <w:t>(</w:t>
            </w:r>
            <w:r>
              <w:rPr>
                <w:sz w:val="21"/>
              </w:rPr>
              <w:t>采购代理机构</w:t>
            </w:r>
            <w:r>
              <w:rPr>
                <w:sz w:val="21"/>
              </w:rPr>
              <w:t>)</w:t>
            </w:r>
            <w:r>
              <w:rPr>
                <w:sz w:val="21"/>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1"/>
              </w:rPr>
              <w:t>特此承诺。</w:t>
            </w:r>
          </w:p>
          <w:p>
            <w:pPr>
              <w:pStyle w:val="null3"/>
              <w:spacing w:before="210"/>
              <w:ind w:left="30"/>
              <w:jc w:val="left"/>
            </w:pPr>
            <w:r>
              <w:rPr>
                <w:sz w:val="21"/>
                <w:b/>
              </w:rPr>
              <w:t>供应商名称</w:t>
            </w:r>
            <w:r>
              <w:rPr>
                <w:sz w:val="21"/>
                <w:b/>
              </w:rPr>
              <w:t>(</w:t>
            </w:r>
            <w:r>
              <w:rPr>
                <w:sz w:val="21"/>
                <w:b/>
              </w:rPr>
              <w:t>公章</w:t>
            </w:r>
            <w:r>
              <w:rPr>
                <w:sz w:val="21"/>
                <w:b/>
              </w:rPr>
              <w:t>):</w:t>
            </w:r>
          </w:p>
          <w:p>
            <w:pPr>
              <w:pStyle w:val="null3"/>
              <w:ind w:left="30"/>
              <w:jc w:val="left"/>
            </w:pPr>
            <w:r>
              <w:rPr>
                <w:sz w:val="21"/>
                <w:b/>
              </w:rPr>
              <w:t>统一社会信用代码：</w:t>
            </w:r>
          </w:p>
          <w:p>
            <w:pPr>
              <w:pStyle w:val="null3"/>
              <w:spacing w:before="255"/>
              <w:ind w:left="30"/>
              <w:jc w:val="left"/>
            </w:pPr>
            <w:r>
              <w:rPr>
                <w:sz w:val="21"/>
                <w:b/>
              </w:rPr>
              <w:t>法定代表人或授权代表</w:t>
            </w:r>
            <w:r>
              <w:rPr>
                <w:sz w:val="21"/>
                <w:b/>
              </w:rPr>
              <w:t>(</w:t>
            </w:r>
            <w:r>
              <w:rPr>
                <w:sz w:val="21"/>
                <w:b/>
              </w:rPr>
              <w:t>签名</w:t>
            </w:r>
            <w:r>
              <w:rPr>
                <w:sz w:val="21"/>
                <w:b/>
              </w:rPr>
              <w:t>):</w:t>
            </w:r>
          </w:p>
          <w:p>
            <w:pPr>
              <w:pStyle w:val="null3"/>
              <w:ind w:left="30"/>
              <w:jc w:val="left"/>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left="30"/>
              <w:jc w:val="left"/>
            </w:pPr>
            <w:r>
              <w:rPr>
                <w:sz w:val="19"/>
              </w:rPr>
              <w:t xml:space="preserve"> </w:t>
            </w:r>
          </w:p>
          <w:p>
            <w:pPr>
              <w:pStyle w:val="null3"/>
              <w:ind w:left="15"/>
              <w:jc w:val="left"/>
            </w:pPr>
            <w:r>
              <w:rPr>
                <w:sz w:val="21"/>
              </w:rPr>
              <w:t>注：供应商的法定代表人</w:t>
            </w:r>
            <w:r>
              <w:rPr>
                <w:sz w:val="21"/>
              </w:rPr>
              <w:t>(</w:t>
            </w:r>
            <w:r>
              <w:rPr>
                <w:sz w:val="21"/>
              </w:rPr>
              <w:t>其他组织的为负责人</w:t>
            </w:r>
            <w:r>
              <w:rPr>
                <w:sz w:val="21"/>
              </w:rPr>
              <w:t>)</w:t>
            </w:r>
            <w:r>
              <w:rPr>
                <w:sz w:val="21"/>
              </w:rPr>
              <w:t>或者授权代表的签名或盖章应真实、有效，如由投标代表签名或盖章的，应提供“法定代表人授权书”。</w:t>
            </w:r>
          </w:p>
        </w:tc>
      </w:tr>
    </w:tbl>
    <w:p>
      <w:pPr>
        <w:pStyle w:val="null3"/>
        <w:jc w:val="both"/>
      </w:pPr>
      <w:r>
        <w:rPr/>
        <w:t xml:space="preserve"> </w:t>
      </w:r>
    </w:p>
    <w:p>
      <w:pPr>
        <w:pStyle w:val="null3"/>
      </w:pPr>
      <w:r>
        <w:rPr/>
        <w:t>采购包1（阳江市人民医院医疗设备采购项目（25-7））</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所有设备在合同签订生效后30天内完成安装调试工作，交付采购人使用。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1期：支付比例30%,在合同签订后，采购人收到发票后10个工作日内向中标供应商支付合同总额的30%。</w:t>
            </w:r>
          </w:p>
          <w:p>
            <w:pPr>
              <w:pStyle w:val="null3"/>
            </w:pPr>
            <w:r>
              <w:rPr/>
              <w:t>2期：支付比例70%,设备安装验收合格，正常投入使用3个月后，采购人收到发票后10个工作日内支付合同总额的70%。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 2、验收按国家、地方或行业现行相关验收规范和评定标准执行。 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投标报价包括</w:t>
            </w:r>
          </w:p>
        </w:tc>
        <w:tc>
          <w:tcPr>
            <w:tcW w:type="dxa" w:w="2076"/>
          </w:tcPr>
          <w:p>
            <w:pPr>
              <w:pStyle w:val="null3"/>
              <w:jc w:val="left"/>
            </w:pPr>
            <w:r>
              <w:rPr/>
              <w:t>运至合同指定地点的货物、搬运费、运输费、卸装费、安装调试费、验收、成本、税金等一切费用。采购人不再支付任何费用。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从《中标通知书》发出之日起30日内签订合同。</w:t>
            </w:r>
          </w:p>
        </w:tc>
      </w:tr>
      <w:tr>
        <w:tc>
          <w:tcPr>
            <w:tcW w:type="dxa" w:w="2076"/>
          </w:tcPr>
          <w:p/>
        </w:tc>
        <w:tc>
          <w:tcPr>
            <w:tcW w:type="dxa" w:w="2076"/>
          </w:tcPr>
          <w:p>
            <w:pPr>
              <w:pStyle w:val="null3"/>
              <w:jc w:val="center"/>
            </w:pPr>
            <w:r>
              <w:rPr/>
              <w:t>3</w:t>
            </w:r>
          </w:p>
        </w:tc>
        <w:tc>
          <w:tcPr>
            <w:tcW w:type="dxa" w:w="2076"/>
          </w:tcPr>
          <w:p>
            <w:pPr>
              <w:pStyle w:val="null3"/>
              <w:jc w:val="left"/>
            </w:pPr>
            <w:r>
              <w:rPr/>
              <w:t>产品及售后服务</w:t>
            </w:r>
          </w:p>
        </w:tc>
        <w:tc>
          <w:tcPr>
            <w:tcW w:type="dxa" w:w="2076"/>
          </w:tcPr>
          <w:p>
            <w:pPr>
              <w:pStyle w:val="null3"/>
              <w:jc w:val="left"/>
            </w:pPr>
            <w:r>
              <w:rPr/>
              <w:t>1、中标供应商应提供原装、全新的、符合质量标准的货物，不得以旧货翻新充数，并按有关要求进行包装及装运； 2、产品质量保证期不少于两年（若国家和/或生产厂家对本项目所涉及货物的质量保证期的规定高于本项目的要求，应按国家和/或生产厂家的规定执行）。电话报修后，48小时内到现场解决问题； 3、在质量保证期内发生的质量问题，由中标供应商负责免费解决，包退包换； 4、在质量保证期外发生的质量问题，由中标供应商负责解决，采购人支付相应的费用； 5、在任何时候，中标供应商均不能免除因货物本身的缺陷所应负的责任。货物在质保期内发生质量问题，中标供应商须无条件给予退换； 6、中标供应商对所提供设备提供维修服务，质保期后的服务，只收取更换零部件的成本费，不得收取任何工时费及工程师差旅费等其他费用； 7、中标供应商须提交设备所涉及耗材的清单及价格。</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1.培训地点：采购人指定地点 2.中标供应商对采购人的相关人员进行培训，并提供纸质版操作、维护维修手册。培训成果达到采购人要求，以保证设备正常工作。 3.投标人需提供培训方案，包括但不限于设备操作规程、安全知识培训、应急处理培训、保养维护培训等内容。</w:t>
            </w:r>
          </w:p>
        </w:tc>
      </w:tr>
      <w:tr>
        <w:tc>
          <w:tcPr>
            <w:tcW w:type="dxa" w:w="2076"/>
          </w:tcPr>
          <w:p/>
        </w:tc>
        <w:tc>
          <w:tcPr>
            <w:tcW w:type="dxa" w:w="2076"/>
          </w:tcPr>
          <w:p>
            <w:pPr>
              <w:pStyle w:val="null3"/>
              <w:jc w:val="center"/>
            </w:pPr>
            <w:r>
              <w:rPr/>
              <w:t>5</w:t>
            </w:r>
          </w:p>
        </w:tc>
        <w:tc>
          <w:tcPr>
            <w:tcW w:type="dxa" w:w="2076"/>
          </w:tcPr>
          <w:p>
            <w:pPr>
              <w:pStyle w:val="null3"/>
              <w:jc w:val="left"/>
            </w:pPr>
            <w:r>
              <w:rPr/>
              <w:t>安装、调试要求</w:t>
            </w:r>
          </w:p>
        </w:tc>
        <w:tc>
          <w:tcPr>
            <w:tcW w:type="dxa" w:w="2076"/>
          </w:tcPr>
          <w:p>
            <w:pPr>
              <w:pStyle w:val="null3"/>
              <w:jc w:val="left"/>
            </w:pPr>
            <w:r>
              <w:rPr/>
              <w:t>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 2.当所有的货物都通过采购人的验收后，双方签字认可，货物正式交付给采购人。货物正式交付采购人前，货物的损毁、灭失风险由中标供应商承担。 3.中标供应商必须依照招标文件的要求和投标文件的承诺，将设备安装并调试至正常使用的最佳状态。 4.货物为原厂商未启封全新包装，具出厂合格证，序列号、包装箱号与出厂批号一致，并可追索查阅。所有随设备的附件必须齐全且应在交货时一并交付。</w:t>
            </w:r>
          </w:p>
        </w:tc>
      </w:tr>
      <w:tr>
        <w:tc>
          <w:tcPr>
            <w:tcW w:type="dxa" w:w="2076"/>
          </w:tcPr>
          <w:p/>
        </w:tc>
        <w:tc>
          <w:tcPr>
            <w:tcW w:type="dxa" w:w="2076"/>
          </w:tcPr>
          <w:p>
            <w:pPr>
              <w:pStyle w:val="null3"/>
              <w:jc w:val="center"/>
            </w:pPr>
            <w:r>
              <w:rPr/>
              <w:t>6</w:t>
            </w:r>
          </w:p>
        </w:tc>
        <w:tc>
          <w:tcPr>
            <w:tcW w:type="dxa" w:w="2076"/>
          </w:tcPr>
          <w:p>
            <w:pPr>
              <w:pStyle w:val="null3"/>
              <w:jc w:val="left"/>
            </w:pPr>
            <w:r>
              <w:rPr/>
              <w:t>项目实施方案要求</w:t>
            </w:r>
          </w:p>
        </w:tc>
        <w:tc>
          <w:tcPr>
            <w:tcW w:type="dxa" w:w="2076"/>
          </w:tcPr>
          <w:p>
            <w:pPr>
              <w:pStyle w:val="null3"/>
              <w:jc w:val="left"/>
            </w:pPr>
            <w:r>
              <w:rPr/>
              <w:t>投标人应根据采购需求的要求，结合自身企业情况，提供本项目的项目实施方案，包含项目的到货计划、项目实施计划、项目运输保障方案、安装调试方案等。</w:t>
            </w:r>
          </w:p>
        </w:tc>
      </w:tr>
      <w:tr>
        <w:tc>
          <w:tcPr>
            <w:tcW w:type="dxa" w:w="2076"/>
          </w:tcPr>
          <w:p/>
        </w:tc>
        <w:tc>
          <w:tcPr>
            <w:tcW w:type="dxa" w:w="2076"/>
          </w:tcPr>
          <w:p>
            <w:pPr>
              <w:pStyle w:val="null3"/>
              <w:jc w:val="center"/>
            </w:pPr>
            <w:r>
              <w:rPr/>
              <w:t>7</w:t>
            </w:r>
          </w:p>
        </w:tc>
        <w:tc>
          <w:tcPr>
            <w:tcW w:type="dxa" w:w="2076"/>
          </w:tcPr>
          <w:p>
            <w:pPr>
              <w:pStyle w:val="null3"/>
              <w:jc w:val="left"/>
            </w:pPr>
            <w:r>
              <w:rPr/>
              <w:t>质量保障措施方案要求</w:t>
            </w:r>
          </w:p>
        </w:tc>
        <w:tc>
          <w:tcPr>
            <w:tcW w:type="dxa" w:w="2076"/>
          </w:tcPr>
          <w:p>
            <w:pPr>
              <w:pStyle w:val="null3"/>
              <w:jc w:val="left"/>
            </w:pPr>
            <w:r>
              <w:rPr/>
              <w:t>1、中标人应保证所提供的设备制造日期距交货时间不能超过1年，是全新的、未使用过的设备，并符合国家有关标准、制造厂标准及合同技术标准要求。（不可抗力因素影响造成制造日期距交货时间超过1年除外并须经采购人需求管理部门书面同意。） 2、提供所投产品从生产厂家到投标人完整的各级渠道来源合法有效证明文件。（以制造商证明文件或产品代理证明文件或产品授权证明文件为准）。 3、如合同设备属于国家强制计量或检定的设备，则验收前中标人须提供国家计量或检定机构所出具的有效期内的合格证书，采购人可协助中标人联系有关部门进行检测，但相关检测费用由中标人承担。 4、中标人应提供设备的技术文件，包括相应的图纸、操作手册、维修手册（以上手册纸质和电子版各一套）、维修软件及相关维修密码、质量保证文件、服务指南等，这些文件应随同设备一起发运至采购人。 5、所投标的设备应提供产品彩页或相应技术参数的制造商产品使用说明书复印件或制造商出具的技术白皮书。 6、知识产权：中标人应保证采购人在使用该货物或其任何一部分时，免受第三方提出的侵犯其专利权、商标权、著作权或其它知识产权的起诉。若因为知识产权纠纷造成的一切损害赔偿及损失由中标人承担，包括但不限于实际损失、预期损失和对方要求赔偿损失及支出的律师费、交通费和差旅费等。 7、采购过程中，出现损害国家利益和社会公共利益情形的，遵循相应的国家法律法规、规章制度和国家政策。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定量数字脑电图仪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380,000.00</w:t>
            </w:r>
          </w:p>
        </w:tc>
        <w:tc>
          <w:tcPr>
            <w:tcW w:type="dxa" w:w="831"/>
          </w:tcPr>
          <w:p>
            <w:pPr>
              <w:pStyle w:val="null3"/>
              <w:jc w:val="right"/>
            </w:pPr>
            <w:r>
              <w:rPr/>
              <w:t>380,000.00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耳鼻喉综合动力系统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880,000.00</w:t>
            </w:r>
          </w:p>
        </w:tc>
        <w:tc>
          <w:tcPr>
            <w:tcW w:type="dxa" w:w="831"/>
          </w:tcPr>
          <w:p>
            <w:pPr>
              <w:pStyle w:val="null3"/>
              <w:jc w:val="right"/>
            </w:pPr>
            <w:r>
              <w:rPr/>
              <w:t>880,000.00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定量数字脑电图仪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所投设备须具备医疗器械注册证，提供复印件加盖公章。</w:t>
            </w:r>
          </w:p>
          <w:p>
            <w:pPr>
              <w:pStyle w:val="null3"/>
              <w:jc w:val="both"/>
            </w:pPr>
            <w:r>
              <w:rPr>
                <w:sz w:val="21"/>
              </w:rPr>
              <w:t>1.</w:t>
            </w:r>
            <w:r>
              <w:rPr>
                <w:sz w:val="21"/>
              </w:rPr>
              <w:t>微电子设计，放大器高度集成，双重隔离电磁设计。</w:t>
            </w:r>
          </w:p>
          <w:p>
            <w:pPr>
              <w:pStyle w:val="null3"/>
              <w:jc w:val="both"/>
            </w:pPr>
            <w:r>
              <w:rPr>
                <w:sz w:val="21"/>
              </w:rPr>
              <w:t>2.</w:t>
            </w:r>
            <w:r>
              <w:rPr>
                <w:sz w:val="21"/>
              </w:rPr>
              <w:t>≥</w:t>
            </w:r>
            <w:r>
              <w:rPr>
                <w:sz w:val="21"/>
              </w:rPr>
              <w:t>32</w:t>
            </w:r>
            <w:r>
              <w:rPr>
                <w:sz w:val="21"/>
              </w:rPr>
              <w:t>通道信号采集，每一通道独立放大器设计。</w:t>
            </w:r>
          </w:p>
          <w:p>
            <w:pPr>
              <w:pStyle w:val="null3"/>
              <w:jc w:val="both"/>
            </w:pPr>
            <w:r>
              <w:rPr>
                <w:sz w:val="21"/>
              </w:rPr>
              <w:t>3.</w:t>
            </w:r>
            <w:r>
              <w:rPr>
                <w:sz w:val="21"/>
              </w:rPr>
              <w:t>脑电、肌电、</w:t>
            </w:r>
            <w:r>
              <w:rPr>
                <w:sz w:val="21"/>
              </w:rPr>
              <w:t>心电、</w:t>
            </w:r>
            <w:r>
              <w:rPr>
                <w:sz w:val="21"/>
              </w:rPr>
              <w:t>眼电</w:t>
            </w:r>
            <w:r>
              <w:rPr>
                <w:sz w:val="21"/>
              </w:rPr>
              <w:t>等</w:t>
            </w:r>
            <w:r>
              <w:rPr>
                <w:sz w:val="21"/>
              </w:rPr>
              <w:t>通道：</w:t>
            </w:r>
            <w:r>
              <w:rPr>
                <w:sz w:val="21"/>
              </w:rPr>
              <w:t>≧</w:t>
            </w:r>
            <w:r>
              <w:rPr>
                <w:sz w:val="21"/>
              </w:rPr>
              <w:t>32</w:t>
            </w:r>
            <w:r>
              <w:rPr>
                <w:sz w:val="21"/>
              </w:rPr>
              <w:t>通道，</w:t>
            </w:r>
            <w:r>
              <w:rPr>
                <w:sz w:val="21"/>
              </w:rPr>
              <w:t>8</w:t>
            </w:r>
            <w:r>
              <w:rPr>
                <w:sz w:val="21"/>
              </w:rPr>
              <w:t>对</w:t>
            </w:r>
            <w:r>
              <w:rPr>
                <w:sz w:val="21"/>
              </w:rPr>
              <w:t>（</w:t>
            </w:r>
            <w:r>
              <w:rPr>
                <w:sz w:val="21"/>
              </w:rPr>
              <w:t>16</w:t>
            </w:r>
            <w:r>
              <w:rPr>
                <w:sz w:val="21"/>
              </w:rPr>
              <w:t>通道）多功能双极通道</w:t>
            </w:r>
            <w:r>
              <w:rPr>
                <w:sz w:val="21"/>
              </w:rPr>
              <w:t>（可任意设置为脑电、肌电、呼吸、</w:t>
            </w:r>
            <w:r>
              <w:rPr>
                <w:sz w:val="21"/>
              </w:rPr>
              <w:t>心电、</w:t>
            </w:r>
            <w:r>
              <w:rPr>
                <w:sz w:val="21"/>
              </w:rPr>
              <w:t>眼电等</w:t>
            </w:r>
            <w:r>
              <w:rPr>
                <w:sz w:val="21"/>
              </w:rPr>
              <w:t>通道</w:t>
            </w:r>
            <w:r>
              <w:rPr>
                <w:sz w:val="21"/>
              </w:rPr>
              <w:t>）</w:t>
            </w:r>
            <w:r>
              <w:rPr>
                <w:sz w:val="21"/>
              </w:rPr>
              <w:t>、</w:t>
            </w:r>
            <w:r>
              <w:rPr>
                <w:sz w:val="21"/>
              </w:rPr>
              <w:t>具备</w:t>
            </w:r>
            <w:r>
              <w:rPr>
                <w:sz w:val="21"/>
              </w:rPr>
              <w:t>1</w:t>
            </w:r>
            <w:r>
              <w:rPr>
                <w:sz w:val="21"/>
              </w:rPr>
              <w:t>个事件信号输入通道</w:t>
            </w:r>
          </w:p>
          <w:p>
            <w:pPr>
              <w:pStyle w:val="null3"/>
              <w:jc w:val="both"/>
            </w:pPr>
            <w:r>
              <w:rPr>
                <w:sz w:val="21"/>
              </w:rPr>
              <w:t>4.</w:t>
            </w:r>
            <w:r>
              <w:rPr>
                <w:sz w:val="21"/>
              </w:rPr>
              <w:t>标准</w:t>
            </w:r>
            <w:r>
              <w:rPr>
                <w:sz w:val="21"/>
              </w:rPr>
              <w:t>VR</w:t>
            </w:r>
            <w:r>
              <w:rPr>
                <w:sz w:val="21"/>
              </w:rPr>
              <w:t>参考电极。</w:t>
            </w:r>
          </w:p>
          <w:p>
            <w:pPr>
              <w:pStyle w:val="null3"/>
              <w:jc w:val="both"/>
            </w:pPr>
            <w:r>
              <w:rPr>
                <w:sz w:val="21"/>
              </w:rPr>
              <w:t>5.</w:t>
            </w:r>
            <w:r>
              <w:rPr>
                <w:sz w:val="21"/>
              </w:rPr>
              <w:t>双重自适应定标系统，随时标定仪器，采集信号准确不失真。（提供检验报告或说明书或注册证附件技术要求或技术白皮书或产品彩页加盖公章）</w:t>
            </w:r>
          </w:p>
          <w:p>
            <w:pPr>
              <w:pStyle w:val="null3"/>
              <w:jc w:val="both"/>
            </w:pPr>
            <w:r>
              <w:rPr>
                <w:sz w:val="21"/>
              </w:rPr>
              <w:t>6.</w:t>
            </w:r>
            <w:r>
              <w:rPr>
                <w:sz w:val="21"/>
              </w:rPr>
              <w:t>可根据不同目的和对象，方便地选择任意组合导联检测。</w:t>
            </w:r>
          </w:p>
          <w:p>
            <w:pPr>
              <w:pStyle w:val="null3"/>
              <w:jc w:val="both"/>
            </w:pPr>
            <w:r>
              <w:rPr>
                <w:sz w:val="21"/>
              </w:rPr>
              <w:t>7.</w:t>
            </w:r>
            <w:r>
              <w:rPr>
                <w:sz w:val="21"/>
              </w:rPr>
              <w:t>≥</w:t>
            </w:r>
            <w:r>
              <w:rPr>
                <w:sz w:val="21"/>
              </w:rPr>
              <w:t>4</w:t>
            </w:r>
            <w:r>
              <w:rPr>
                <w:sz w:val="21"/>
              </w:rPr>
              <w:t>导中线电极设计，在导联切换中实现导联横连、纵联、三角和自由导联。</w:t>
            </w:r>
          </w:p>
          <w:p>
            <w:pPr>
              <w:pStyle w:val="null3"/>
              <w:jc w:val="both"/>
            </w:pPr>
            <w:r>
              <w:rPr>
                <w:sz w:val="21"/>
              </w:rPr>
              <w:t>8.</w:t>
            </w:r>
            <w:r>
              <w:rPr>
                <w:sz w:val="21"/>
              </w:rPr>
              <w:t>含</w:t>
            </w:r>
            <w:r>
              <w:rPr>
                <w:sz w:val="21"/>
              </w:rPr>
              <w:t>2</w:t>
            </w:r>
            <w:r>
              <w:rPr>
                <w:sz w:val="21"/>
              </w:rPr>
              <w:t>导独立的蝶骨电极和八通道生理信号（可根据需要设置为肌电、眼电、心电、呼吸等通道）。</w:t>
            </w:r>
          </w:p>
          <w:p>
            <w:pPr>
              <w:pStyle w:val="null3"/>
              <w:jc w:val="both"/>
            </w:pPr>
            <w:r>
              <w:rPr>
                <w:sz w:val="21"/>
              </w:rPr>
              <w:t>▲</w:t>
            </w:r>
            <w:r>
              <w:rPr>
                <w:sz w:val="21"/>
              </w:rPr>
              <w:t>9.</w:t>
            </w:r>
            <w:r>
              <w:rPr>
                <w:sz w:val="21"/>
              </w:rPr>
              <w:t>可调闪光生理诱发装置：频率范围：</w:t>
            </w:r>
            <w:r>
              <w:rPr>
                <w:sz w:val="21"/>
              </w:rPr>
              <w:t>1Hz-60Hz,</w:t>
            </w:r>
            <w:r>
              <w:rPr>
                <w:sz w:val="21"/>
              </w:rPr>
              <w:t>误差不大于±</w:t>
            </w:r>
            <w:r>
              <w:rPr>
                <w:sz w:val="21"/>
              </w:rPr>
              <w:t>0.5Hz</w:t>
            </w:r>
            <w:r>
              <w:rPr>
                <w:sz w:val="21"/>
              </w:rPr>
              <w:t>；控制方式应包括手动方式（固定频率）和自动方式（递增、递减）。</w:t>
            </w:r>
            <w:r>
              <w:rPr>
                <w:sz w:val="21"/>
              </w:rPr>
              <w:t>（提供检验报告或说明书或注册证附件技术要求或技术白皮书或产品彩页加盖公章）</w:t>
            </w:r>
          </w:p>
          <w:p>
            <w:pPr>
              <w:pStyle w:val="null3"/>
              <w:jc w:val="both"/>
            </w:pPr>
            <w:r>
              <w:rPr>
                <w:sz w:val="21"/>
              </w:rPr>
              <w:t>10.</w:t>
            </w:r>
            <w:r>
              <w:rPr>
                <w:sz w:val="21"/>
              </w:rPr>
              <w:t>不低于</w:t>
            </w:r>
            <w:r>
              <w:rPr>
                <w:sz w:val="21"/>
              </w:rPr>
              <w:t>WIN10</w:t>
            </w:r>
            <w:r>
              <w:rPr>
                <w:sz w:val="21"/>
              </w:rPr>
              <w:t>中英文软件平台。</w:t>
            </w:r>
          </w:p>
          <w:p>
            <w:pPr>
              <w:pStyle w:val="null3"/>
              <w:jc w:val="both"/>
            </w:pPr>
            <w:r>
              <w:rPr>
                <w:sz w:val="21"/>
              </w:rPr>
              <w:t>11.</w:t>
            </w:r>
            <w:r>
              <w:rPr>
                <w:sz w:val="21"/>
              </w:rPr>
              <w:t>≥</w:t>
            </w:r>
            <w:r>
              <w:rPr>
                <w:sz w:val="21"/>
              </w:rPr>
              <w:t>48</w:t>
            </w:r>
            <w:r>
              <w:rPr>
                <w:sz w:val="21"/>
              </w:rPr>
              <w:t>小时连续、长程记录，自定义事件标记等。</w:t>
            </w:r>
          </w:p>
          <w:p>
            <w:pPr>
              <w:pStyle w:val="null3"/>
              <w:jc w:val="both"/>
            </w:pPr>
            <w:r>
              <w:rPr>
                <w:sz w:val="21"/>
              </w:rPr>
              <w:t>12.</w:t>
            </w:r>
            <w:r>
              <w:rPr>
                <w:sz w:val="21"/>
              </w:rPr>
              <w:t>参考电极≥</w:t>
            </w:r>
            <w:r>
              <w:rPr>
                <w:sz w:val="21"/>
              </w:rPr>
              <w:t>2</w:t>
            </w:r>
            <w:r>
              <w:rPr>
                <w:sz w:val="21"/>
              </w:rPr>
              <w:t>种方式自由设定。</w:t>
            </w:r>
          </w:p>
          <w:p>
            <w:pPr>
              <w:pStyle w:val="null3"/>
              <w:jc w:val="both"/>
            </w:pPr>
            <w:r>
              <w:rPr>
                <w:sz w:val="21"/>
              </w:rPr>
              <w:t>13.</w:t>
            </w:r>
            <w:r>
              <w:rPr>
                <w:sz w:val="21"/>
              </w:rPr>
              <w:t>数字导联，实现单导、双导、三角、蝶骨、生物定标等导联任意切换。</w:t>
            </w:r>
          </w:p>
          <w:p>
            <w:pPr>
              <w:pStyle w:val="null3"/>
              <w:jc w:val="both"/>
            </w:pPr>
            <w:r>
              <w:rPr>
                <w:sz w:val="21"/>
              </w:rPr>
              <w:t>14.</w:t>
            </w:r>
            <w:r>
              <w:rPr>
                <w:sz w:val="21"/>
              </w:rPr>
              <w:t xml:space="preserve">具备实时阻抗测试功能。  </w:t>
            </w:r>
          </w:p>
          <w:p>
            <w:pPr>
              <w:pStyle w:val="null3"/>
              <w:jc w:val="both"/>
            </w:pPr>
            <w:r>
              <w:rPr>
                <w:sz w:val="21"/>
              </w:rPr>
              <w:t>15.</w:t>
            </w:r>
            <w:r>
              <w:rPr>
                <w:sz w:val="21"/>
              </w:rPr>
              <w:t>≥</w:t>
            </w:r>
            <w:r>
              <w:rPr>
                <w:sz w:val="21"/>
              </w:rPr>
              <w:t>2</w:t>
            </w:r>
            <w:r>
              <w:rPr>
                <w:sz w:val="21"/>
              </w:rPr>
              <w:t>组时间常数和滤波参数任意组合，显示速度（走纸速度）及灵敏度可调。</w:t>
            </w:r>
          </w:p>
          <w:p>
            <w:pPr>
              <w:pStyle w:val="null3"/>
              <w:jc w:val="both"/>
            </w:pPr>
            <w:r>
              <w:rPr>
                <w:sz w:val="21"/>
              </w:rPr>
              <w:t>16.</w:t>
            </w:r>
            <w:r>
              <w:rPr>
                <w:sz w:val="21"/>
              </w:rPr>
              <w:t>实时压缩谱阵图监测，棘波自动识别报警记录。</w:t>
            </w:r>
          </w:p>
          <w:p>
            <w:pPr>
              <w:pStyle w:val="null3"/>
              <w:jc w:val="both"/>
            </w:pPr>
            <w:r>
              <w:rPr>
                <w:sz w:val="21"/>
              </w:rPr>
              <w:t>17.</w:t>
            </w:r>
            <w:r>
              <w:rPr>
                <w:sz w:val="21"/>
              </w:rPr>
              <w:t>顶视、侧视、棘波等≥</w:t>
            </w:r>
            <w:r>
              <w:rPr>
                <w:sz w:val="21"/>
              </w:rPr>
              <w:t>10</w:t>
            </w:r>
            <w:r>
              <w:rPr>
                <w:sz w:val="21"/>
              </w:rPr>
              <w:t>种二维脑电地形图；三维立体旋转脑电地形图，动态地形图。</w:t>
            </w:r>
          </w:p>
          <w:p>
            <w:pPr>
              <w:pStyle w:val="null3"/>
              <w:jc w:val="both"/>
            </w:pPr>
            <w:r>
              <w:rPr>
                <w:sz w:val="21"/>
              </w:rPr>
              <w:t>18.</w:t>
            </w:r>
            <w:r>
              <w:rPr>
                <w:sz w:val="21"/>
              </w:rPr>
              <w:t>具备回放功能，显示增益和回放速率可调，每一秒的波形可分段。</w:t>
            </w:r>
          </w:p>
          <w:p>
            <w:pPr>
              <w:pStyle w:val="null3"/>
              <w:jc w:val="both"/>
            </w:pPr>
            <w:r>
              <w:rPr>
                <w:sz w:val="21"/>
              </w:rPr>
              <w:t>▲</w:t>
            </w:r>
            <w:r>
              <w:rPr>
                <w:sz w:val="21"/>
              </w:rPr>
              <w:t>19.</w:t>
            </w:r>
            <w:r>
              <w:rPr>
                <w:sz w:val="21"/>
              </w:rPr>
              <w:t>具备正常人参照值系统和≥</w:t>
            </w:r>
            <w:r>
              <w:rPr>
                <w:sz w:val="21"/>
              </w:rPr>
              <w:t>8</w:t>
            </w:r>
            <w:r>
              <w:rPr>
                <w:sz w:val="21"/>
              </w:rPr>
              <w:t>种比值检验便于临床诊断。（请提供软件运行截图加盖公章）</w:t>
            </w:r>
          </w:p>
          <w:p>
            <w:pPr>
              <w:pStyle w:val="null3"/>
              <w:jc w:val="both"/>
            </w:pPr>
            <w:r>
              <w:rPr>
                <w:sz w:val="21"/>
              </w:rPr>
              <w:t>20.</w:t>
            </w:r>
            <w:r>
              <w:rPr>
                <w:sz w:val="21"/>
              </w:rPr>
              <w:t>具备</w:t>
            </w:r>
            <w:r>
              <w:rPr>
                <w:sz w:val="21"/>
              </w:rPr>
              <w:t>爆发抑制分析</w:t>
            </w:r>
            <w:r>
              <w:rPr>
                <w:sz w:val="21"/>
              </w:rPr>
              <w:t>（</w:t>
            </w:r>
            <w:r>
              <w:rPr>
                <w:sz w:val="21"/>
              </w:rPr>
              <w:t>爆发间隔时间</w:t>
            </w:r>
            <w:r>
              <w:rPr>
                <w:sz w:val="21"/>
              </w:rPr>
              <w:t>IBI</w:t>
            </w:r>
            <w:r>
              <w:rPr>
                <w:sz w:val="21"/>
              </w:rPr>
              <w:t>、爆发次数</w:t>
            </w:r>
            <w:r>
              <w:rPr>
                <w:sz w:val="21"/>
              </w:rPr>
              <w:t>/</w:t>
            </w:r>
            <w:r>
              <w:rPr>
                <w:sz w:val="21"/>
              </w:rPr>
              <w:t>分钟、抑制比率</w:t>
            </w:r>
            <w:r>
              <w:rPr>
                <w:sz w:val="21"/>
              </w:rPr>
              <w:t>）、</w:t>
            </w:r>
            <w:r>
              <w:rPr>
                <w:sz w:val="21"/>
              </w:rPr>
              <w:t>睡眠分析</w:t>
            </w:r>
            <w:r>
              <w:rPr>
                <w:sz w:val="21"/>
              </w:rPr>
              <w:t>、</w:t>
            </w:r>
            <w:r>
              <w:rPr>
                <w:sz w:val="21"/>
              </w:rPr>
              <w:t>特殊类型昏迷检测、昏迷过程睡眠事件检测（嗜睡分析）</w:t>
            </w:r>
            <w:r>
              <w:rPr>
                <w:sz w:val="21"/>
              </w:rPr>
              <w:t>。</w:t>
            </w:r>
          </w:p>
          <w:p>
            <w:pPr>
              <w:pStyle w:val="null3"/>
              <w:jc w:val="both"/>
            </w:pPr>
            <w:r>
              <w:rPr>
                <w:sz w:val="21"/>
              </w:rPr>
              <w:t>▲</w:t>
            </w:r>
            <w:r>
              <w:rPr>
                <w:sz w:val="21"/>
              </w:rPr>
              <w:t>21.</w:t>
            </w:r>
            <w:r>
              <w:rPr>
                <w:sz w:val="21"/>
              </w:rPr>
              <w:t>具备显著概率地形图分析功能。</w:t>
            </w:r>
            <w:r>
              <w:rPr>
                <w:sz w:val="21"/>
              </w:rPr>
              <w:t>（提供检验报告或说明书或注册证附件技术要求或技术白皮书或产品彩页加盖公章）</w:t>
            </w:r>
          </w:p>
          <w:p>
            <w:pPr>
              <w:pStyle w:val="null3"/>
              <w:jc w:val="both"/>
            </w:pPr>
            <w:r>
              <w:rPr>
                <w:sz w:val="21"/>
              </w:rPr>
              <w:t>22.</w:t>
            </w:r>
            <w:r>
              <w:rPr>
                <w:sz w:val="21"/>
              </w:rPr>
              <w:t>具备</w:t>
            </w:r>
            <w:r>
              <w:rPr>
                <w:sz w:val="21"/>
              </w:rPr>
              <w:t>事件标记：</w:t>
            </w:r>
            <w:r>
              <w:rPr>
                <w:sz w:val="21"/>
              </w:rPr>
              <w:t>多种</w:t>
            </w:r>
            <w:r>
              <w:rPr>
                <w:sz w:val="21"/>
              </w:rPr>
              <w:t>事件自定义编辑，支持事件跳转</w:t>
            </w:r>
            <w:r>
              <w:rPr>
                <w:sz w:val="21"/>
              </w:rPr>
              <w:t>，</w:t>
            </w:r>
            <w:r>
              <w:rPr>
                <w:sz w:val="21"/>
              </w:rPr>
              <w:t>含手动事件打标器。</w:t>
            </w:r>
          </w:p>
          <w:p>
            <w:pPr>
              <w:pStyle w:val="null3"/>
              <w:jc w:val="both"/>
            </w:pPr>
            <w:r>
              <w:rPr>
                <w:sz w:val="21"/>
              </w:rPr>
              <w:t>▲</w:t>
            </w:r>
            <w:r>
              <w:rPr>
                <w:sz w:val="21"/>
              </w:rPr>
              <w:t>23.</w:t>
            </w:r>
            <w:r>
              <w:rPr>
                <w:sz w:val="21"/>
              </w:rPr>
              <w:t>具有实时量化脑功能自动分析、阶段量化脑功能自动分析报告评估系统，实时脑电</w:t>
            </w:r>
            <w:r>
              <w:rPr>
                <w:sz w:val="21"/>
              </w:rPr>
              <w:t>Synek</w:t>
            </w:r>
            <w:r>
              <w:rPr>
                <w:sz w:val="21"/>
              </w:rPr>
              <w:t>分级量表提示。</w:t>
            </w:r>
            <w:r>
              <w:rPr>
                <w:sz w:val="21"/>
              </w:rPr>
              <w:t>（提供具体软件功能实际病例分析图）</w:t>
            </w:r>
          </w:p>
          <w:p>
            <w:pPr>
              <w:pStyle w:val="null3"/>
              <w:jc w:val="both"/>
            </w:pPr>
            <w:r>
              <w:rPr>
                <w:sz w:val="21"/>
              </w:rPr>
              <w:t>▲</w:t>
            </w:r>
            <w:r>
              <w:rPr>
                <w:sz w:val="21"/>
              </w:rPr>
              <w:t>24.</w:t>
            </w:r>
            <w:r>
              <w:rPr>
                <w:sz w:val="21"/>
              </w:rPr>
              <w:t>具备脑功能状态综合评价（</w:t>
            </w:r>
            <w:r>
              <w:rPr>
                <w:sz w:val="21"/>
              </w:rPr>
              <w:t>BFSI</w:t>
            </w:r>
            <w:r>
              <w:rPr>
                <w:sz w:val="21"/>
              </w:rPr>
              <w:t>），脑功能综合指数分析（</w:t>
            </w:r>
            <w:r>
              <w:rPr>
                <w:sz w:val="21"/>
              </w:rPr>
              <w:t>BDFI</w:t>
            </w:r>
            <w:r>
              <w:rPr>
                <w:sz w:val="21"/>
              </w:rPr>
              <w:t>）、对称指数（</w:t>
            </w:r>
            <w:r>
              <w:rPr>
                <w:sz w:val="21"/>
              </w:rPr>
              <w:t>CSI</w:t>
            </w:r>
            <w:r>
              <w:rPr>
                <w:sz w:val="21"/>
              </w:rPr>
              <w:t>）半球复杂度变异性分析（</w:t>
            </w:r>
            <w:r>
              <w:rPr>
                <w:sz w:val="21"/>
              </w:rPr>
              <w:t>HCTA</w:t>
            </w:r>
            <w:r>
              <w:rPr>
                <w:sz w:val="21"/>
              </w:rPr>
              <w:t>），相对变化分析（</w:t>
            </w:r>
            <w:r>
              <w:rPr>
                <w:sz w:val="21"/>
              </w:rPr>
              <w:t>RTA</w:t>
            </w:r>
            <w:r>
              <w:rPr>
                <w:sz w:val="21"/>
              </w:rPr>
              <w:t>），加权趋势分析（</w:t>
            </w:r>
            <w:r>
              <w:rPr>
                <w:sz w:val="21"/>
              </w:rPr>
              <w:t>WTA</w:t>
            </w:r>
            <w:r>
              <w:rPr>
                <w:sz w:val="21"/>
              </w:rPr>
              <w:t>）。（提供具体每项脑功能分析软件功能病例分析图）</w:t>
            </w:r>
          </w:p>
          <w:p>
            <w:pPr>
              <w:pStyle w:val="null3"/>
              <w:jc w:val="both"/>
            </w:pPr>
            <w:r>
              <w:rPr>
                <w:sz w:val="21"/>
              </w:rPr>
              <w:t>▲</w:t>
            </w:r>
            <w:r>
              <w:rPr>
                <w:sz w:val="21"/>
              </w:rPr>
              <w:t>25.</w:t>
            </w:r>
            <w:r>
              <w:rPr>
                <w:sz w:val="21"/>
              </w:rPr>
              <w:t>具备实时量化脑电（</w:t>
            </w:r>
            <w:r>
              <w:rPr>
                <w:sz w:val="21"/>
              </w:rPr>
              <w:t>QEEG</w:t>
            </w:r>
            <w:r>
              <w:rPr>
                <w:sz w:val="21"/>
              </w:rPr>
              <w:t>）分析：实时振幅整合脑电分析（</w:t>
            </w:r>
            <w:r>
              <w:rPr>
                <w:sz w:val="21"/>
              </w:rPr>
              <w:t>AEEG</w:t>
            </w:r>
            <w:r>
              <w:rPr>
                <w:sz w:val="21"/>
              </w:rPr>
              <w:t>分析）、绝对频带能量、相对频带能量、定量频段比值、功率谱、频谱熵、阿尔法变异性等趋势分析和实时动态能量地形图，自定义包含功率，幅值，功率比</w:t>
            </w:r>
            <w:r>
              <w:rPr>
                <w:sz w:val="21"/>
              </w:rPr>
              <w:t>DTABR</w:t>
            </w:r>
            <w:r>
              <w:rPr>
                <w:sz w:val="21"/>
              </w:rPr>
              <w:t>、</w:t>
            </w:r>
            <w:r>
              <w:rPr>
                <w:sz w:val="21"/>
              </w:rPr>
              <w:t>DAR</w:t>
            </w:r>
            <w:r>
              <w:rPr>
                <w:sz w:val="21"/>
              </w:rPr>
              <w:t>、</w:t>
            </w:r>
            <w:r>
              <w:rPr>
                <w:sz w:val="21"/>
              </w:rPr>
              <w:t>ADR</w:t>
            </w:r>
            <w:r>
              <w:rPr>
                <w:sz w:val="21"/>
              </w:rPr>
              <w:t>、</w:t>
            </w:r>
            <w:r>
              <w:rPr>
                <w:sz w:val="21"/>
              </w:rPr>
              <w:t>ADBR</w:t>
            </w:r>
            <w:r>
              <w:rPr>
                <w:sz w:val="21"/>
              </w:rPr>
              <w:t>、峰值（</w:t>
            </w:r>
            <w:r>
              <w:rPr>
                <w:sz w:val="21"/>
              </w:rPr>
              <w:t>PPF</w:t>
            </w:r>
            <w:r>
              <w:rPr>
                <w:sz w:val="21"/>
              </w:rPr>
              <w:t>）、边值（</w:t>
            </w:r>
            <w:r>
              <w:rPr>
                <w:sz w:val="21"/>
              </w:rPr>
              <w:t>SEF</w:t>
            </w:r>
            <w:r>
              <w:rPr>
                <w:sz w:val="21"/>
              </w:rPr>
              <w:t>）等指数统计与量化比值计算等。</w:t>
            </w:r>
            <w:r>
              <w:rPr>
                <w:sz w:val="21"/>
              </w:rPr>
              <w:t>（提供检验报告或说明书或注册证附件技术要求或技术白皮书或产品彩页加盖公章）</w:t>
            </w:r>
          </w:p>
          <w:p>
            <w:pPr>
              <w:pStyle w:val="null3"/>
              <w:jc w:val="both"/>
            </w:pPr>
            <w:r>
              <w:rPr>
                <w:sz w:val="21"/>
              </w:rPr>
              <w:t>▲</w:t>
            </w:r>
            <w:r>
              <w:rPr>
                <w:sz w:val="21"/>
              </w:rPr>
              <w:t>26.</w:t>
            </w:r>
            <w:r>
              <w:rPr>
                <w:sz w:val="21"/>
              </w:rPr>
              <w:t>具备神经网络脑电</w:t>
            </w:r>
            <w:r>
              <w:rPr>
                <w:sz w:val="21"/>
              </w:rPr>
              <w:t>AI</w:t>
            </w:r>
            <w:r>
              <w:rPr>
                <w:sz w:val="21"/>
              </w:rPr>
              <w:t>自动预警和标注、识别和辅助诊断分析系统，实时对全脑区包含背景、发作性棘尖慢节律、重症、睡眠、伪迹等成份全自动分别用绿色、红色、蓝色、紫色、灰色标记和弹窗提示、声音报警（提供具体软件功能实际病例分析图）</w:t>
            </w:r>
          </w:p>
          <w:p>
            <w:pPr>
              <w:pStyle w:val="null3"/>
              <w:jc w:val="both"/>
            </w:pPr>
            <w:r>
              <w:rPr>
                <w:sz w:val="21"/>
              </w:rPr>
              <w:t>27.</w:t>
            </w:r>
            <w:r>
              <w:rPr>
                <w:sz w:val="21"/>
              </w:rPr>
              <w:t>QEEG</w:t>
            </w:r>
            <w:r>
              <w:rPr>
                <w:sz w:val="21"/>
              </w:rPr>
              <w:t>量化脑电分析结果一键导出和转换，自动生成</w:t>
            </w:r>
            <w:r>
              <w:rPr>
                <w:sz w:val="21"/>
              </w:rPr>
              <w:t>EXCEL</w:t>
            </w:r>
            <w:r>
              <w:rPr>
                <w:sz w:val="21"/>
              </w:rPr>
              <w:t>量化统计表。</w:t>
            </w:r>
          </w:p>
          <w:p>
            <w:pPr>
              <w:pStyle w:val="null3"/>
              <w:jc w:val="both"/>
            </w:pPr>
            <w:r>
              <w:rPr>
                <w:sz w:val="21"/>
              </w:rPr>
              <w:t>28.</w:t>
            </w:r>
            <w:r>
              <w:rPr>
                <w:sz w:val="21"/>
              </w:rPr>
              <w:t>具备</w:t>
            </w:r>
            <w:r>
              <w:rPr>
                <w:sz w:val="21"/>
              </w:rPr>
              <w:t>高清视频组件，组成视频脑电应用。</w:t>
            </w:r>
          </w:p>
          <w:p>
            <w:pPr>
              <w:pStyle w:val="null3"/>
              <w:jc w:val="both"/>
            </w:pPr>
            <w:r>
              <w:rPr>
                <w:sz w:val="21"/>
              </w:rPr>
              <w:t>29.</w:t>
            </w:r>
            <w:r>
              <w:rPr>
                <w:sz w:val="21"/>
              </w:rPr>
              <w:t>具备电子频率标尺，可方便测量任意指定脑电波形基本信息，提供局部放大窗口，更精确的测量脑电波周期、波幅、频率，并可以根据个人的判断任意调整。</w:t>
            </w:r>
          </w:p>
          <w:p>
            <w:pPr>
              <w:pStyle w:val="null3"/>
              <w:jc w:val="both"/>
            </w:pPr>
            <w:r>
              <w:rPr>
                <w:sz w:val="21"/>
              </w:rPr>
              <w:t>30.</w:t>
            </w:r>
            <w:r>
              <w:rPr>
                <w:sz w:val="21"/>
              </w:rPr>
              <w:t>可编辑报告格式：提供脑电地形图、脑电波、文字报告一体化输出。</w:t>
            </w:r>
          </w:p>
          <w:p>
            <w:pPr>
              <w:pStyle w:val="null3"/>
              <w:jc w:val="both"/>
            </w:pPr>
            <w:r>
              <w:rPr>
                <w:sz w:val="21"/>
              </w:rPr>
              <w:t>▲</w:t>
            </w:r>
            <w:r>
              <w:rPr>
                <w:sz w:val="21"/>
              </w:rPr>
              <w:t>31.</w:t>
            </w:r>
            <w:r>
              <w:rPr>
                <w:sz w:val="21"/>
              </w:rPr>
              <w:t>兼容医院现有</w:t>
            </w:r>
            <w:r>
              <w:rPr>
                <w:sz w:val="21"/>
              </w:rPr>
              <w:t>DMS</w:t>
            </w:r>
            <w:r>
              <w:rPr>
                <w:sz w:val="21"/>
              </w:rPr>
              <w:t>电生理网络系统。</w:t>
            </w:r>
            <w:r>
              <w:rPr>
                <w:sz w:val="21"/>
              </w:rPr>
              <w:t>（提供检验报告或说明书或注册证附件技术要求或技术白皮书或产品彩页加盖公章）</w:t>
            </w:r>
          </w:p>
          <w:p>
            <w:pPr>
              <w:pStyle w:val="null3"/>
              <w:jc w:val="both"/>
            </w:pPr>
            <w:r>
              <w:rPr>
                <w:sz w:val="21"/>
              </w:rPr>
              <w:t>32.</w:t>
            </w:r>
            <w:r>
              <w:rPr>
                <w:sz w:val="21"/>
              </w:rPr>
              <w:t>脑电放大器硬件参数：</w:t>
            </w:r>
          </w:p>
          <w:p>
            <w:pPr>
              <w:pStyle w:val="null3"/>
              <w:jc w:val="both"/>
            </w:pPr>
            <w:r>
              <w:rPr>
                <w:sz w:val="21"/>
              </w:rPr>
              <w:t>（</w:t>
            </w:r>
            <w:r>
              <w:rPr>
                <w:sz w:val="21"/>
              </w:rPr>
              <w:t>1</w:t>
            </w:r>
            <w:r>
              <w:rPr>
                <w:sz w:val="21"/>
              </w:rPr>
              <w:t>）电压测量：误差不超过±</w:t>
            </w:r>
            <w:r>
              <w:rPr>
                <w:sz w:val="21"/>
              </w:rPr>
              <w:t>10%</w:t>
            </w:r>
            <w:r>
              <w:rPr>
                <w:sz w:val="21"/>
              </w:rPr>
              <w:t>。</w:t>
            </w:r>
          </w:p>
          <w:p>
            <w:pPr>
              <w:pStyle w:val="null3"/>
              <w:jc w:val="both"/>
            </w:pPr>
            <w:r>
              <w:rPr>
                <w:sz w:val="21"/>
              </w:rPr>
              <w:t>（</w:t>
            </w:r>
            <w:r>
              <w:rPr>
                <w:sz w:val="21"/>
              </w:rPr>
              <w:t>2</w:t>
            </w:r>
            <w:r>
              <w:rPr>
                <w:sz w:val="21"/>
              </w:rPr>
              <w:t>）时间间隔：误差不超过±</w:t>
            </w:r>
            <w:r>
              <w:rPr>
                <w:sz w:val="21"/>
              </w:rPr>
              <w:t>5%</w:t>
            </w:r>
            <w:r>
              <w:rPr>
                <w:sz w:val="21"/>
              </w:rPr>
              <w:t>。</w:t>
            </w:r>
          </w:p>
          <w:p>
            <w:pPr>
              <w:pStyle w:val="null3"/>
              <w:jc w:val="both"/>
            </w:pPr>
            <w:r>
              <w:rPr>
                <w:sz w:val="21"/>
              </w:rPr>
              <w:t>（</w:t>
            </w:r>
            <w:r>
              <w:rPr>
                <w:sz w:val="21"/>
              </w:rPr>
              <w:t>3</w:t>
            </w:r>
            <w:r>
              <w:rPr>
                <w:sz w:val="21"/>
              </w:rPr>
              <w:t>）时间常数：</w:t>
            </w:r>
            <w:r>
              <w:rPr>
                <w:sz w:val="21"/>
              </w:rPr>
              <w:t>0.03s</w:t>
            </w:r>
            <w:r>
              <w:rPr>
                <w:sz w:val="21"/>
              </w:rPr>
              <w:t>～</w:t>
            </w:r>
            <w:r>
              <w:rPr>
                <w:sz w:val="21"/>
              </w:rPr>
              <w:t xml:space="preserve">0.1s </w:t>
            </w:r>
            <w:r>
              <w:rPr>
                <w:sz w:val="21"/>
              </w:rPr>
              <w:t>误差不超过±</w:t>
            </w:r>
            <w:r>
              <w:rPr>
                <w:sz w:val="21"/>
              </w:rPr>
              <w:t>40%</w:t>
            </w:r>
            <w:r>
              <w:rPr>
                <w:sz w:val="21"/>
              </w:rPr>
              <w:t>，大于</w:t>
            </w:r>
            <w:r>
              <w:rPr>
                <w:sz w:val="21"/>
              </w:rPr>
              <w:t xml:space="preserve">0.1s </w:t>
            </w:r>
            <w:r>
              <w:rPr>
                <w:sz w:val="21"/>
              </w:rPr>
              <w:t>误差不超 过±</w:t>
            </w:r>
            <w:r>
              <w:rPr>
                <w:sz w:val="21"/>
              </w:rPr>
              <w:t>20%</w:t>
            </w:r>
            <w:r>
              <w:rPr>
                <w:sz w:val="21"/>
              </w:rPr>
              <w:t>。</w:t>
            </w:r>
          </w:p>
          <w:p>
            <w:pPr>
              <w:pStyle w:val="null3"/>
              <w:jc w:val="both"/>
            </w:pPr>
            <w:r>
              <w:rPr>
                <w:sz w:val="21"/>
              </w:rPr>
              <w:t>▲（</w:t>
            </w:r>
            <w:r>
              <w:rPr>
                <w:sz w:val="21"/>
              </w:rPr>
              <w:t>4</w:t>
            </w:r>
            <w:r>
              <w:rPr>
                <w:sz w:val="21"/>
              </w:rPr>
              <w:t>）幅频特性：</w:t>
            </w:r>
            <w:r>
              <w:rPr>
                <w:sz w:val="21"/>
              </w:rPr>
              <w:t>0.5Hz</w:t>
            </w:r>
            <w:r>
              <w:rPr>
                <w:sz w:val="21"/>
              </w:rPr>
              <w:t>～</w:t>
            </w:r>
            <w:r>
              <w:rPr>
                <w:sz w:val="21"/>
              </w:rPr>
              <w:t xml:space="preserve">150Hz </w:t>
            </w:r>
            <w:r>
              <w:rPr>
                <w:sz w:val="21"/>
              </w:rPr>
              <w:t>偏差不超过＋</w:t>
            </w:r>
            <w:r>
              <w:rPr>
                <w:sz w:val="21"/>
              </w:rPr>
              <w:t>5%</w:t>
            </w:r>
            <w:r>
              <w:rPr>
                <w:sz w:val="21"/>
              </w:rPr>
              <w:t>～－</w:t>
            </w:r>
            <w:r>
              <w:rPr>
                <w:sz w:val="21"/>
              </w:rPr>
              <w:t>10%</w:t>
            </w:r>
            <w:r>
              <w:rPr>
                <w:sz w:val="21"/>
              </w:rPr>
              <w:t>。</w:t>
            </w:r>
            <w:r>
              <w:rPr>
                <w:sz w:val="21"/>
              </w:rPr>
              <w:t>（提供检验报告或说明书或注册证附件技术要求或技术白皮书或产品彩页加盖公章）</w:t>
            </w:r>
          </w:p>
          <w:p>
            <w:pPr>
              <w:pStyle w:val="null3"/>
              <w:jc w:val="both"/>
            </w:pPr>
            <w:r>
              <w:rPr>
                <w:sz w:val="21"/>
              </w:rPr>
              <w:t>（</w:t>
            </w:r>
            <w:r>
              <w:rPr>
                <w:sz w:val="21"/>
              </w:rPr>
              <w:t>5</w:t>
            </w:r>
            <w:r>
              <w:rPr>
                <w:sz w:val="21"/>
              </w:rPr>
              <w:t>）功率谱频率：误差不超过±</w:t>
            </w:r>
            <w:r>
              <w:rPr>
                <w:sz w:val="21"/>
              </w:rPr>
              <w:t>5%</w:t>
            </w:r>
            <w:r>
              <w:rPr>
                <w:sz w:val="21"/>
              </w:rPr>
              <w:t>。</w:t>
            </w:r>
          </w:p>
          <w:p>
            <w:pPr>
              <w:pStyle w:val="null3"/>
              <w:jc w:val="both"/>
            </w:pPr>
            <w:r>
              <w:rPr>
                <w:sz w:val="21"/>
              </w:rPr>
              <w:t>（</w:t>
            </w:r>
            <w:r>
              <w:rPr>
                <w:sz w:val="21"/>
              </w:rPr>
              <w:t>6</w:t>
            </w:r>
            <w:r>
              <w:rPr>
                <w:sz w:val="21"/>
              </w:rPr>
              <w:t>）功率谱幅度：偏差不超过±</w:t>
            </w:r>
            <w:r>
              <w:rPr>
                <w:sz w:val="21"/>
              </w:rPr>
              <w:t>10%</w:t>
            </w:r>
            <w:r>
              <w:rPr>
                <w:sz w:val="21"/>
              </w:rPr>
              <w:t>。</w:t>
            </w:r>
          </w:p>
          <w:p>
            <w:pPr>
              <w:pStyle w:val="null3"/>
              <w:jc w:val="both"/>
            </w:pPr>
            <w:r>
              <w:rPr>
                <w:sz w:val="21"/>
              </w:rPr>
              <w:t>（</w:t>
            </w:r>
            <w:r>
              <w:rPr>
                <w:sz w:val="21"/>
              </w:rPr>
              <w:t>7</w:t>
            </w:r>
            <w:r>
              <w:rPr>
                <w:sz w:val="21"/>
              </w:rPr>
              <w:t>）噪声电平：≦</w:t>
            </w:r>
            <w:r>
              <w:rPr>
                <w:sz w:val="21"/>
              </w:rPr>
              <w:t>1.0</w:t>
            </w:r>
            <w:r>
              <w:rPr>
                <w:sz w:val="21"/>
              </w:rPr>
              <w:t>μ</w:t>
            </w:r>
            <w:r>
              <w:rPr>
                <w:sz w:val="21"/>
              </w:rPr>
              <w:t>v</w:t>
            </w:r>
            <w:r>
              <w:rPr>
                <w:sz w:val="21"/>
              </w:rPr>
              <w:t>（峰</w:t>
            </w:r>
            <w:r>
              <w:rPr>
                <w:sz w:val="21"/>
              </w:rPr>
              <w:t>-</w:t>
            </w:r>
            <w:r>
              <w:rPr>
                <w:sz w:val="21"/>
              </w:rPr>
              <w:t>峰值）。</w:t>
            </w:r>
          </w:p>
          <w:p>
            <w:pPr>
              <w:pStyle w:val="null3"/>
              <w:jc w:val="both"/>
            </w:pPr>
            <w:r>
              <w:rPr>
                <w:sz w:val="21"/>
              </w:rPr>
              <w:t>（</w:t>
            </w:r>
            <w:r>
              <w:rPr>
                <w:sz w:val="21"/>
              </w:rPr>
              <w:t>8</w:t>
            </w:r>
            <w:r>
              <w:rPr>
                <w:sz w:val="21"/>
              </w:rPr>
              <w:t>）共模抑制比：≧</w:t>
            </w:r>
            <w:r>
              <w:rPr>
                <w:sz w:val="21"/>
              </w:rPr>
              <w:t>110dB</w:t>
            </w:r>
            <w:r>
              <w:rPr>
                <w:sz w:val="21"/>
              </w:rPr>
              <w:t>。</w:t>
            </w:r>
          </w:p>
          <w:p>
            <w:pPr>
              <w:pStyle w:val="null3"/>
              <w:jc w:val="both"/>
            </w:pPr>
            <w:r>
              <w:rPr>
                <w:sz w:val="21"/>
              </w:rPr>
              <w:t>▲（</w:t>
            </w:r>
            <w:r>
              <w:rPr>
                <w:sz w:val="21"/>
              </w:rPr>
              <w:t>9</w:t>
            </w:r>
            <w:r>
              <w:rPr>
                <w:sz w:val="21"/>
              </w:rPr>
              <w:t>）耐极化电压：加±</w:t>
            </w:r>
            <w:r>
              <w:rPr>
                <w:sz w:val="21"/>
              </w:rPr>
              <w:t xml:space="preserve">800mV </w:t>
            </w:r>
            <w:r>
              <w:rPr>
                <w:sz w:val="21"/>
              </w:rPr>
              <w:t>的直流极化电压，偏差不超过±</w:t>
            </w:r>
            <w:r>
              <w:rPr>
                <w:sz w:val="21"/>
              </w:rPr>
              <w:t>5%</w:t>
            </w:r>
            <w:r>
              <w:rPr>
                <w:sz w:val="21"/>
              </w:rPr>
              <w:t>。</w:t>
            </w:r>
            <w:r>
              <w:rPr>
                <w:sz w:val="21"/>
              </w:rPr>
              <w:t>（提供检验报告或说明书或注册证附件技术要求或技术白皮书或产品彩页加盖公章）</w:t>
            </w:r>
          </w:p>
          <w:p>
            <w:pPr>
              <w:pStyle w:val="null3"/>
              <w:jc w:val="both"/>
            </w:pPr>
            <w:r>
              <w:rPr>
                <w:sz w:val="21"/>
              </w:rPr>
              <w:t>（</w:t>
            </w:r>
            <w:r>
              <w:rPr>
                <w:sz w:val="21"/>
              </w:rPr>
              <w:t>10</w:t>
            </w:r>
            <w:r>
              <w:rPr>
                <w:sz w:val="21"/>
              </w:rPr>
              <w:t>）输入阻抗：≥</w:t>
            </w:r>
            <w:r>
              <w:rPr>
                <w:sz w:val="21"/>
              </w:rPr>
              <w:t>100M</w:t>
            </w:r>
            <w:r>
              <w:rPr>
                <w:sz w:val="21"/>
              </w:rPr>
              <w:t>Ω（差模）。</w:t>
            </w:r>
          </w:p>
          <w:p>
            <w:pPr>
              <w:pStyle w:val="null3"/>
              <w:jc w:val="both"/>
            </w:pPr>
            <w:r>
              <w:rPr>
                <w:sz w:val="21"/>
              </w:rPr>
              <w:t>（</w:t>
            </w:r>
            <w:r>
              <w:rPr>
                <w:sz w:val="21"/>
              </w:rPr>
              <w:t>11</w:t>
            </w:r>
            <w:r>
              <w:rPr>
                <w:sz w:val="21"/>
              </w:rPr>
              <w:t>）内定标电压测量：</w:t>
            </w:r>
            <w:r>
              <w:rPr>
                <w:sz w:val="21"/>
              </w:rPr>
              <w:t>50uV</w:t>
            </w:r>
            <w:r>
              <w:rPr>
                <w:sz w:val="21"/>
              </w:rPr>
              <w:t>时，误差不超过±</w:t>
            </w:r>
            <w:r>
              <w:rPr>
                <w:sz w:val="21"/>
              </w:rPr>
              <w:t>3%</w:t>
            </w:r>
            <w:r>
              <w:rPr>
                <w:sz w:val="21"/>
              </w:rPr>
              <w:t>。</w:t>
            </w:r>
          </w:p>
          <w:p>
            <w:pPr>
              <w:pStyle w:val="null3"/>
              <w:jc w:val="both"/>
            </w:pPr>
            <w:r>
              <w:rPr>
                <w:sz w:val="21"/>
              </w:rPr>
              <w:t>（</w:t>
            </w:r>
            <w:r>
              <w:rPr>
                <w:sz w:val="21"/>
              </w:rPr>
              <w:t>12</w:t>
            </w:r>
            <w:r>
              <w:rPr>
                <w:sz w:val="21"/>
              </w:rPr>
              <w:t>）高速</w:t>
            </w:r>
            <w:r>
              <w:rPr>
                <w:sz w:val="21"/>
              </w:rPr>
              <w:t>AD</w:t>
            </w:r>
            <w:r>
              <w:rPr>
                <w:sz w:val="21"/>
              </w:rPr>
              <w:t>模数转换：</w:t>
            </w:r>
            <w:r>
              <w:rPr>
                <w:sz w:val="21"/>
              </w:rPr>
              <w:t>24</w:t>
            </w:r>
            <w:r>
              <w:rPr>
                <w:sz w:val="21"/>
              </w:rPr>
              <w:t>位。</w:t>
            </w:r>
          </w:p>
          <w:p>
            <w:pPr>
              <w:pStyle w:val="null3"/>
              <w:jc w:val="both"/>
            </w:pPr>
            <w:r>
              <w:rPr>
                <w:sz w:val="21"/>
              </w:rPr>
              <w:t>（</w:t>
            </w:r>
            <w:r>
              <w:rPr>
                <w:sz w:val="21"/>
              </w:rPr>
              <w:t>13</w:t>
            </w:r>
            <w:r>
              <w:rPr>
                <w:sz w:val="21"/>
              </w:rPr>
              <w:t>）采样率：每通道≥</w:t>
            </w:r>
            <w:r>
              <w:rPr>
                <w:sz w:val="21"/>
              </w:rPr>
              <w:t>1000</w:t>
            </w:r>
            <w:r>
              <w:rPr>
                <w:sz w:val="21"/>
              </w:rPr>
              <w:t>点</w:t>
            </w:r>
            <w:r>
              <w:rPr>
                <w:sz w:val="21"/>
              </w:rPr>
              <w:t>/</w:t>
            </w:r>
            <w:r>
              <w:rPr>
                <w:sz w:val="21"/>
              </w:rPr>
              <w:t>秒。</w:t>
            </w:r>
            <w:r>
              <w:rPr>
                <w:sz w:val="21"/>
              </w:rPr>
              <w:t>（提供</w:t>
            </w:r>
            <w:r>
              <w:rPr>
                <w:sz w:val="21"/>
              </w:rPr>
              <w:t>医疗器械</w:t>
            </w:r>
            <w:r>
              <w:rPr>
                <w:sz w:val="21"/>
              </w:rPr>
              <w:t>注册证附件技术要求加盖公章）</w:t>
            </w:r>
          </w:p>
          <w:p>
            <w:pPr>
              <w:pStyle w:val="null3"/>
              <w:jc w:val="both"/>
            </w:pPr>
            <w:r>
              <w:rPr>
                <w:sz w:val="21"/>
              </w:rPr>
              <w:t>配置要求：</w:t>
            </w:r>
          </w:p>
          <w:p>
            <w:pPr>
              <w:pStyle w:val="null3"/>
              <w:jc w:val="center"/>
            </w:pPr>
            <w:r>
              <w:rPr>
                <w:sz w:val="21"/>
              </w:rPr>
              <w:t>定量数字脑电图仪</w:t>
            </w:r>
          </w:p>
          <w:tbl>
            <w:tblPr>
              <w:tblInd w:type="dxa" w:w="120"/>
              <w:tblBorders>
                <w:top w:val="none" w:color="000000" w:sz="4"/>
                <w:left w:val="none" w:color="000000" w:sz="4"/>
                <w:bottom w:val="none" w:color="000000" w:sz="4"/>
                <w:right w:val="none" w:color="000000" w:sz="4"/>
                <w:insideH w:val="none"/>
                <w:insideV w:val="none"/>
              </w:tblBorders>
            </w:tblPr>
            <w:tblGrid>
              <w:gridCol w:w="444"/>
              <w:gridCol w:w="2350"/>
              <w:gridCol w:w="1037"/>
              <w:gridCol w:w="1767"/>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脑电放大器</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事件打标器</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1副</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闪光刺激器</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高清视频监测组件</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视频脑电分析软件包</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报告打印系统</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移动台车</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附件</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电极、电极线、电极帽等</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耳鼻喉综合动力系统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w:t>
            </w:r>
            <w:r>
              <w:rPr>
                <w:sz w:val="21"/>
              </w:rPr>
              <w:t>所投设备须具备医疗器械注册证，提供复印件加盖公章。</w:t>
            </w:r>
          </w:p>
          <w:p>
            <w:pPr>
              <w:pStyle w:val="null3"/>
              <w:jc w:val="both"/>
            </w:pPr>
            <w:r>
              <w:rPr>
                <w:sz w:val="21"/>
              </w:rPr>
              <w:t>1</w:t>
            </w:r>
            <w:r>
              <w:rPr>
                <w:sz w:val="21"/>
              </w:rPr>
              <w:t>．主机部分</w:t>
            </w:r>
          </w:p>
          <w:p>
            <w:pPr>
              <w:pStyle w:val="null3"/>
              <w:jc w:val="both"/>
            </w:pPr>
            <w:r>
              <w:rPr>
                <w:sz w:val="21"/>
              </w:rPr>
              <w:t>1</w:t>
            </w:r>
            <w:r>
              <w:rPr>
                <w:sz w:val="21"/>
              </w:rPr>
              <w:t xml:space="preserve">）电源：输入 </w:t>
            </w:r>
            <w:r>
              <w:rPr>
                <w:sz w:val="21"/>
              </w:rPr>
              <w:t xml:space="preserve">100-240VAC,50-60HZ   </w:t>
            </w:r>
          </w:p>
          <w:p>
            <w:pPr>
              <w:pStyle w:val="null3"/>
              <w:jc w:val="both"/>
            </w:pPr>
            <w:r>
              <w:rPr>
                <w:sz w:val="21"/>
              </w:rPr>
              <w:t>2</w:t>
            </w:r>
            <w:r>
              <w:rPr>
                <w:sz w:val="21"/>
              </w:rPr>
              <w:t>）重量：≤</w:t>
            </w:r>
            <w:r>
              <w:rPr>
                <w:sz w:val="21"/>
              </w:rPr>
              <w:t>7.5KG</w:t>
            </w:r>
          </w:p>
          <w:p>
            <w:pPr>
              <w:pStyle w:val="null3"/>
              <w:jc w:val="both"/>
            </w:pPr>
            <w:r>
              <w:rPr>
                <w:sz w:val="21"/>
              </w:rPr>
              <w:t>3</w:t>
            </w:r>
            <w:r>
              <w:rPr>
                <w:sz w:val="21"/>
              </w:rPr>
              <w:t>）可升级操作系统：可通过小型闪存卡升级软件。</w:t>
            </w:r>
          </w:p>
          <w:p>
            <w:pPr>
              <w:pStyle w:val="null3"/>
              <w:jc w:val="both"/>
            </w:pPr>
            <w:r>
              <w:rPr>
                <w:sz w:val="21"/>
              </w:rPr>
              <w:t>4</w:t>
            </w:r>
            <w:r>
              <w:rPr>
                <w:sz w:val="21"/>
              </w:rPr>
              <w:t>）显示屏</w:t>
            </w:r>
            <w:r>
              <w:rPr>
                <w:sz w:val="21"/>
              </w:rPr>
              <w:t>/</w:t>
            </w:r>
            <w:r>
              <w:rPr>
                <w:sz w:val="21"/>
              </w:rPr>
              <w:t>触摸屏：尺寸对角线≥</w:t>
            </w:r>
            <w:r>
              <w:rPr>
                <w:sz w:val="21"/>
              </w:rPr>
              <w:t>7.5</w:t>
            </w:r>
            <w:r>
              <w:rPr>
                <w:sz w:val="21"/>
              </w:rPr>
              <w:t>英寸，分辨率≥</w:t>
            </w:r>
            <w:r>
              <w:rPr>
                <w:sz w:val="21"/>
              </w:rPr>
              <w:t>480</w:t>
            </w:r>
            <w:r>
              <w:rPr>
                <w:sz w:val="21"/>
              </w:rPr>
              <w:t>×</w:t>
            </w:r>
            <w:r>
              <w:rPr>
                <w:sz w:val="21"/>
              </w:rPr>
              <w:t>640</w:t>
            </w:r>
            <w:r>
              <w:rPr>
                <w:sz w:val="21"/>
              </w:rPr>
              <w:t>象素。</w:t>
            </w:r>
          </w:p>
          <w:p>
            <w:pPr>
              <w:pStyle w:val="null3"/>
              <w:jc w:val="both"/>
            </w:pPr>
            <w:r>
              <w:rPr>
                <w:sz w:val="21"/>
              </w:rPr>
              <w:t>5</w:t>
            </w:r>
            <w:r>
              <w:rPr>
                <w:sz w:val="21"/>
              </w:rPr>
              <w:t>）▲触摸屏：显示转速、转向（顺、逆时针旋转）、刀头开口角度、手柄连接状态、注水量等，可查询不同类型手术的数据参数，具有帮助菜单。</w:t>
            </w:r>
            <w:r>
              <w:rPr>
                <w:sz w:val="21"/>
              </w:rPr>
              <w:t>（提供检验报告或说明书或注册证附件技术要求或技术白皮书或产品彩页加盖公章）</w:t>
            </w:r>
          </w:p>
          <w:p>
            <w:pPr>
              <w:pStyle w:val="null3"/>
              <w:jc w:val="both"/>
            </w:pPr>
            <w:r>
              <w:rPr>
                <w:sz w:val="21"/>
              </w:rPr>
              <w:t>6</w:t>
            </w:r>
            <w:r>
              <w:rPr>
                <w:sz w:val="21"/>
              </w:rPr>
              <w:t>）可分别连接鼻咽喉吸切器、高速水冷却耳钻和显微耳钻、高速电钻等。</w:t>
            </w:r>
          </w:p>
          <w:p>
            <w:pPr>
              <w:pStyle w:val="null3"/>
              <w:jc w:val="both"/>
            </w:pPr>
            <w:r>
              <w:rPr>
                <w:sz w:val="21"/>
              </w:rPr>
              <w:t>7</w:t>
            </w:r>
            <w:r>
              <w:rPr>
                <w:sz w:val="21"/>
              </w:rPr>
              <w:t>）▲多功能脚踏：包括但不限于控制马达开停、转动方向、手柄切换、刀头开口角度。</w:t>
            </w:r>
            <w:r>
              <w:rPr>
                <w:sz w:val="21"/>
              </w:rPr>
              <w:t>（提供检验报告或说明书或注册证附件技术要求或技术白皮书或产品彩页加盖公章）</w:t>
            </w:r>
          </w:p>
          <w:p>
            <w:pPr>
              <w:pStyle w:val="null3"/>
              <w:jc w:val="both"/>
            </w:pPr>
            <w:r>
              <w:rPr>
                <w:sz w:val="21"/>
              </w:rPr>
              <w:t>8</w:t>
            </w:r>
            <w:r>
              <w:rPr>
                <w:sz w:val="21"/>
              </w:rPr>
              <w:t>）手柄自动识别及安装帮助：能自动识别手柄的种类，并</w:t>
            </w:r>
            <w:r>
              <w:rPr>
                <w:sz w:val="21"/>
              </w:rPr>
              <w:t>且在</w:t>
            </w:r>
            <w:r>
              <w:rPr>
                <w:sz w:val="21"/>
              </w:rPr>
              <w:t>屏幕显示操作方法。</w:t>
            </w:r>
          </w:p>
          <w:p>
            <w:pPr>
              <w:pStyle w:val="null3"/>
              <w:jc w:val="both"/>
            </w:pPr>
            <w:r>
              <w:rPr>
                <w:sz w:val="21"/>
              </w:rPr>
              <w:t>9</w:t>
            </w:r>
            <w:r>
              <w:rPr>
                <w:sz w:val="21"/>
              </w:rPr>
              <w:t>）故障自检系统，并通过故障代码显示故障原因。</w:t>
            </w:r>
          </w:p>
          <w:p>
            <w:pPr>
              <w:pStyle w:val="null3"/>
              <w:jc w:val="both"/>
            </w:pPr>
            <w:r>
              <w:rPr>
                <w:sz w:val="21"/>
              </w:rPr>
              <w:t>10</w:t>
            </w:r>
            <w:r>
              <w:rPr>
                <w:sz w:val="21"/>
              </w:rPr>
              <w:t>）手术模式设定：手术模式选择，使用者可自由控制程序。</w:t>
            </w:r>
          </w:p>
          <w:p>
            <w:pPr>
              <w:pStyle w:val="null3"/>
              <w:jc w:val="both"/>
            </w:pPr>
            <w:r>
              <w:rPr>
                <w:sz w:val="21"/>
              </w:rPr>
              <w:t>11</w:t>
            </w:r>
            <w:r>
              <w:rPr>
                <w:sz w:val="21"/>
              </w:rPr>
              <w:t>）注水泵：内置式，≥</w:t>
            </w:r>
            <w:r>
              <w:rPr>
                <w:sz w:val="21"/>
              </w:rPr>
              <w:t>10</w:t>
            </w:r>
            <w:r>
              <w:rPr>
                <w:sz w:val="21"/>
              </w:rPr>
              <w:t>挡水量控制可调，由主机脚踏开关控制同步冲水，防止手术区过热。</w:t>
            </w:r>
          </w:p>
          <w:p>
            <w:pPr>
              <w:pStyle w:val="null3"/>
              <w:jc w:val="both"/>
            </w:pPr>
            <w:r>
              <w:rPr>
                <w:sz w:val="21"/>
              </w:rPr>
              <w:t>12</w:t>
            </w:r>
            <w:r>
              <w:rPr>
                <w:sz w:val="21"/>
              </w:rPr>
              <w:t>）自由选择注水量：</w:t>
            </w:r>
            <w:r>
              <w:rPr>
                <w:sz w:val="21"/>
              </w:rPr>
              <w:t>0.5ml/</w:t>
            </w:r>
            <w:r>
              <w:rPr>
                <w:sz w:val="21"/>
              </w:rPr>
              <w:t>分 –</w:t>
            </w:r>
            <w:r>
              <w:rPr>
                <w:sz w:val="21"/>
              </w:rPr>
              <w:t>100ml/</w:t>
            </w:r>
            <w:r>
              <w:rPr>
                <w:sz w:val="21"/>
              </w:rPr>
              <w:t>分。</w:t>
            </w:r>
          </w:p>
          <w:p>
            <w:pPr>
              <w:pStyle w:val="null3"/>
              <w:jc w:val="both"/>
            </w:pPr>
            <w:r>
              <w:rPr>
                <w:sz w:val="21"/>
              </w:rPr>
              <w:t>13</w:t>
            </w:r>
            <w:r>
              <w:rPr>
                <w:sz w:val="21"/>
              </w:rPr>
              <w:t>）冷却泵：用水冷式冷却手柄。</w:t>
            </w:r>
          </w:p>
          <w:p>
            <w:pPr>
              <w:pStyle w:val="null3"/>
              <w:jc w:val="both"/>
            </w:pPr>
            <w:r>
              <w:rPr>
                <w:sz w:val="21"/>
              </w:rPr>
              <w:t>14</w:t>
            </w:r>
            <w:r>
              <w:rPr>
                <w:sz w:val="21"/>
              </w:rPr>
              <w:t>）▲内窥镜冲洗系统功能：可进行内窥镜冲洗，保持手术良好视野。</w:t>
            </w:r>
            <w:r>
              <w:rPr>
                <w:sz w:val="21"/>
              </w:rPr>
              <w:t>（提供检验报告或说明书或注册证附件技术要求或技术白皮书或产品彩页加盖公章）</w:t>
            </w:r>
          </w:p>
          <w:p>
            <w:pPr>
              <w:pStyle w:val="null3"/>
              <w:jc w:val="both"/>
            </w:pPr>
            <w:r>
              <w:rPr>
                <w:sz w:val="21"/>
              </w:rPr>
              <w:t>2</w:t>
            </w:r>
            <w:r>
              <w:rPr>
                <w:sz w:val="21"/>
              </w:rPr>
              <w:t>．鼻咽喉吸切手柄：</w:t>
            </w:r>
          </w:p>
          <w:p>
            <w:pPr>
              <w:pStyle w:val="null3"/>
              <w:jc w:val="both"/>
            </w:pPr>
            <w:r>
              <w:rPr>
                <w:sz w:val="21"/>
              </w:rPr>
              <w:t>1</w:t>
            </w:r>
            <w:r>
              <w:rPr>
                <w:sz w:val="21"/>
              </w:rPr>
              <w:t>）转速：往复最大转速≥</w:t>
            </w:r>
            <w:r>
              <w:rPr>
                <w:sz w:val="21"/>
              </w:rPr>
              <w:t>5000RPM</w:t>
            </w:r>
            <w:r>
              <w:rPr>
                <w:sz w:val="21"/>
              </w:rPr>
              <w:t>，连接鼻科钻头时单向最大转速≥</w:t>
            </w:r>
            <w:r>
              <w:rPr>
                <w:sz w:val="21"/>
              </w:rPr>
              <w:t>12000RPM</w:t>
            </w:r>
            <w:r>
              <w:rPr>
                <w:sz w:val="21"/>
              </w:rPr>
              <w:t>；最低转速≤</w:t>
            </w:r>
            <w:r>
              <w:rPr>
                <w:sz w:val="21"/>
              </w:rPr>
              <w:t>60PRM</w:t>
            </w:r>
            <w:r>
              <w:rPr>
                <w:sz w:val="21"/>
              </w:rPr>
              <w:t>；扭矩≥</w:t>
            </w:r>
            <w:r>
              <w:rPr>
                <w:sz w:val="21"/>
              </w:rPr>
              <w:t xml:space="preserve">90mN/m </w:t>
            </w:r>
            <w:r>
              <w:rPr>
                <w:sz w:val="21"/>
              </w:rPr>
              <w:t>；可用脚踏开关随意控制转速。</w:t>
            </w:r>
          </w:p>
          <w:p>
            <w:pPr>
              <w:pStyle w:val="null3"/>
              <w:jc w:val="both"/>
            </w:pPr>
            <w:r>
              <w:rPr>
                <w:sz w:val="21"/>
              </w:rPr>
              <w:t>2</w:t>
            </w:r>
            <w:r>
              <w:rPr>
                <w:sz w:val="21"/>
              </w:rPr>
              <w:t>）直排式设计：从刀头到吸引排出口为直排式吸引，切割、排出为一直线。</w:t>
            </w:r>
          </w:p>
          <w:p>
            <w:pPr>
              <w:pStyle w:val="null3"/>
              <w:jc w:val="both"/>
            </w:pPr>
            <w:r>
              <w:rPr>
                <w:sz w:val="21"/>
              </w:rPr>
              <w:t>3</w:t>
            </w:r>
            <w:r>
              <w:rPr>
                <w:sz w:val="21"/>
              </w:rPr>
              <w:t>）握笔式设计，可自由改变方向和方位。</w:t>
            </w:r>
          </w:p>
          <w:p>
            <w:pPr>
              <w:pStyle w:val="null3"/>
              <w:jc w:val="both"/>
            </w:pPr>
            <w:r>
              <w:rPr>
                <w:sz w:val="21"/>
              </w:rPr>
              <w:t>4</w:t>
            </w:r>
            <w:r>
              <w:rPr>
                <w:sz w:val="21"/>
              </w:rPr>
              <w:t>）手柄同电缆可用高温高压及熏蒸的方式消毒。</w:t>
            </w:r>
          </w:p>
          <w:p>
            <w:pPr>
              <w:pStyle w:val="null3"/>
              <w:jc w:val="both"/>
            </w:pPr>
            <w:r>
              <w:rPr>
                <w:sz w:val="21"/>
              </w:rPr>
              <w:t>5</w:t>
            </w:r>
            <w:r>
              <w:rPr>
                <w:sz w:val="21"/>
              </w:rPr>
              <w:t>）手柄上的转盘可以控制刀头</w:t>
            </w:r>
            <w:r>
              <w:rPr>
                <w:sz w:val="21"/>
              </w:rPr>
              <w:t>360</w:t>
            </w:r>
            <w:r>
              <w:rPr>
                <w:sz w:val="21"/>
              </w:rPr>
              <w:t>度旋转。</w:t>
            </w:r>
          </w:p>
          <w:p>
            <w:pPr>
              <w:pStyle w:val="null3"/>
              <w:jc w:val="both"/>
            </w:pPr>
            <w:r>
              <w:rPr>
                <w:sz w:val="21"/>
              </w:rPr>
              <w:t>6</w:t>
            </w:r>
            <w:r>
              <w:rPr>
                <w:sz w:val="21"/>
              </w:rPr>
              <w:t>）手柄两侧有为固定注水管而设计的凹槽。</w:t>
            </w:r>
          </w:p>
          <w:p>
            <w:pPr>
              <w:pStyle w:val="null3"/>
              <w:jc w:val="both"/>
            </w:pPr>
            <w:r>
              <w:rPr>
                <w:sz w:val="21"/>
              </w:rPr>
              <w:t>7</w:t>
            </w:r>
            <w:r>
              <w:rPr>
                <w:sz w:val="21"/>
              </w:rPr>
              <w:t>）手柄颏部有刀头旋转锁定装置。</w:t>
            </w:r>
          </w:p>
          <w:p>
            <w:pPr>
              <w:pStyle w:val="null3"/>
              <w:jc w:val="both"/>
            </w:pPr>
            <w:r>
              <w:rPr>
                <w:sz w:val="21"/>
              </w:rPr>
              <w:t>3</w:t>
            </w:r>
            <w:r>
              <w:rPr>
                <w:sz w:val="21"/>
              </w:rPr>
              <w:t>．耳科手柄</w:t>
            </w:r>
          </w:p>
          <w:p>
            <w:pPr>
              <w:pStyle w:val="null3"/>
              <w:jc w:val="both"/>
            </w:pPr>
            <w:r>
              <w:rPr>
                <w:sz w:val="21"/>
              </w:rPr>
              <w:t>1)</w:t>
            </w:r>
            <w:r>
              <w:rPr>
                <w:sz w:val="21"/>
              </w:rPr>
              <w:t>可调转速范围为</w:t>
            </w:r>
            <w:r>
              <w:rPr>
                <w:sz w:val="21"/>
              </w:rPr>
              <w:t>200~60000</w:t>
            </w:r>
            <w:r>
              <w:rPr>
                <w:sz w:val="21"/>
              </w:rPr>
              <w:t xml:space="preserve">转／分钟；具有很高的转动同心性：最小的震动    。                                   </w:t>
            </w:r>
          </w:p>
          <w:p>
            <w:pPr>
              <w:pStyle w:val="null3"/>
              <w:jc w:val="both"/>
            </w:pPr>
            <w:r>
              <w:rPr>
                <w:sz w:val="21"/>
              </w:rPr>
              <w:t>2)</w:t>
            </w:r>
            <w:r>
              <w:rPr>
                <w:sz w:val="21"/>
              </w:rPr>
              <w:t>钻头锁扣装置：可转换钻头。</w:t>
            </w:r>
          </w:p>
          <w:p>
            <w:pPr>
              <w:pStyle w:val="null3"/>
              <w:jc w:val="both"/>
            </w:pPr>
            <w:r>
              <w:rPr>
                <w:sz w:val="21"/>
              </w:rPr>
              <w:t>3)</w:t>
            </w:r>
            <w:r>
              <w:rPr>
                <w:sz w:val="21"/>
              </w:rPr>
              <w:t>可装配直附件和弯附件。</w:t>
            </w:r>
          </w:p>
          <w:p>
            <w:pPr>
              <w:pStyle w:val="null3"/>
              <w:jc w:val="both"/>
            </w:pPr>
            <w:r>
              <w:rPr>
                <w:sz w:val="21"/>
              </w:rPr>
              <w:t>4</w:t>
            </w:r>
            <w:r>
              <w:rPr>
                <w:sz w:val="21"/>
              </w:rPr>
              <w:t>．鼻科、喉科刀头、钻头：</w:t>
            </w:r>
          </w:p>
          <w:p>
            <w:pPr>
              <w:pStyle w:val="null3"/>
              <w:jc w:val="both"/>
            </w:pPr>
            <w:r>
              <w:rPr>
                <w:sz w:val="21"/>
              </w:rPr>
              <w:t>1)</w:t>
            </w:r>
            <w:r>
              <w:rPr>
                <w:sz w:val="21"/>
              </w:rPr>
              <w:t>钻头刀头可以注水和吸引</w:t>
            </w:r>
          </w:p>
          <w:p>
            <w:pPr>
              <w:pStyle w:val="null3"/>
              <w:jc w:val="both"/>
            </w:pPr>
            <w:r>
              <w:rPr>
                <w:sz w:val="21"/>
              </w:rPr>
              <w:t>0</w:t>
            </w:r>
            <w:r>
              <w:rPr>
                <w:sz w:val="21"/>
              </w:rPr>
              <w:t>°刀头</w:t>
            </w:r>
            <w:r>
              <w:rPr>
                <w:sz w:val="21"/>
              </w:rPr>
              <w:t xml:space="preserve">: </w:t>
            </w:r>
            <w:r>
              <w:rPr>
                <w:sz w:val="21"/>
              </w:rPr>
              <w:t>长度≥</w:t>
            </w:r>
            <w:r>
              <w:rPr>
                <w:sz w:val="21"/>
              </w:rPr>
              <w:t>11cm</w:t>
            </w:r>
            <w:r>
              <w:rPr>
                <w:sz w:val="21"/>
              </w:rPr>
              <w:t>能切除鼻息肉及筛房。</w:t>
            </w:r>
          </w:p>
          <w:p>
            <w:pPr>
              <w:pStyle w:val="null3"/>
              <w:jc w:val="both"/>
            </w:pPr>
            <w:r>
              <w:rPr>
                <w:sz w:val="21"/>
              </w:rPr>
              <w:t>40</w:t>
            </w:r>
            <w:r>
              <w:rPr>
                <w:sz w:val="21"/>
              </w:rPr>
              <w:t>°刀头：长度≥</w:t>
            </w:r>
            <w:r>
              <w:rPr>
                <w:sz w:val="21"/>
              </w:rPr>
              <w:t>11cm</w:t>
            </w:r>
            <w:r>
              <w:rPr>
                <w:sz w:val="21"/>
              </w:rPr>
              <w:t>能切除</w:t>
            </w:r>
            <w:r>
              <w:rPr>
                <w:sz w:val="21"/>
              </w:rPr>
              <w:t>上颌</w:t>
            </w:r>
            <w:r>
              <w:rPr>
                <w:sz w:val="21"/>
              </w:rPr>
              <w:t>窦口组织。用于处理上颌窦窦口的病变。</w:t>
            </w:r>
          </w:p>
          <w:p>
            <w:pPr>
              <w:pStyle w:val="null3"/>
              <w:jc w:val="both"/>
            </w:pPr>
            <w:r>
              <w:rPr>
                <w:sz w:val="21"/>
              </w:rPr>
              <w:t>60</w:t>
            </w:r>
            <w:r>
              <w:rPr>
                <w:sz w:val="21"/>
              </w:rPr>
              <w:t>°刀头：长度≥</w:t>
            </w:r>
            <w:r>
              <w:rPr>
                <w:sz w:val="21"/>
              </w:rPr>
              <w:t>11cm</w:t>
            </w:r>
            <w:r>
              <w:rPr>
                <w:sz w:val="21"/>
              </w:rPr>
              <w:t>能切除</w:t>
            </w:r>
            <w:r>
              <w:rPr>
                <w:sz w:val="21"/>
              </w:rPr>
              <w:t>上颌</w:t>
            </w:r>
            <w:r>
              <w:rPr>
                <w:sz w:val="21"/>
              </w:rPr>
              <w:t>窦口组织，可进入上颌窦内，主要用于处理上颌窦底壁和前壁的病变。</w:t>
            </w:r>
          </w:p>
          <w:p>
            <w:pPr>
              <w:pStyle w:val="null3"/>
              <w:jc w:val="both"/>
            </w:pPr>
            <w:r>
              <w:rPr>
                <w:sz w:val="21"/>
              </w:rPr>
              <w:t>配置要求：</w:t>
            </w:r>
          </w:p>
          <w:p>
            <w:pPr>
              <w:pStyle w:val="null3"/>
              <w:jc w:val="center"/>
            </w:pPr>
            <w:r>
              <w:rPr>
                <w:sz w:val="21"/>
              </w:rPr>
              <w:t>耳鼻喉综合动力系统</w:t>
            </w:r>
          </w:p>
          <w:tbl>
            <w:tblPr>
              <w:tblInd w:type="dxa" w:w="120"/>
              <w:tblBorders>
                <w:top w:val="none" w:color="000000" w:sz="4"/>
                <w:left w:val="none" w:color="000000" w:sz="4"/>
                <w:bottom w:val="none" w:color="000000" w:sz="4"/>
                <w:right w:val="none" w:color="000000" w:sz="4"/>
                <w:insideH w:val="none"/>
                <w:insideV w:val="none"/>
              </w:tblBorders>
            </w:tblPr>
            <w:tblGrid>
              <w:gridCol w:w="444"/>
              <w:gridCol w:w="2350"/>
              <w:gridCol w:w="1402"/>
              <w:gridCol w:w="1402"/>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多功能脚踏</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鼻科手柄</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耳科手柄</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直型附件</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角度附件</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0°刀头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40°刀头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60°刀头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腺样体刀头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1mm切割钻头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2mm切割钻头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3mm切割钻头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4mm切割钻头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5mm切割钻头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6mm切割钻头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1mm磨钻头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2mm磨钻头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3mm磨钻头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4mm磨钻头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5mm磨钻头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0.5mm弯钻头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1.0mm弯钻头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2.0mm弯钻头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r>
                    <w:rPr>
                      <w:sz w:val="21"/>
                    </w:rPr>
                    <w:t>mm颅底磨钻头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金刚钻头、细金砂</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mm颅底磨钻头</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金刚钻头、细金砂</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以中标通知书中的中标金额作为采购代理服务费的计算基数。参照计价格[2002]1980号文和发改价格[2011]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医疗设备采购项目（25-7）)：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采购包1（阳江市人民医院医疗设备采购项目（25-7））：</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采购包1（阳江市人民医院医疗设备采购项目（25-7））：</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ind w:firstLine="480"/>
      </w:pPr>
      <w:r>
        <w:rPr/>
        <w:t>表二符合性审查表：</w:t>
      </w:r>
    </w:p>
    <w:p>
      <w:pPr>
        <w:pStyle w:val="null3"/>
      </w:pPr>
      <w:r>
        <w:rPr/>
        <w:t>采购包1（阳江市人民医院医疗设备采购项目（25-7））：</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采购包1(阳江市人民医院医疗设备采购项目（25-7）):</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(13.0分)</w:t>
            </w:r>
          </w:p>
        </w:tc>
        <w:tc>
          <w:tcPr>
            <w:tcW w:type="dxa" w:w="5076"/>
          </w:tcPr>
          <w:p>
            <w:pPr>
              <w:pStyle w:val="null3"/>
              <w:jc w:val="left"/>
            </w:pPr>
            <w:r>
              <w:rPr/>
              <w:t>重要技术条款的响应情况根据各投标人所投产品对《第二章采购需求》“具体技术(参数)要求”中标注“▲”的重要技术参数的响应情况进行评审（共13项，最高得13分）： 标注“▲”的重要技术参数完全满足或优于的，得13分，每有1项负偏离或不完全满足的扣1分，最低得0分。 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(28.0分)</w:t>
            </w:r>
          </w:p>
        </w:tc>
        <w:tc>
          <w:tcPr>
            <w:tcW w:type="dxa" w:w="5076"/>
          </w:tcPr>
          <w:p>
            <w:pPr>
              <w:pStyle w:val="null3"/>
              <w:jc w:val="left"/>
            </w:pPr>
            <w:r>
              <w:rPr/>
              <w:t>一般技术条款的响应情况：根据各投标人所投产品对《第二章采购需求》“具体技术(参数)要求”中未标注“▲”的一般技术参数的响应情况进行评审（共56项，最高得28分）：一般技术参数条款完全满足或优于的，得28分；每有1项负偏离或不完全满足的扣0.5分，最低得0分。 注：对采购需求“具体技术(参数)要求”中未标注“▲”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投标人根据采购需求要求提供的项目实施方案（包括但不限于到货计划、项目实施计划、项目运输保障、安装调试等方面）进行评审： 1、投标人提供的项目实施方案完整，包含以上全部内容，方案整体内容优于项目需求得7分； 2、投标人提供的项目实施方案完整，包含以上全部内容，方案整体内容满足项目需求的得4分； 3、投标人提供的项目实施方案有缺漏，没有完全包含以上全部内容，方案整体内容部分满足项目采购需求的得2分； 4、投标人提供的项目实施方案有缺漏，没有完全包含以上全部内容，方案整体内容不满足项目采购需求的得1分；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质量保障措施方案 (6.0分)</w:t>
            </w:r>
          </w:p>
        </w:tc>
        <w:tc>
          <w:tcPr>
            <w:tcW w:type="dxa" w:w="5076"/>
          </w:tcPr>
          <w:p>
            <w:pPr>
              <w:pStyle w:val="null3"/>
              <w:jc w:val="left"/>
            </w:pPr>
            <w:r>
              <w:rPr/>
              <w:t>投标人根据采购需求要求中“质量保障措施方案要求”提供的质量保障措施及方案（包括但不限于货物来源、货物质量控制、货物稳定性等方面）进行评审： 1、投标人提供的质量保障措施方案完整，包含以上全部内容，方案整体内容优于项目需求得6分； 2、投标人提供的质量保障措施方案完整，包含以上全部内容，方案整体内容满足项目需求的得4分； 3、投标人提供的质量保障措施方案有缺漏，没有完全包含以上全部内容，方案整体内容部分满足项目采购需求的得2分； 4、投标人提供的质量保障措施方案有缺漏，没有完全包含以上全部内容，方案整体内容不满足项目采购需求的得1分；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投标人根据采购需求中“培训要求”所提供的培训方案（包括但不限于设备操作规程、安全知识培训、应急处理培训、保养维护培训等内容）进行评审： 1、投标人提供的培训方案完整，包含采购需求中“培训要求”全部内容，方案整体内容优于项目需求得6分； 2、投标人提供的培训方案完整，包含采购需求中“培训要求”全部内容，方案整体内容满足项目需求的得4分； 3、投标人提供的培训方案有缺漏，没有完全包含采购需求中“培训要求”全部内容，方案整体内容部分满足项目采购需求的得2分； 4、投标人提供的培训方案有缺漏，没有完全包含采购需求中“培训要求”全部内容，方案整体内容不满足项目采购需求的得1分；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投标产品2023年1月1日至今（以合同签订时间为准）同类项目业绩情况(与投标人投标货物一项或多项同品牌同型号的业绩，供货方不限于投标人本身)，每提供一个得2分，本项最高得4分。 注：须提供合同关键页（合同关键页必须有用户单位名称、合同项目名称、合同标的主要采购内容、签订合同双方的落款盖章、合同签订日期等）扫描件加盖公章，同一项目业绩仅计算一次得分，不提供或无法认定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投标人根据采购需求中“产品及售后服务”所提供的售后服务方案进行评审： 1、投标人提供的售后服务方案完整，包含采购需求中“产品及售后服务”全部内容，方案整体内容优于项目需求得6分； 2、投标人提供的售后服务方案完整，包含采购需求中“产品及售后服务”全部内容，方案整体内容满足项目需求的得4分； 3、投标人提供的售后服务方案有缺漏，没有完全包含采购需求中“产品及售后服务”全部内容，方案整体内容部分满足项目采购需求的得2分； 4、投标人提供的售后服务方案有缺漏，没有完全包含采购需求中“产品及售后服务”全部内容，方案整体内容不满足项目采购需求的得1分；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u w:val="single"/>
        </w:rPr>
        <w:t>阳江市人民医院医疗设备采购项目（</w:t>
      </w:r>
      <w:r>
        <w:rPr>
          <w:sz w:val="52"/>
          <w:b/>
          <w:u w:val="single"/>
        </w:rPr>
        <w:t>25-7</w:t>
      </w:r>
      <w:r>
        <w:rPr>
          <w:sz w:val="52"/>
          <w:b/>
          <w:u w:val="single"/>
        </w:rPr>
        <w:t>）</w:t>
      </w:r>
    </w:p>
    <w:p>
      <w:pPr>
        <w:pStyle w:val="null3"/>
        <w:ind w:firstLine="480"/>
        <w:jc w:val="center"/>
      </w:pPr>
      <w:r>
        <w:rPr>
          <w:sz w:val="52"/>
          <w:b/>
        </w:rPr>
        <w:t>政府采购</w:t>
      </w:r>
    </w:p>
    <w:p>
      <w:pPr>
        <w:pStyle w:val="null3"/>
        <w:ind w:firstLine="480"/>
        <w:jc w:val="center"/>
      </w:pPr>
      <w:r>
        <w:rPr>
          <w:sz w:val="52"/>
          <w:b/>
        </w:rPr>
        <w:t>合同书</w:t>
      </w:r>
    </w:p>
    <w:p>
      <w:pPr>
        <w:pStyle w:val="null3"/>
        <w:ind w:firstLine="480"/>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1"/>
          <w:b/>
        </w:rPr>
        <w:t>注：本合同仅为合同的参考文本，合同签订双方可根据项目的具体要求进行修订。</w:t>
      </w:r>
    </w:p>
    <w:p>
      <w:pPr>
        <w:pStyle w:val="null3"/>
        <w:ind w:firstLine="480"/>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pPr>
      <w:r>
        <w:rPr>
          <w:sz w:val="21"/>
          <w:b/>
        </w:rPr>
        <w:t>甲</w:t>
      </w:r>
      <w:r>
        <w:rPr>
          <w:sz w:val="21"/>
          <w:b/>
        </w:rPr>
        <w:t xml:space="preserve">   </w:t>
      </w:r>
      <w:r>
        <w:rPr>
          <w:sz w:val="21"/>
          <w:b/>
        </w:rPr>
        <w:t>方：阳江市人民医院</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ind w:firstLine="480"/>
        <w:jc w:val="both"/>
      </w:pPr>
      <w:r>
        <w:rPr>
          <w:sz w:val="21"/>
          <w:b/>
        </w:rPr>
        <w:t>乙</w:t>
      </w:r>
      <w:r>
        <w:rPr>
          <w:sz w:val="21"/>
          <w:b/>
        </w:rPr>
        <w:t xml:space="preserve">   </w:t>
      </w:r>
      <w:r>
        <w:rPr>
          <w:sz w:val="21"/>
          <w:b/>
        </w:rPr>
        <w:t>方：</w:t>
      </w:r>
      <w:r>
        <w:rPr>
          <w:b/>
          <w:u w:val="single"/>
        </w:rPr>
        <w:t xml:space="preserve">                  </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r>
        <w:rPr>
          <w:sz w:val="21"/>
        </w:rPr>
        <w:t xml:space="preserve">  </w:t>
      </w:r>
    </w:p>
    <w:p>
      <w:pPr>
        <w:pStyle w:val="null3"/>
        <w:ind w:firstLine="480"/>
        <w:jc w:val="both"/>
      </w:pPr>
      <w:r>
        <w:rPr>
          <w:sz w:val="21"/>
        </w:rPr>
        <w:t>项目名称：阳江市人民医院医疗设备采购项目（</w:t>
      </w:r>
      <w:r>
        <w:rPr>
          <w:sz w:val="21"/>
        </w:rPr>
        <w:t>25-7</w:t>
      </w:r>
      <w:r>
        <w:rPr>
          <w:sz w:val="21"/>
        </w:rPr>
        <w:t>）</w:t>
      </w:r>
      <w:r>
        <w:rPr/>
        <w:t xml:space="preserve">                                   </w:t>
      </w:r>
    </w:p>
    <w:p>
      <w:pPr>
        <w:pStyle w:val="null3"/>
        <w:ind w:firstLine="480"/>
        <w:jc w:val="both"/>
      </w:pPr>
      <w:r>
        <w:rPr>
          <w:sz w:val="21"/>
        </w:rPr>
        <w:t>采购编号：</w:t>
      </w:r>
      <w:r>
        <w:rPr>
          <w:sz w:val="21"/>
        </w:rPr>
        <w:t>0724-2531YJ029079</w:t>
      </w:r>
    </w:p>
    <w:p>
      <w:pPr>
        <w:pStyle w:val="null3"/>
        <w:ind w:firstLine="480"/>
        <w:jc w:val="both"/>
      </w:pPr>
      <w:r>
        <w:rPr>
          <w:sz w:val="21"/>
        </w:rPr>
        <w:t xml:space="preserve">    </w:t>
      </w:r>
      <w:r>
        <w:rPr>
          <w:sz w:val="21"/>
        </w:rPr>
        <w:t>根据</w:t>
      </w:r>
      <w:r>
        <w:rPr>
          <w:u w:val="single"/>
        </w:rPr>
        <w:t xml:space="preserve">   </w:t>
      </w:r>
      <w:r>
        <w:rPr>
          <w:sz w:val="21"/>
          <w:u w:val="single"/>
        </w:rPr>
        <w:t>阳江市人民医院医疗设备采购项目（</w:t>
      </w:r>
      <w:r>
        <w:rPr>
          <w:sz w:val="21"/>
          <w:u w:val="single"/>
        </w:rPr>
        <w:t>25-7</w:t>
      </w:r>
      <w:r>
        <w:rPr>
          <w:sz w:val="21"/>
          <w:u w:val="single"/>
        </w:rPr>
        <w:t>）</w:t>
      </w:r>
      <w:r>
        <w:rPr>
          <w:u w:val="single"/>
        </w:rPr>
        <w:t xml:space="preserve">   </w:t>
      </w:r>
      <w:r>
        <w:rPr>
          <w:sz w:val="21"/>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w:t>
            </w:r>
          </w:p>
          <w:p>
            <w:pPr>
              <w:pStyle w:val="null3"/>
              <w:jc w:val="center"/>
            </w:pPr>
            <w:r>
              <w:rPr>
                <w:sz w:val="21"/>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firstLine="422"/>
        <w:jc w:val="both"/>
      </w:pPr>
      <w:r>
        <w:rPr>
          <w:sz w:val="21"/>
          <w:b/>
        </w:rPr>
        <w:t>二、合同金额：</w:t>
      </w:r>
    </w:p>
    <w:p>
      <w:pPr>
        <w:pStyle w:val="null3"/>
        <w:ind w:firstLine="420"/>
        <w:jc w:val="both"/>
      </w:pPr>
      <w:r>
        <w:rPr>
          <w:sz w:val="21"/>
        </w:rPr>
        <w:t>合同金额为（大写）：</w:t>
      </w:r>
      <w:r>
        <w:rPr>
          <w:u w:val="single"/>
        </w:rPr>
        <w:t xml:space="preserve">             </w:t>
      </w:r>
      <w:r>
        <w:rPr>
          <w:sz w:val="21"/>
        </w:rPr>
        <w:t>_____</w:t>
      </w:r>
      <w:r>
        <w:rPr>
          <w:sz w:val="21"/>
        </w:rPr>
        <w:t>元（￥</w:t>
      </w:r>
      <w:r>
        <w:rPr>
          <w:u w:val="single"/>
        </w:rPr>
        <w:t xml:space="preserve">             </w:t>
      </w:r>
      <w:r>
        <w:rPr>
          <w:sz w:val="21"/>
        </w:rPr>
        <w:t>___</w:t>
      </w:r>
      <w:r>
        <w:rPr>
          <w:sz w:val="21"/>
        </w:rPr>
        <w:t>元）人民币。</w:t>
      </w:r>
    </w:p>
    <w:p>
      <w:pPr>
        <w:pStyle w:val="null3"/>
        <w:ind w:firstLine="422"/>
        <w:jc w:val="both"/>
      </w:pPr>
      <w:r>
        <w:rPr>
          <w:sz w:val="21"/>
          <w:b/>
        </w:rPr>
        <w:t>三、交货期及交货地点：</w:t>
      </w:r>
    </w:p>
    <w:p>
      <w:pPr>
        <w:pStyle w:val="null3"/>
        <w:ind w:firstLine="420"/>
        <w:jc w:val="both"/>
      </w:pPr>
      <w:r>
        <w:rPr>
          <w:sz w:val="21"/>
        </w:rPr>
        <w:t>1</w:t>
      </w:r>
      <w:r>
        <w:rPr>
          <w:sz w:val="21"/>
        </w:rPr>
        <w:t>、交货期：所有设备在合同签订生效后</w:t>
      </w:r>
      <w:r>
        <w:rPr>
          <w:sz w:val="21"/>
        </w:rPr>
        <w:t>30</w:t>
      </w:r>
      <w:r>
        <w:rPr>
          <w:sz w:val="21"/>
        </w:rPr>
        <w:t>天内完成安装调试工作，交付甲方使用。</w:t>
      </w:r>
    </w:p>
    <w:p>
      <w:pPr>
        <w:pStyle w:val="null3"/>
        <w:ind w:firstLine="420"/>
        <w:jc w:val="both"/>
      </w:pPr>
      <w:r>
        <w:rPr>
          <w:sz w:val="21"/>
        </w:rPr>
        <w:t>2</w:t>
      </w:r>
      <w:r>
        <w:rPr>
          <w:sz w:val="21"/>
        </w:rPr>
        <w:t>、交货地点：甲方指定地点。</w:t>
      </w:r>
    </w:p>
    <w:p>
      <w:pPr>
        <w:pStyle w:val="null3"/>
        <w:ind w:firstLine="422"/>
        <w:jc w:val="both"/>
      </w:pPr>
      <w:r>
        <w:rPr>
          <w:sz w:val="21"/>
          <w:b/>
        </w:rPr>
        <w:t>四、合同签订及付款方式：</w:t>
      </w:r>
    </w:p>
    <w:p>
      <w:pPr>
        <w:pStyle w:val="null3"/>
        <w:ind w:firstLine="420"/>
        <w:jc w:val="both"/>
      </w:pPr>
      <w:r>
        <w:rPr>
          <w:sz w:val="21"/>
        </w:rPr>
        <w:t>1</w:t>
      </w:r>
      <w:r>
        <w:rPr>
          <w:sz w:val="21"/>
        </w:rPr>
        <w:t>、合同签订时间：从中标通知书发出之日起</w:t>
      </w:r>
      <w:r>
        <w:rPr>
          <w:sz w:val="21"/>
        </w:rPr>
        <w:t>30</w:t>
      </w:r>
      <w:r>
        <w:rPr>
          <w:sz w:val="21"/>
        </w:rPr>
        <w:t>日内签订合同。</w:t>
      </w:r>
    </w:p>
    <w:p>
      <w:pPr>
        <w:pStyle w:val="null3"/>
        <w:ind w:firstLine="420"/>
        <w:jc w:val="both"/>
      </w:pPr>
      <w:r>
        <w:rPr>
          <w:sz w:val="21"/>
        </w:rPr>
        <w:t>2</w:t>
      </w:r>
      <w:r>
        <w:rPr>
          <w:sz w:val="21"/>
        </w:rPr>
        <w:t>、付款方式：</w:t>
      </w:r>
    </w:p>
    <w:p>
      <w:pPr>
        <w:pStyle w:val="null3"/>
        <w:ind w:left="420"/>
        <w:jc w:val="both"/>
      </w:pPr>
      <w:r>
        <w:rPr>
          <w:sz w:val="21"/>
        </w:rPr>
        <w:t>（</w:t>
      </w:r>
      <w:r>
        <w:rPr>
          <w:sz w:val="21"/>
        </w:rPr>
        <w:t>1</w:t>
      </w:r>
      <w:r>
        <w:rPr>
          <w:sz w:val="21"/>
        </w:rPr>
        <w:t>）在合同签订后，甲方收到供应商发票后</w:t>
      </w:r>
      <w:r>
        <w:rPr>
          <w:sz w:val="21"/>
        </w:rPr>
        <w:t>10</w:t>
      </w:r>
      <w:r>
        <w:rPr>
          <w:sz w:val="21"/>
        </w:rPr>
        <w:t>个工作日内向乙方支付合同总额的</w:t>
      </w:r>
      <w:r>
        <w:rPr>
          <w:sz w:val="21"/>
        </w:rPr>
        <w:t>3</w:t>
      </w:r>
      <w:r>
        <w:rPr>
          <w:sz w:val="21"/>
        </w:rPr>
        <w:t>0%</w:t>
      </w:r>
      <w:r>
        <w:rPr>
          <w:sz w:val="21"/>
        </w:rPr>
        <w:t>。（</w:t>
      </w:r>
      <w:r>
        <w:rPr>
          <w:sz w:val="21"/>
        </w:rPr>
        <w:t>2</w:t>
      </w:r>
      <w:r>
        <w:rPr>
          <w:sz w:val="21"/>
        </w:rPr>
        <w:t>）设备安装验收合格，正常投入使用</w:t>
      </w:r>
      <w:r>
        <w:rPr>
          <w:sz w:val="21"/>
        </w:rPr>
        <w:t>3</w:t>
      </w:r>
      <w:r>
        <w:rPr>
          <w:sz w:val="21"/>
        </w:rPr>
        <w:t>个月后，甲方收到供应商发票后</w:t>
      </w:r>
      <w:r>
        <w:rPr>
          <w:sz w:val="21"/>
        </w:rPr>
        <w:t>10</w:t>
      </w:r>
      <w:r>
        <w:rPr>
          <w:sz w:val="21"/>
        </w:rPr>
        <w:t>个工作日内付合同总额的</w:t>
      </w:r>
      <w:r>
        <w:rPr>
          <w:sz w:val="21"/>
        </w:rPr>
        <w:t>7</w:t>
      </w:r>
      <w:r>
        <w:rPr>
          <w:sz w:val="21"/>
        </w:rPr>
        <w:t>0%</w:t>
      </w:r>
      <w:r>
        <w:rPr>
          <w:sz w:val="21"/>
        </w:rPr>
        <w:t>。</w:t>
      </w:r>
    </w:p>
    <w:p>
      <w:pPr>
        <w:pStyle w:val="null3"/>
        <w:ind w:firstLine="422"/>
        <w:jc w:val="both"/>
      </w:pPr>
      <w:r>
        <w:rPr>
          <w:sz w:val="21"/>
          <w:b/>
        </w:rPr>
        <w:t>五、产品及售后服务：</w:t>
      </w:r>
    </w:p>
    <w:p>
      <w:pPr>
        <w:pStyle w:val="null3"/>
        <w:ind w:firstLine="420"/>
        <w:jc w:val="both"/>
      </w:pPr>
      <w:r>
        <w:rPr>
          <w:sz w:val="21"/>
        </w:rPr>
        <w:t>1</w:t>
      </w:r>
      <w:r>
        <w:rPr>
          <w:sz w:val="21"/>
        </w:rPr>
        <w:t>、乙方应提供原装、全新的、符合质量标准的货物，不得以旧货翻新充数，并按有关要求进行包装及装运；</w:t>
      </w:r>
    </w:p>
    <w:p>
      <w:pPr>
        <w:pStyle w:val="null3"/>
        <w:ind w:firstLine="420"/>
        <w:jc w:val="both"/>
      </w:pPr>
      <w:r>
        <w:rPr>
          <w:sz w:val="21"/>
        </w:rPr>
        <w:t>2</w:t>
      </w:r>
      <w:r>
        <w:rPr>
          <w:sz w:val="21"/>
        </w:rPr>
        <w:t>、产品质量保证期不少于两年（若国家和</w:t>
      </w:r>
      <w:r>
        <w:rPr>
          <w:sz w:val="21"/>
        </w:rPr>
        <w:t>/</w:t>
      </w:r>
      <w:r>
        <w:rPr>
          <w:sz w:val="21"/>
        </w:rPr>
        <w:t>或生产厂家对本项目所涉及货物的质量保证期的规定高于本项目的要求，应按国家和</w:t>
      </w:r>
      <w:r>
        <w:rPr>
          <w:sz w:val="21"/>
        </w:rPr>
        <w:t>/</w:t>
      </w:r>
      <w:r>
        <w:rPr>
          <w:sz w:val="21"/>
        </w:rPr>
        <w:t>或生产厂家的规定执行）。电话报修后，</w:t>
      </w:r>
      <w:r>
        <w:rPr>
          <w:sz w:val="21"/>
        </w:rPr>
        <w:t>48</w:t>
      </w:r>
      <w:r>
        <w:rPr>
          <w:sz w:val="21"/>
        </w:rPr>
        <w:t>小时内到现场解决问题。</w:t>
      </w:r>
    </w:p>
    <w:p>
      <w:pPr>
        <w:pStyle w:val="null3"/>
        <w:ind w:firstLine="420"/>
        <w:jc w:val="both"/>
      </w:pPr>
      <w:r>
        <w:rPr>
          <w:sz w:val="21"/>
        </w:rPr>
        <w:t>3</w:t>
      </w:r>
      <w:r>
        <w:rPr>
          <w:sz w:val="21"/>
        </w:rPr>
        <w:t>、在质量保证期内发生的质量问题，由乙方负责免费解决，包退包换；</w:t>
      </w:r>
    </w:p>
    <w:p>
      <w:pPr>
        <w:pStyle w:val="null3"/>
        <w:ind w:firstLine="420"/>
        <w:jc w:val="both"/>
      </w:pPr>
      <w:r>
        <w:rPr>
          <w:sz w:val="21"/>
        </w:rPr>
        <w:t>4</w:t>
      </w:r>
      <w:r>
        <w:rPr>
          <w:sz w:val="21"/>
        </w:rPr>
        <w:t>、在质量保证期外发生的质量问题，由乙方负责解决，甲方支付相应的费用；</w:t>
      </w:r>
    </w:p>
    <w:p>
      <w:pPr>
        <w:pStyle w:val="null3"/>
        <w:ind w:firstLine="420"/>
        <w:jc w:val="both"/>
      </w:pPr>
      <w:r>
        <w:rPr>
          <w:sz w:val="21"/>
        </w:rPr>
        <w:t>5</w:t>
      </w:r>
      <w:r>
        <w:rPr>
          <w:sz w:val="21"/>
        </w:rPr>
        <w:t>、在任何时候，乙方均不能免除因货物本身的缺陷所应负的责任。货物在质保期内发生质量问题，乙方须无条件给予退换；</w:t>
      </w:r>
    </w:p>
    <w:p>
      <w:pPr>
        <w:pStyle w:val="null3"/>
        <w:ind w:firstLine="420"/>
        <w:jc w:val="both"/>
      </w:pPr>
      <w:r>
        <w:rPr>
          <w:sz w:val="21"/>
        </w:rPr>
        <w:t>6</w:t>
      </w:r>
      <w:r>
        <w:rPr>
          <w:sz w:val="21"/>
        </w:rPr>
        <w:t>、乙方对所提供设备提供维修服务，质保期后的服务，只收取更换零部件的成本费，不得收取任何工时费及工程师差旅费等其他费用；</w:t>
      </w:r>
    </w:p>
    <w:p>
      <w:pPr>
        <w:pStyle w:val="null3"/>
        <w:ind w:firstLine="420"/>
        <w:jc w:val="both"/>
      </w:pPr>
      <w:r>
        <w:rPr>
          <w:sz w:val="21"/>
        </w:rPr>
        <w:t>7</w:t>
      </w:r>
      <w:r>
        <w:rPr>
          <w:sz w:val="21"/>
        </w:rPr>
        <w:t>、乙方须提交设备所涉及耗材的清单及价格。</w:t>
      </w:r>
    </w:p>
    <w:p>
      <w:pPr>
        <w:pStyle w:val="null3"/>
        <w:ind w:firstLine="422"/>
        <w:jc w:val="both"/>
      </w:pPr>
      <w:r>
        <w:rPr>
          <w:sz w:val="21"/>
          <w:b/>
        </w:rPr>
        <w:t>六、培训要求</w:t>
      </w:r>
    </w:p>
    <w:p>
      <w:pPr>
        <w:pStyle w:val="null3"/>
        <w:ind w:firstLine="420"/>
        <w:jc w:val="both"/>
      </w:pPr>
      <w:r>
        <w:rPr>
          <w:sz w:val="21"/>
        </w:rPr>
        <w:t>1</w:t>
      </w:r>
      <w:r>
        <w:rPr>
          <w:sz w:val="21"/>
        </w:rPr>
        <w:t>、培训地点：甲方指定地点</w:t>
      </w:r>
    </w:p>
    <w:p>
      <w:pPr>
        <w:pStyle w:val="null3"/>
        <w:ind w:firstLine="420"/>
        <w:jc w:val="both"/>
      </w:pPr>
      <w:r>
        <w:rPr>
          <w:sz w:val="21"/>
        </w:rPr>
        <w:t>2</w:t>
      </w:r>
      <w:r>
        <w:rPr>
          <w:sz w:val="21"/>
        </w:rPr>
        <w:t>、乙方对甲方的相关人员进行培训，并提供纸质版操作、维护维修手册。培训成果达到甲方要求，以保证设备正常工作。</w:t>
      </w:r>
    </w:p>
    <w:p>
      <w:pPr>
        <w:pStyle w:val="null3"/>
        <w:ind w:firstLine="420"/>
        <w:jc w:val="both"/>
      </w:pPr>
      <w:r>
        <w:rPr>
          <w:sz w:val="21"/>
          <w:b/>
        </w:rPr>
        <w:t>七、验收要求</w:t>
      </w:r>
    </w:p>
    <w:p>
      <w:pPr>
        <w:pStyle w:val="null3"/>
        <w:ind w:firstLine="420"/>
        <w:jc w:val="both"/>
      </w:pPr>
      <w:r>
        <w:rPr>
          <w:sz w:val="21"/>
        </w:rPr>
        <w:t>1</w:t>
      </w:r>
      <w:r>
        <w:rPr>
          <w:sz w:val="21"/>
        </w:rPr>
        <w:t>、验收应在甲方和乙方双方共同参加下进行，由甲方组织验收。</w:t>
      </w:r>
    </w:p>
    <w:p>
      <w:pPr>
        <w:pStyle w:val="null3"/>
        <w:ind w:firstLine="420"/>
        <w:jc w:val="both"/>
      </w:pPr>
      <w:r>
        <w:rPr>
          <w:sz w:val="21"/>
        </w:rPr>
        <w:t>2</w:t>
      </w:r>
      <w:r>
        <w:rPr>
          <w:sz w:val="21"/>
        </w:rPr>
        <w:t>、验收按国家、地方或行业现行相关验收规范和评定标准执行。</w:t>
      </w:r>
    </w:p>
    <w:p>
      <w:pPr>
        <w:pStyle w:val="null3"/>
        <w:ind w:firstLine="420"/>
        <w:jc w:val="both"/>
      </w:pPr>
      <w:r>
        <w:rPr>
          <w:sz w:val="21"/>
        </w:rPr>
        <w:t>3</w:t>
      </w:r>
      <w:r>
        <w:rPr>
          <w:sz w:val="21"/>
        </w:rPr>
        <w:t>、验收时如发现所交付的设备有短装、次品、损坏或其它不符合文件规定之情形者，甲方应做出详尽的现场记录，或由甲方和乙方双方签署备忘录。此现场记录或备忘录可用作补充、缺失和更换损坏部件的有效证据。由此产生的有关费用由乙方承担。</w:t>
      </w:r>
    </w:p>
    <w:p>
      <w:pPr>
        <w:pStyle w:val="null3"/>
        <w:ind w:firstLine="420"/>
        <w:jc w:val="both"/>
      </w:pPr>
      <w:r>
        <w:rPr>
          <w:sz w:val="21"/>
          <w:b/>
        </w:rPr>
        <w:t>八、安装、调试要求</w:t>
      </w:r>
    </w:p>
    <w:p>
      <w:pPr>
        <w:pStyle w:val="null3"/>
        <w:ind w:firstLine="420"/>
        <w:jc w:val="both"/>
      </w:pPr>
      <w:r>
        <w:rPr>
          <w:sz w:val="21"/>
        </w:rPr>
        <w:t>1.</w:t>
      </w:r>
      <w:r>
        <w:rPr>
          <w:sz w:val="21"/>
        </w:rPr>
        <w:t>乙方将货物运送至甲方指定地点时，甲方先对货物外观、状态、数量进行检视，发现货物有明显损毁、数量不符等情况的，甲方有权当场拒收并要求乙方退换货；经甲方初步检验货物无明显问题的，乙方方可对货物进行安装。</w:t>
      </w:r>
    </w:p>
    <w:p>
      <w:pPr>
        <w:pStyle w:val="null3"/>
        <w:ind w:firstLine="420"/>
        <w:jc w:val="both"/>
      </w:pPr>
      <w:r>
        <w:rPr>
          <w:sz w:val="21"/>
        </w:rPr>
        <w:t>2.</w:t>
      </w:r>
      <w:r>
        <w:rPr>
          <w:sz w:val="21"/>
        </w:rPr>
        <w:t>当所有的货物都通过甲方的验收后，双方签字认可，货物正式交付给甲方。货物正式交付甲方前，货物的损毁、灭失风险由乙方承担。</w:t>
      </w:r>
    </w:p>
    <w:p>
      <w:pPr>
        <w:pStyle w:val="null3"/>
        <w:ind w:firstLine="420"/>
        <w:jc w:val="both"/>
      </w:pPr>
      <w:r>
        <w:rPr>
          <w:sz w:val="21"/>
        </w:rPr>
        <w:t>3.</w:t>
      </w:r>
      <w:r>
        <w:rPr>
          <w:sz w:val="21"/>
        </w:rPr>
        <w:t>乙方必须依照招标文件的要求和投标文件的承诺，将设备安装并调试至正常使用的最佳状态。</w:t>
      </w:r>
    </w:p>
    <w:p>
      <w:pPr>
        <w:pStyle w:val="null3"/>
        <w:ind w:firstLine="420"/>
        <w:jc w:val="both"/>
      </w:pPr>
      <w:r>
        <w:rPr>
          <w:sz w:val="21"/>
        </w:rPr>
        <w:t>4.</w:t>
      </w:r>
      <w:r>
        <w:rPr>
          <w:sz w:val="21"/>
        </w:rPr>
        <w:t>货物为原厂商未启封全新包装，具出厂合格证，序列号、包装箱号与出厂批号一致，并可追索查阅。所有随设备的附件必须齐全且应在交货时一并交付。</w:t>
      </w:r>
    </w:p>
    <w:p>
      <w:pPr>
        <w:pStyle w:val="null3"/>
        <w:ind w:firstLine="420"/>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提供的服务不符合采购文件、报价文件或本合同规定的，甲方有权拒收，并且乙方须向甲方支付本合同总价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firstLine="420"/>
        <w:jc w:val="both"/>
      </w:pPr>
      <w:r>
        <w:rPr>
          <w:sz w:val="21"/>
        </w:rPr>
        <w:t>4</w:t>
      </w:r>
      <w:r>
        <w:rPr>
          <w:sz w:val="21"/>
        </w:rPr>
        <w:t>、其它违约责任按《中华人民共和国民法典》处理。</w:t>
      </w:r>
    </w:p>
    <w:p>
      <w:pPr>
        <w:pStyle w:val="null3"/>
        <w:ind w:firstLine="420"/>
        <w:jc w:val="both"/>
      </w:pPr>
      <w:r>
        <w:rPr>
          <w:sz w:val="21"/>
          <w:b/>
        </w:rPr>
        <w:t>十、争议的解决</w:t>
      </w:r>
      <w:r>
        <w:rPr>
          <w:sz w:val="21"/>
          <w:b/>
        </w:rPr>
        <w:t>:</w:t>
      </w:r>
    </w:p>
    <w:p>
      <w:pPr>
        <w:pStyle w:val="null3"/>
        <w:ind w:firstLine="420"/>
        <w:jc w:val="both"/>
      </w:pPr>
      <w:r>
        <w:rPr>
          <w:sz w:val="21"/>
        </w:rPr>
        <w:t>1</w:t>
      </w:r>
      <w:r>
        <w:rPr>
          <w:sz w:val="21"/>
        </w:rPr>
        <w:t>、合同执行过程中发生的任何争议，如双方不能通过友好协商解决，按相关法律法规处理。</w:t>
      </w:r>
    </w:p>
    <w:p>
      <w:pPr>
        <w:pStyle w:val="null3"/>
        <w:ind w:firstLine="420"/>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rPr>
        <w:t>十二、其它</w:t>
      </w:r>
      <w:r>
        <w:rPr>
          <w:sz w:val="21"/>
          <w:b/>
        </w:rPr>
        <w:t>:</w:t>
      </w:r>
    </w:p>
    <w:p>
      <w:pPr>
        <w:pStyle w:val="null3"/>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b/>
        </w:rPr>
        <w:t>十三、合同生效：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w:t>
      </w:r>
    </w:p>
    <w:p>
      <w:pPr>
        <w:pStyle w:val="null3"/>
        <w:ind w:firstLine="420"/>
        <w:jc w:val="both"/>
      </w:pPr>
      <w:r>
        <w:rPr>
          <w:sz w:val="21"/>
          <w:b/>
        </w:rPr>
        <w:t>甲方（盖章）：</w:t>
      </w:r>
      <w:r>
        <w:rPr>
          <w:sz w:val="21"/>
          <w:b/>
        </w:rPr>
        <w:t xml:space="preserve">                          </w:t>
      </w:r>
      <w:r>
        <w:rPr>
          <w:sz w:val="21"/>
          <w:b/>
        </w:rPr>
        <w:t>乙方（盖章）：</w:t>
      </w:r>
    </w:p>
    <w:p>
      <w:pPr>
        <w:pStyle w:val="null3"/>
        <w:ind w:firstLine="480"/>
        <w:jc w:val="both"/>
      </w:pPr>
      <w:r>
        <w:rPr>
          <w:sz w:val="21"/>
          <w:b/>
        </w:rPr>
        <w:t>代表：</w:t>
      </w:r>
      <w:r>
        <w:rPr>
          <w:sz w:val="21"/>
          <w:b/>
        </w:rPr>
        <w:t xml:space="preserve">                                      </w:t>
      </w:r>
      <w:r>
        <w:rPr>
          <w:sz w:val="21"/>
          <w:b/>
        </w:rPr>
        <w:t>代表：</w:t>
      </w:r>
    </w:p>
    <w:p>
      <w:pPr>
        <w:pStyle w:val="null3"/>
        <w:ind w:firstLine="480"/>
        <w:jc w:val="both"/>
      </w:pPr>
      <w:r>
        <w:rPr>
          <w:sz w:val="21"/>
        </w:rPr>
        <w:t>签订地点：</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0"/>
        <w:jc w:val="both"/>
      </w:pPr>
      <w:r>
        <w:rPr>
          <w:sz w:val="21"/>
        </w:rPr>
        <w:t>开户名称：</w:t>
      </w:r>
    </w:p>
    <w:p>
      <w:pPr>
        <w:pStyle w:val="null3"/>
        <w:ind w:firstLine="480"/>
        <w:jc w:val="both"/>
      </w:pPr>
      <w:r>
        <w:rPr>
          <w:sz w:val="21"/>
        </w:rPr>
        <w:t>银行帐号：</w:t>
      </w:r>
    </w:p>
    <w:p>
      <w:pPr>
        <w:pStyle w:val="null3"/>
      </w:pPr>
      <w:r>
        <w:rPr>
          <w:sz w:val="21"/>
        </w:rPr>
        <w:t xml:space="preserve">        </w:t>
      </w: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441701-2026-00063</w:t>
      </w:r>
    </w:p>
    <w:p>
      <w:pPr>
        <w:pStyle w:val="null3"/>
        <w:jc w:val="center"/>
        <w:outlineLvl w:val="3"/>
      </w:pPr>
      <w:r>
        <w:rPr>
          <w:sz w:val="24"/>
          <w:b/>
        </w:rPr>
        <w:t>采购项目编号：</w:t>
      </w:r>
      <w:r>
        <w:rPr>
          <w:sz w:val="24"/>
          <w:b/>
        </w:rPr>
        <w:t>0724-2531YJ029079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阳江市人民医院医疗设备采购项目（25-7）</w:t>
      </w:r>
      <w:r>
        <w:rPr>
          <w:u w:val="single"/>
        </w:rPr>
        <w:t>”</w:t>
      </w:r>
      <w:r>
        <w:rPr/>
        <w:t>项目的招标[采购项目编号为：</w:t>
      </w:r>
      <w:r>
        <w:rPr>
          <w:u w:val="single"/>
        </w:rPr>
        <w:t>0724-2531YJ029079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阳江市人民医院医疗设备采购项目（25-7）</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阳江市人民医院医疗设备采购项目（25-7）</w:t>
      </w:r>
      <w:r>
        <w:rPr/>
        <w:t>”项目采购[采购项目编号为</w:t>
      </w:r>
      <w:r>
        <w:rPr/>
        <w:t>0724-2531YJ029079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阳江市人民医院医疗设备采购项目（25-7）</w:t>
      </w:r>
      <w:r>
        <w:rPr/>
        <w:t>招标中获中标（采购项目编号：</w:t>
      </w:r>
      <w:r>
        <w:rPr/>
        <w:t>0724-2531YJ029079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阳江市人民医院医疗设备采购项目（25-7）</w:t>
      </w:r>
      <w:r>
        <w:rPr/>
        <w:t>”项目（采购项目编号：</w:t>
      </w:r>
      <w:r>
        <w:rPr/>
        <w:t>0724-2531YJ029079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