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440701-2025-02098</w:t>
      </w:r>
    </w:p>
    <w:p>
      <w:pPr>
        <w:pStyle w:val="null3"/>
        <w:jc w:val="center"/>
        <w:outlineLvl w:val="3"/>
      </w:pPr>
      <w:r>
        <w:rPr>
          <w:sz w:val="24"/>
          <w:b/>
        </w:rPr>
        <w:t>采购项目编号：</w:t>
      </w:r>
      <w:r>
        <w:rPr>
          <w:sz w:val="24"/>
          <w:b/>
        </w:rPr>
        <w:t>0724-2531Z1975350</w:t>
      </w:r>
    </w:p>
    <w:p>
      <w:pPr>
        <w:pStyle w:val="null3"/>
        <w:jc w:val="center"/>
        <w:outlineLvl w:val="3"/>
      </w:pPr>
      <w:r>
        <w:rPr>
          <w:sz w:val="24"/>
          <w:b/>
        </w:rPr>
        <w:t>项目名称：</w:t>
      </w:r>
      <w:r>
        <w:rPr>
          <w:sz w:val="24"/>
          <w:b/>
        </w:rPr>
        <w:t>江门市疾病预防控制中心气相色谱-质谱-质谱联用仪采购项目</w:t>
      </w:r>
    </w:p>
    <w:p>
      <w:pPr>
        <w:pStyle w:val="null3"/>
        <w:jc w:val="center"/>
        <w:outlineLvl w:val="3"/>
      </w:pPr>
      <w:r>
        <w:rPr>
          <w:sz w:val="24"/>
          <w:b/>
        </w:rPr>
        <w:t>采购人：</w:t>
      </w:r>
      <w:r>
        <w:rPr>
          <w:sz w:val="24"/>
          <w:b/>
        </w:rPr>
        <w:t>江门市疾病预防控制中心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江门市疾病预防控制中心</w:t>
      </w:r>
      <w:r>
        <w:rPr/>
        <w:t>的委托，采用</w:t>
      </w:r>
      <w:r>
        <w:rPr/>
        <w:t>公开招标</w:t>
      </w:r>
      <w:r>
        <w:rPr/>
        <w:t>方式组织采购</w:t>
      </w:r>
      <w:r>
        <w:rPr/>
        <w:t>江门市疾病预防控制中心气相色谱-质谱-质谱联用仪采购项目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江门市疾病预防控制中心气相色谱-质谱-质谱联用仪采购项目</w:t>
      </w:r>
    </w:p>
    <w:p>
      <w:pPr>
        <w:pStyle w:val="null3"/>
        <w:ind w:firstLine="480"/>
      </w:pPr>
      <w:r>
        <w:rPr/>
        <w:t>采购计划编号：</w:t>
      </w:r>
      <w:r>
        <w:rPr/>
        <w:t>440701-2025-02098</w:t>
      </w:r>
    </w:p>
    <w:p>
      <w:pPr>
        <w:pStyle w:val="null3"/>
        <w:ind w:firstLine="480"/>
      </w:pPr>
      <w:r>
        <w:rPr/>
        <w:t>采购项目编号：</w:t>
      </w:r>
      <w:r>
        <w:rPr/>
        <w:t>0724-2531Z1975350</w:t>
      </w:r>
    </w:p>
    <w:p>
      <w:pPr>
        <w:pStyle w:val="null3"/>
        <w:ind w:firstLine="480"/>
      </w:pPr>
      <w:r>
        <w:rPr/>
        <w:t>采购方式：</w:t>
      </w:r>
      <w:r>
        <w:rPr/>
        <w:t>公开招标</w:t>
      </w:r>
    </w:p>
    <w:p>
      <w:pPr>
        <w:pStyle w:val="null3"/>
        <w:ind w:firstLine="480"/>
      </w:pPr>
      <w:r>
        <w:rPr/>
        <w:t>预算金额：</w:t>
      </w:r>
      <w:r>
        <w:rPr/>
        <w:t>1,298,000.00</w:t>
      </w:r>
      <w:r>
        <w:rPr/>
        <w:t>元</w:t>
      </w:r>
    </w:p>
    <w:p>
      <w:pPr>
        <w:pStyle w:val="null3"/>
        <w:outlineLvl w:val="3"/>
      </w:pPr>
      <w:r>
        <w:rPr>
          <w:sz w:val="24"/>
          <w:b/>
        </w:rPr>
        <w:t>2.项目内容及需求情况（采购项目技术规格、参数及要求）</w:t>
      </w:r>
    </w:p>
    <w:p>
      <w:pPr>
        <w:pStyle w:val="null3"/>
      </w:pPr>
      <w:r>
        <w:rPr/>
        <w:t>采购包1(气相色谱-质谱-质谱联用仪):</w:t>
      </w:r>
    </w:p>
    <w:p>
      <w:pPr>
        <w:pStyle w:val="null3"/>
      </w:pPr>
      <w:r>
        <w:rPr/>
        <w:t>采购包预算金额：1,298,000.00元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质谱仪</w:t>
            </w:r>
          </w:p>
        </w:tc>
        <w:tc>
          <w:tcPr>
            <w:tcW w:type="dxa" w:w="2136"/>
          </w:tcPr>
          <w:p>
            <w:pPr>
              <w:pStyle w:val="null3"/>
            </w:pPr>
            <w:r>
              <w:rPr/>
              <w:t>气相色谱-质谱-质谱联用仪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3）具有良好的商业信誉和健全的财务会计制度：提供2023-2024年任意一年的财务状况报告或基本开户行出具的资信证明或《资格条件承诺函》（详见招标公告附件）。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采购包1（气相色谱-质谱-质谱联用仪）：</w:t>
      </w:r>
      <w:r>
        <w:rPr/>
        <w:t>本采购包不专门面向中小企业采购。</w:t>
      </w:r>
    </w:p>
    <w:p>
      <w:pPr>
        <w:pStyle w:val="null3"/>
        <w:outlineLvl w:val="3"/>
      </w:pPr>
      <w:r>
        <w:rPr>
          <w:sz w:val="24"/>
          <w:b/>
        </w:rPr>
        <w:t>3.本项目特定的资格要求：</w:t>
      </w:r>
    </w:p>
    <w:p>
      <w:pPr>
        <w:pStyle w:val="null3"/>
      </w:pPr>
      <w:r>
        <w:rPr/>
        <w:t>采购包1（气相色谱-质谱-质谱联用仪）：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或提供《资格条件承诺函》（详见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江门市疾病预防控制中心</w:t>
      </w:r>
    </w:p>
    <w:p>
      <w:pPr>
        <w:pStyle w:val="null3"/>
        <w:ind w:firstLine="480"/>
      </w:pPr>
      <w:r>
        <w:rPr/>
        <w:t xml:space="preserve"> 地址：</w:t>
      </w:r>
      <w:r>
        <w:rPr/>
        <w:t>江门市蓬江区星河路10号</w:t>
      </w:r>
    </w:p>
    <w:p>
      <w:pPr>
        <w:pStyle w:val="null3"/>
        <w:ind w:firstLine="480"/>
      </w:pPr>
      <w:r>
        <w:rPr/>
        <w:t xml:space="preserve"> 联系方式：</w:t>
      </w:r>
      <w:r>
        <w:rPr/>
        <w:t>0750-3288502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020-37860530、020-37860545</w:t>
      </w:r>
    </w:p>
    <w:p>
      <w:pPr>
        <w:pStyle w:val="null3"/>
        <w:outlineLvl w:val="3"/>
      </w:pPr>
      <w:r>
        <w:rPr>
          <w:sz w:val="24"/>
          <w:b/>
        </w:rPr>
        <w:t xml:space="preserve"> 3.项目联系方式</w:t>
      </w:r>
    </w:p>
    <w:p>
      <w:pPr>
        <w:pStyle w:val="null3"/>
        <w:ind w:firstLine="480"/>
      </w:pPr>
      <w:r>
        <w:rPr/>
        <w:t xml:space="preserve"> 项目联系人：</w:t>
      </w:r>
      <w:r>
        <w:rPr/>
        <w:t>黎安翘、薛业生</w:t>
      </w:r>
    </w:p>
    <w:p>
      <w:pPr>
        <w:pStyle w:val="null3"/>
        <w:ind w:firstLine="480"/>
      </w:pPr>
      <w:r>
        <w:rPr/>
        <w:t xml:space="preserve"> 电话：</w:t>
      </w:r>
      <w:r>
        <w:rPr/>
        <w:t>020-37860530、020-37860545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540"/>
        <w:tblBorders>
          <w:top w:val="none" w:color="000000" w:sz="4"/>
          <w:left w:val="none" w:color="000000" w:sz="4"/>
          <w:bottom w:val="none" w:color="000000" w:sz="4"/>
          <w:right w:val="none" w:color="000000" w:sz="4"/>
          <w:insideH w:val="none"/>
          <w:insideV w:val="none"/>
        </w:tblBorders>
      </w:tblPr>
      <w:tblGrid>
        <w:gridCol w:w="3702"/>
        <w:gridCol w:w="1369"/>
        <w:gridCol w:w="3235"/>
      </w:tblGrid>
      <w:tr>
        <w:tc>
          <w:tcPr>
            <w:tcW w:type="dxa" w:w="3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采购标的</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数量</w:t>
            </w:r>
          </w:p>
        </w:tc>
        <w:tc>
          <w:tcPr>
            <w:tcW w:type="dxa" w:w="3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采购预算（元）</w:t>
            </w:r>
          </w:p>
        </w:tc>
      </w:tr>
      <w:tr>
        <w:tc>
          <w:tcPr>
            <w:tcW w:type="dxa" w:w="3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气相色谱</w:t>
            </w:r>
            <w:r>
              <w:rPr>
                <w:sz w:val="21"/>
              </w:rPr>
              <w:t>-</w:t>
            </w:r>
            <w:r>
              <w:rPr>
                <w:sz w:val="21"/>
              </w:rPr>
              <w:t>质谱</w:t>
            </w:r>
            <w:r>
              <w:rPr>
                <w:sz w:val="21"/>
              </w:rPr>
              <w:t>-</w:t>
            </w:r>
            <w:r>
              <w:rPr>
                <w:sz w:val="21"/>
              </w:rPr>
              <w:t>质谱联用仪</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1,298,000.00</w:t>
            </w:r>
          </w:p>
        </w:tc>
      </w:tr>
    </w:tbl>
    <w:p>
      <w:pPr>
        <w:pStyle w:val="null3"/>
        <w:ind w:firstLine="402"/>
        <w:jc w:val="both"/>
      </w:pPr>
      <w:r>
        <w:rPr>
          <w:b/>
        </w:rPr>
        <w:t>注：本项目采购本国产品。</w:t>
      </w:r>
    </w:p>
    <w:p>
      <w:pPr>
        <w:pStyle w:val="null3"/>
        <w:pBdr>
          <w:bottom w:val="single" w:sz="6" w:space="1"/>
          <w:between w:val="single" w:sz="6" w:space="1"/>
        </w:pBdr>
        <w:ind w:firstLine="402"/>
        <w:jc w:val="both"/>
      </w:pPr>
      <w:r>
        <w:rPr>
          <w:sz w:val="28"/>
          <w:b/>
        </w:rPr>
        <w:t>二、技术要求：</w:t>
      </w:r>
    </w:p>
    <w:tbl>
      <w:tblPr>
        <w:tblW w:w="0" w:type="auto"/>
        <w:tblBorders>
          <w:top w:val="none" w:color="000000" w:sz="4"/>
          <w:left w:val="none" w:color="000000" w:sz="4"/>
          <w:bottom w:val="none" w:color="000000" w:sz="4"/>
          <w:right w:val="none" w:color="000000" w:sz="4"/>
          <w:insideH w:val="none"/>
          <w:insideV w:val="none"/>
        </w:tblBorders>
      </w:tblPr>
      <w:tblGrid>
        <w:gridCol w:w="1098"/>
        <w:gridCol w:w="7192"/>
      </w:tblGrid>
      <w:tr>
        <w:tc>
          <w:tcPr>
            <w:tcW w:type="dxa" w:w="109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模块</w:t>
            </w:r>
            <w:r>
              <w:rPr>
                <w:sz w:val="21"/>
                <w:b/>
              </w:rPr>
              <w:t>1</w:t>
            </w:r>
          </w:p>
        </w:tc>
        <w:tc>
          <w:tcPr>
            <w:tcW w:type="dxa" w:w="7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1.工作条件</w:t>
            </w:r>
          </w:p>
        </w:tc>
      </w:tr>
      <w:tr>
        <w:tc>
          <w:tcPr>
            <w:tcW w:type="dxa" w:w="1098"/>
            <w:vMerge/>
            <w:tcBorders>
              <w:top w:val="singl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 电源：220V，50Hz。</w:t>
            </w:r>
          </w:p>
        </w:tc>
      </w:tr>
      <w:tr>
        <w:tc>
          <w:tcPr>
            <w:tcW w:type="dxa" w:w="1098"/>
            <w:vMerge/>
            <w:tcBorders>
              <w:top w:val="singl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 工作温度：20-35˚C。</w:t>
            </w:r>
          </w:p>
        </w:tc>
      </w:tr>
      <w:tr>
        <w:tc>
          <w:tcPr>
            <w:tcW w:type="dxa" w:w="1098"/>
            <w:vMerge/>
            <w:tcBorders>
              <w:top w:val="singl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 湿度：操作状态25-50%，非操作状态20-80%。</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2.性能指标</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2.1 气相色谱部分</w:t>
            </w:r>
          </w:p>
        </w:tc>
      </w:tr>
      <w:tr>
        <w:tc>
          <w:tcPr>
            <w:tcW w:type="dxa" w:w="10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模块</w:t>
            </w:r>
            <w:r>
              <w:rPr>
                <w:sz w:val="21"/>
                <w:b/>
              </w:rPr>
              <w:t>2</w:t>
            </w: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2.1.1 柱箱</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2.1.1.1 柱箱温度：室温上5˚C-450˚C。</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2.1.1.2 升温速率：最大升温速度≥</w:t>
            </w:r>
            <w:r>
              <w:rPr>
                <w:sz w:val="21"/>
              </w:rPr>
              <w:t>120˚C/min，可设定分度值0.01˚C/min。</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2.1.1.3 程序升温阶数：不少于19阶/20平台。</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2.1.1.4 控温准确性：</w:t>
            </w:r>
            <w:r>
              <w:rPr>
                <w:sz w:val="21"/>
              </w:rPr>
              <w:t>≤</w:t>
            </w:r>
            <w:r>
              <w:rPr>
                <w:sz w:val="21"/>
              </w:rPr>
              <w:t>0.01℃。</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2.1.1.5 降温速度：从450˚C降至50˚C≤240秒。</w:t>
            </w:r>
          </w:p>
        </w:tc>
      </w:tr>
      <w:tr>
        <w:tc>
          <w:tcPr>
            <w:tcW w:type="dxa" w:w="10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模块</w:t>
            </w:r>
            <w:r>
              <w:rPr>
                <w:sz w:val="21"/>
                <w:b/>
              </w:rPr>
              <w:t>3</w:t>
            </w: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2.1.2 操作界面</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2.1.2.1 气相色谱仪主机操作界面：彩色触摸屏，操作语言包含中文、英文，可完全控制及显示所有温度区域和载气流量。</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2.1.2.2 有软件、触摸屏和浏览器等多种用户操作界面，可远程操作和监控仪器。</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▲2.1.2.3 具有气相色谱柱识别接口，可记录色谱柱使用情况，反馈色谱柱使用信息。</w:t>
            </w:r>
          </w:p>
        </w:tc>
      </w:tr>
      <w:tr>
        <w:tc>
          <w:tcPr>
            <w:tcW w:type="dxa" w:w="10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模块</w:t>
            </w:r>
            <w:r>
              <w:rPr>
                <w:sz w:val="21"/>
                <w:b/>
              </w:rPr>
              <w:t>4</w:t>
            </w: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2.1.3 流路系统</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▲2.1.3.1 具有柱后反吹功能，实现系统自动清洁，增加色谱柱寿命，降低仪器维护频率。</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▲2.1.3.2 具有免放空装置，可不泄真空更换色谱柱。</w:t>
            </w:r>
          </w:p>
        </w:tc>
      </w:tr>
      <w:tr>
        <w:tc>
          <w:tcPr>
            <w:tcW w:type="dxa" w:w="10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模块</w:t>
            </w:r>
            <w:r>
              <w:rPr>
                <w:sz w:val="21"/>
                <w:b/>
              </w:rPr>
              <w:t>5</w:t>
            </w: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2.1.4 多模式进样口</w:t>
            </w:r>
            <w:r>
              <w:rPr>
                <w:sz w:val="21"/>
                <w:b/>
              </w:rPr>
              <w:t>（带电子气路控制）</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2.1.4.1 进样模式：包括热不分流模式、冷不分流模式、溶剂放空模式、程序升温进样。</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2.1.4.2 可编程电子参数设定压力、流速、分流比，电子流量控制隔垫吹扫。</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2.1.4.3 最大压力≥100psi。</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2.1.4.4 压力设定精度：≤0.001psi。</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2.1.4.5 流量设定范围：0-1250mL/min。</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2.1.4.6 最高使用温度≥430˚C。</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▲2.1.4.7 进样口程序升温：≥240˚C/min，设定分度值0.01˚C/min。</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▲2.1.4.8 具有恒线速度控制模式，保证分离效率最佳。</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▲2.1.4.9 隔垫吹扫流量控制：设置范围0-30mL/min；可设置定时事件，在固相微萃取解吸阶段自动关闭隔垫吹扫流量避免样品损失，在解吸结束后自动开启隔垫吹扫流量减少进样口污染。</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2.2 多功能自动进样器</w:t>
            </w:r>
          </w:p>
        </w:tc>
      </w:tr>
      <w:tr>
        <w:tc>
          <w:tcPr>
            <w:tcW w:type="dxa" w:w="10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模块</w:t>
            </w:r>
            <w:r>
              <w:rPr>
                <w:sz w:val="21"/>
                <w:b/>
              </w:rPr>
              <w:t>6</w:t>
            </w: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b/>
              </w:rPr>
              <w:t>2.2.1 基本功能</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可在线自动切换液体进样、顶空进样、固相微萃取进样。</w:t>
            </w:r>
          </w:p>
        </w:tc>
      </w:tr>
      <w:tr>
        <w:tc>
          <w:tcPr>
            <w:tcW w:type="dxa" w:w="10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模块</w:t>
            </w:r>
            <w:r>
              <w:rPr>
                <w:sz w:val="21"/>
                <w:b/>
              </w:rPr>
              <w:t>7</w:t>
            </w: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2.2.2 液体进样</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 2mL样品瓶液体进样位≥150位。</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2.2.2.2 进样体积：0.5μL-2250μL。</w:t>
            </w:r>
          </w:p>
        </w:tc>
      </w:tr>
      <w:tr>
        <w:tc>
          <w:tcPr>
            <w:tcW w:type="dxa" w:w="10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模块</w:t>
            </w:r>
            <w:r>
              <w:rPr>
                <w:sz w:val="21"/>
                <w:b/>
              </w:rPr>
              <w:t>8</w:t>
            </w: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2.2.3 顶空进样</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2.2.3.1 样品处理量：20mL样品瓶位≥45位。</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2.2.3.2 注射器使用惰性载气吹扫，全流路无阀设计。</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2.2.3.3 配2.5mL注射器，注射体积250-2500µL。</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2.2.3.4 顶空注射器加热温度：40-150°C。</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2.2.3.5 加热搅拌器：不低于6位，温度范围35-200°C，可设定分度值1°C。</w:t>
            </w:r>
          </w:p>
        </w:tc>
      </w:tr>
      <w:tr>
        <w:tc>
          <w:tcPr>
            <w:tcW w:type="dxa" w:w="10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模块</w:t>
            </w:r>
            <w:r>
              <w:rPr>
                <w:sz w:val="21"/>
                <w:b/>
              </w:rPr>
              <w:t>9</w:t>
            </w: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2.2.4 固相微萃取进样</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▲2.2.4.1 样品处理量：20mL样品瓶位≥45位。</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2.2.4.2 加热搅拌器：不低于6位，温度范围35-200°C，可设定分度值1°C。</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★2.2.4.3 具有纤维萃取头独立老化装置。</w:t>
            </w:r>
          </w:p>
        </w:tc>
      </w:tr>
      <w:tr>
        <w:tc>
          <w:tcPr>
            <w:tcW w:type="dxa" w:w="10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模块</w:t>
            </w:r>
            <w:r>
              <w:rPr>
                <w:sz w:val="21"/>
                <w:b/>
              </w:rPr>
              <w:t>10</w:t>
            </w: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2.3 质谱部分</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 质量数范围：10-1050</w:t>
            </w:r>
            <w:r>
              <w:rPr>
                <w:sz w:val="21"/>
                <w:i/>
              </w:rPr>
              <w:t>m</w:t>
            </w:r>
            <w:r>
              <w:rPr>
                <w:sz w:val="21"/>
              </w:rPr>
              <w:t>/</w:t>
            </w:r>
            <w:r>
              <w:rPr>
                <w:sz w:val="21"/>
                <w:i/>
              </w:rPr>
              <w:t>z</w:t>
            </w:r>
            <w:r>
              <w:rPr>
                <w:sz w:val="21"/>
              </w:rPr>
              <w:t>。</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★2.3.2 仪器检测限：以30m×0.25mm，0.25µm色谱柱为标准，氦气做载气，10 fg OFN连续8次进样，99%置信区间，EI离子源，IDL（MRM）：≤4.0fg。</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▲2.3.3 信噪比：EI离子源MRM模式1 µL 100 fg/µL八氟萘</w:t>
            </w:r>
            <w:r>
              <w:rPr>
                <w:sz w:val="21"/>
                <w:i/>
              </w:rPr>
              <w:t>m</w:t>
            </w:r>
            <w:r>
              <w:rPr>
                <w:sz w:val="21"/>
              </w:rPr>
              <w:t>/</w:t>
            </w:r>
            <w:r>
              <w:rPr>
                <w:sz w:val="21"/>
                <w:i/>
              </w:rPr>
              <w:t>z</w:t>
            </w:r>
            <w:r>
              <w:rPr>
                <w:sz w:val="21"/>
              </w:rPr>
              <w:t xml:space="preserve"> </w:t>
            </w:r>
            <w:r>
              <w:rPr>
                <w:sz w:val="21"/>
              </w:rPr>
              <w:t>272 → 222离子对S/N≥15000:1。</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2.3.4 分辨率：0.5-4amu可调。</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2.3.5 动态范围：从LOD以上7个数量级的线性动态范围。</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▲2.3.6 具有氦气消除功能，可有效消除载气氦气所带来的背景噪音干扰，氦气消除气体流量范围在0-5.0mL/min可调。</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▲2.3.7 最大MRM速率≥800通道/s，最小驻留时间0.5ms。</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2.3.8 无损双灯丝设计，灯丝受长效保护，提高灯丝寿命，灯丝电流：0-280μA。</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2.3.9 最大离子化能量：280eV。</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2.3.10 离子源：EI源，独立控温，最高温度可达350°C。</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▲2.3.11 质量分析器：镀金共轭双曲面四极杆或全金属钼四极杆，能独立温控。</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2.3.12 质谱真空系统：二级真空系统，双级涡轮分子泵提供高真空，抽速不小于360L/s，配备高真空规。</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▲2.3.13 采集模式：全扫描（Full Scan）、子离子扫描（Product Ion Scan）、母离子扫描（Precursor Ion Scan）、中性丢失扫描（Neutral Loss Scan）、选择离子监测（SIM）、多反应监测（MRM）、动态多反应监测（dMRM）、触发式产物离子扫描（tMRM）</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▲2.3.14 支持多种监测模式的同时扫描，可实现dMRM、Scan同时扫描。</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2.3.15 质谱早期维护监测：自行监测质谱重要运行参数，通过早期维护反馈实时了解系统的整体运行状况，避免意外的仪器问题及导致的停机时间影响实验室运营。</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2.3.16 质谱泄漏测试：可在样品采集过程中执行空气泄漏和水渗漏的检查，监测泄漏测试的响应，保证仪器处于正常的工作状态。</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2.4 数据处理系统</w:t>
            </w:r>
          </w:p>
        </w:tc>
      </w:tr>
      <w:tr>
        <w:tc>
          <w:tcPr>
            <w:tcW w:type="dxa" w:w="10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模块</w:t>
            </w:r>
            <w:r>
              <w:rPr>
                <w:sz w:val="21"/>
                <w:b/>
              </w:rPr>
              <w:t>11</w:t>
            </w: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2.4.1 数据采集软件</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▲2.4.1.1 MRM方法包：数据库包含超过1100种以上的农药、环境污染物、法医毒物的MRM参数、CAS号、名称、保留指数/保留时间，其中包含GB 23200.113-2018中全部208种农药及其代谢物，每种化合物包含不少5个MRM离子对数据和至少3种色谱柱上的保留指数/保留时间，随附应用方法开发用农药残留标准品溶液。</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▲2.4.1.2 数据库中化合物MRM采集方法创建：无需标准品，用户可根据工作需要在MRM数据库中选择任意数量的化合物分为一组，选择每种化合物的MRM离子对数量，由软件自动创建dMRM采集方法；若只能创建分段MRM采集方法，应由软件自动分段。</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▲2.4.1.3 数据库外化合物MRM采集方法创建：具有MRM自动优化工具，每种化合物支持设置多个母离子用于子离子扫描，子离子扫描允许采用最多4种碰撞能量，选定母离子和子离子后仅需一次进样即可采集多种碰撞能量的数据，快速完成碰撞能量优化。</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2.4.1.4 具有保留时间锁定或自动调整功能，在色谱柱长度或柱效变化的情况下使待测物保留时间不变或自动调整MRM采集方法的分段。</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★2.4.1.5 固相微萃取方法参数直接在气相色谱质谱联用仪的数据采集软件中设置，并可在该软件中运行固相微萃取样品序列，无需多功能自动进样器独立控制软件。</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2.4.1.6 软件内嵌消耗品目录，可通过货号直接选择对应衬管及色谱柱，避免误操作。</w:t>
            </w:r>
          </w:p>
        </w:tc>
      </w:tr>
      <w:tr>
        <w:tc>
          <w:tcPr>
            <w:tcW w:type="dxa" w:w="10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模块</w:t>
            </w:r>
            <w:r>
              <w:rPr>
                <w:sz w:val="21"/>
                <w:b/>
              </w:rPr>
              <w:t>12</w:t>
            </w: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2.4.2 数据分析软件</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2.4.2.1 同时包含中文和英文界面，支持全中文的样品名、文件名、序列名等输入，包含未知物解析、解卷积（非NIST带有的AMDIS）功能。</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2.4.2.2 通用谱库：NIST23谱库。</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2.4.2.3 农残限值快速判定功能：内置数据库，包含GB 2763-2021的10084条限值并据此判读，直接在定量结果界面显示结果是否超标。</w:t>
            </w:r>
          </w:p>
        </w:tc>
      </w:tr>
      <w:tr>
        <w:tc>
          <w:tcPr>
            <w:tcW w:type="dxa" w:w="10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模块</w:t>
            </w:r>
            <w:r>
              <w:rPr>
                <w:sz w:val="21"/>
                <w:b/>
              </w:rPr>
              <w:t>13</w:t>
            </w: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b/>
              </w:rPr>
              <w:t>2.4.3 报告编辑器</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具有图形化报告编辑器，可在页面任意位置添加自定义字段和图片，可自定义报告标题，以符合用户工作单位格式要求。</w:t>
            </w:r>
          </w:p>
        </w:tc>
      </w:tr>
      <w:tr>
        <w:tc>
          <w:tcPr>
            <w:tcW w:type="dxa" w:w="10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模块</w:t>
            </w:r>
            <w:r>
              <w:rPr>
                <w:sz w:val="21"/>
                <w:b/>
              </w:rPr>
              <w:t>14</w:t>
            </w: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3.配置要求</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b/>
              </w:rPr>
              <w:t>3.1 气相色谱-三重四级杆质谱联用仪系统</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三重四极杆型气相色谱质谱联用仪主机</w:t>
            </w:r>
            <w:r>
              <w:rPr>
                <w:sz w:val="21"/>
              </w:rPr>
              <w:t>1台，多模式进样口1个，分流/不分流进样口1个，EI离子源1套，分流捕集阱1个，机械泵1套，泵油2L（无油机械泵无需配置），免放空装置1套，数据采集与分析软硬件1套，扳手等工具包1套，He专用过滤器1个，碰撞气专用过滤器1个，(5%-苯基)-甲基聚硅氧烷气相色谱柱1根，纸质产品使用说明书2份，农药、环境污染物、法医毒物MRM方法包（含农药残留标准品溶液）1套，NIST23谱库1套，不间断电源（蓄电池额定能量≥12kWh）1套。</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b/>
              </w:rPr>
              <w:t>3.2 多功能自动进样器</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多功能自动进样器主机</w:t>
            </w:r>
            <w:r>
              <w:rPr>
                <w:sz w:val="21"/>
              </w:rPr>
              <w:t>1套，标准清洗模块1套，液体进样模块1套，固相微萃取模块1套，样品加热振荡模块1套，固相微萃取纤维老化模块1套，10μL液体进样针3支，100μL液体进样针1支，1000μL液体进样针1支，固相微萃取纤维套装1套（含不同材料萃取头5支），20mL磁性顶空瓶含瓶盖100个。</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b/>
              </w:rPr>
              <w:t>3.3 备用消耗品（不含安装时已使用的消耗品）</w:t>
            </w:r>
          </w:p>
        </w:tc>
      </w:tr>
      <w:tr>
        <w:tc>
          <w:tcPr>
            <w:tcW w:type="dxa" w:w="1098"/>
            <w:vMerge/>
            <w:tcBorders>
              <w:top w:val="none" w:color="000000" w:sz="4"/>
              <w:left w:val="single" w:color="000000" w:sz="4"/>
              <w:bottom w:val="single" w:color="000000" w:sz="4"/>
              <w:right w:val="single" w:color="000000" w:sz="4"/>
            </w:tcBorders>
          </w:tcPr>
          <w:p/>
        </w:tc>
        <w:tc>
          <w:tcPr>
            <w:tcW w:type="dxa" w:w="7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进样口隔垫</w:t>
            </w:r>
            <w:r>
              <w:rPr>
                <w:sz w:val="21"/>
              </w:rPr>
              <w:t>50个，超高惰性不分流衬管（带O型圈）10根，色谱柱密封垫圈20个，色谱柱螺帽10个，免放空装置密封垫圈20个，分流平板1个，分流捕集阱1个，离子源灯丝2根，(14%-氰丙基-苯基)-甲基聚硅氧烷气相色谱柱1根，(35%-苯基)-甲基聚硅氧烷气相色谱柱1根。</w:t>
            </w:r>
          </w:p>
        </w:tc>
      </w:tr>
    </w:tbl>
    <w:p>
      <w:pPr>
        <w:pStyle w:val="null3"/>
        <w:pBdr>
          <w:bottom w:val="single" w:sz="6" w:space="1"/>
          <w:between w:val="single" w:sz="6" w:space="1"/>
        </w:pBdr>
      </w:pPr>
      <w:r>
        <w:rPr/>
        <w:t xml:space="preserve"> </w:t>
      </w:r>
    </w:p>
    <w:p>
      <w:pPr>
        <w:pStyle w:val="null3"/>
      </w:pPr>
      <w:r>
        <w:rPr/>
        <w:t>采购包1（气相色谱-质谱-质谱联用仪）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合同签订后60天内交货</w:t>
            </w:r>
          </w:p>
        </w:tc>
      </w:tr>
      <w:tr>
        <w:tc>
          <w:tcPr>
            <w:tcW w:type="dxa" w:w="4153"/>
          </w:tcPr>
          <w:p>
            <w:pPr>
              <w:pStyle w:val="null3"/>
            </w:pPr>
            <w:r>
              <w:rPr/>
              <w:t>标的提供的地点</w:t>
            </w:r>
          </w:p>
        </w:tc>
        <w:tc>
          <w:tcPr>
            <w:tcW w:type="dxa" w:w="4153"/>
          </w:tcPr>
          <w:p>
            <w:pPr>
              <w:pStyle w:val="null3"/>
            </w:pPr>
            <w:r>
              <w:rPr/>
              <w:t>江门市疾病预防控制中心指定地点</w:t>
            </w:r>
          </w:p>
        </w:tc>
      </w:tr>
      <w:tr>
        <w:tc>
          <w:tcPr>
            <w:tcW w:type="dxa" w:w="4153"/>
          </w:tcPr>
          <w:p>
            <w:pPr>
              <w:pStyle w:val="null3"/>
            </w:pPr>
            <w:r>
              <w:rPr/>
              <w:t>付款方式</w:t>
            </w:r>
          </w:p>
        </w:tc>
        <w:tc>
          <w:tcPr>
            <w:tcW w:type="dxa" w:w="4153"/>
          </w:tcPr>
          <w:p>
            <w:pPr>
              <w:pStyle w:val="null3"/>
            </w:pPr>
            <w:r>
              <w:rPr/>
              <w:t>1期：支付比例50%,采购人确定收到履约保证金后10个工作日内向中标人预付不少于合同款的50%，中标人需于采购人付款前10个工作日向采购人提供与预付款金额相符的有效发票，且收款方、出具发票方、合同乙方均必须与中标人名称一致。</w:t>
            </w:r>
          </w:p>
          <w:p>
            <w:pPr>
              <w:pStyle w:val="null3"/>
            </w:pPr>
            <w:r>
              <w:rPr/>
              <w:t>2期：支付比例50%,采购人于设备安装完毕并验收合格后15个工作日内向中标人支付剩余合同款，中标人需于采购人付款前10个工作日向采购人提供与付款金额相符的有效发票，且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1期：（1）验收时间：设备安装调试完毕正常运行后1个月内。 （2）验收方法：采购人派遣有经验有能力的人员检验产品和工程的质量和指标。 （3）验收标准：符合国家及厂家相关技术标准；符合招标文件、中标人的投标文件、澄清文件和中标通知书的要求（以上文件存在差异时，以较高标准为准）；单证齐全，有产品合格证（或质量保证书）、发票和其它应当具有单证文件。 （4）采购人对中标人产品质量的验收为表面验收，不能视为采购人对中标人供应的产品质量完全验收，如采购人在使用的过程中发现中标人供应的产品存在质量问题不符合合同约定的，采购人依然有权要求中标人退换或追究中标人其他的违约责任。</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p>
          <w:p>
            <w:pPr>
              <w:pStyle w:val="null3"/>
            </w:pPr>
            <w:r>
              <w:rPr/>
              <w:t>账号：103001517010004211</w:t>
            </w:r>
          </w:p>
          <w:p>
            <w:pPr>
              <w:pStyle w:val="null3"/>
            </w:pPr>
            <w:r>
              <w:rPr/>
              <w:t>户名：江门市疾病预防控制中心</w:t>
            </w:r>
          </w:p>
          <w:p>
            <w:pPr>
              <w:pStyle w:val="null3"/>
            </w:pPr>
            <w:r>
              <w:rPr/>
              <w:t>开户行：广发银行江门分行</w:t>
            </w:r>
          </w:p>
          <w:p>
            <w:pPr>
              <w:pStyle w:val="null3"/>
            </w:pPr>
            <w:r>
              <w:rPr/>
              <w:t>支票提交方式：随投标文件一并提交</w:t>
            </w:r>
          </w:p>
          <w:p>
            <w:pPr>
              <w:pStyle w:val="null3"/>
            </w:pPr>
            <w:r>
              <w:rPr/>
              <w:t>汇票、本票提交方式：随投标文件一并提交</w:t>
            </w:r>
          </w:p>
          <w:p>
            <w:pPr>
              <w:pStyle w:val="null3"/>
            </w:pPr>
            <w:r>
              <w:rPr/>
              <w:t>说明：中标人须在合同签订后的5个工作日内向采购人支付合同总金额的5%作为履约保证金，可转账或采取银行保函形式，银行保函有效期至合同履约结束；如转账支付履约保证金的，验收合格后由采购人不计利息退还履约保证金，免费保修期依然生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其他未尽事宜，详见合同文本。</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产品授权</w:t>
            </w:r>
          </w:p>
        </w:tc>
        <w:tc>
          <w:tcPr>
            <w:tcW w:type="dxa" w:w="2076"/>
          </w:tcPr>
          <w:p>
            <w:pPr>
              <w:pStyle w:val="null3"/>
              <w:jc w:val="left"/>
            </w:pPr>
            <w:r>
              <w:rPr/>
              <w:t>如投标人所投的产品不是投标人自己制造的，投标人应得到制造商同意其在本次投标中提供该货物的正式授权书。</w:t>
            </w:r>
          </w:p>
        </w:tc>
      </w:tr>
      <w:tr>
        <w:tc>
          <w:tcPr>
            <w:tcW w:type="dxa" w:w="2076"/>
          </w:tcPr>
          <w:p/>
        </w:tc>
        <w:tc>
          <w:tcPr>
            <w:tcW w:type="dxa" w:w="2076"/>
          </w:tcPr>
          <w:p>
            <w:pPr>
              <w:pStyle w:val="null3"/>
              <w:jc w:val="center"/>
            </w:pPr>
            <w:r>
              <w:rPr/>
              <w:t>2</w:t>
            </w:r>
          </w:p>
        </w:tc>
        <w:tc>
          <w:tcPr>
            <w:tcW w:type="dxa" w:w="2076"/>
          </w:tcPr>
          <w:p>
            <w:pPr>
              <w:pStyle w:val="null3"/>
              <w:jc w:val="left"/>
            </w:pPr>
            <w:r>
              <w:rPr/>
              <w:t>安装调试与售后服务1</w:t>
            </w:r>
          </w:p>
        </w:tc>
        <w:tc>
          <w:tcPr>
            <w:tcW w:type="dxa" w:w="2076"/>
          </w:tcPr>
          <w:p>
            <w:pPr>
              <w:pStyle w:val="null3"/>
              <w:jc w:val="left"/>
            </w:pPr>
            <w:r>
              <w:rPr/>
              <w:t>投标人提供仪器的现场安装调试（含电路安装改造）并达到投标书指标要求的技术性能，并同时在现场对用户进行操作培训。现场为用户建立百菌清、硫丹硫酸酯与GB 23200.113-2018中11种农药同时检测的MRM方法。如果现场安装测试指标未通过，用户有权要求退货并要求赔偿损失。</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安装调试与售后服务2</w:t>
            </w:r>
          </w:p>
        </w:tc>
        <w:tc>
          <w:tcPr>
            <w:tcW w:type="dxa" w:w="2076"/>
          </w:tcPr>
          <w:p>
            <w:pPr>
              <w:pStyle w:val="null3"/>
              <w:jc w:val="left"/>
            </w:pPr>
            <w:r>
              <w:rPr/>
              <w:t>★仪器在调试通过后提供保修服务。保修期自验收合格日期起不少于36个月。在保修期内，所有服务及配件全部免费。</w:t>
            </w:r>
          </w:p>
        </w:tc>
      </w:tr>
      <w:tr>
        <w:tc>
          <w:tcPr>
            <w:tcW w:type="dxa" w:w="2076"/>
          </w:tcPr>
          <w:p/>
        </w:tc>
        <w:tc>
          <w:tcPr>
            <w:tcW w:type="dxa" w:w="2076"/>
          </w:tcPr>
          <w:p>
            <w:pPr>
              <w:pStyle w:val="null3"/>
              <w:jc w:val="center"/>
            </w:pPr>
            <w:r>
              <w:rPr/>
              <w:t>4</w:t>
            </w:r>
          </w:p>
        </w:tc>
        <w:tc>
          <w:tcPr>
            <w:tcW w:type="dxa" w:w="2076"/>
          </w:tcPr>
          <w:p>
            <w:pPr>
              <w:pStyle w:val="null3"/>
              <w:jc w:val="left"/>
            </w:pPr>
            <w:r>
              <w:rPr/>
              <w:t>安装调试与售后服务3</w:t>
            </w:r>
          </w:p>
        </w:tc>
        <w:tc>
          <w:tcPr>
            <w:tcW w:type="dxa" w:w="2076"/>
          </w:tcPr>
          <w:p>
            <w:pPr>
              <w:pStyle w:val="null3"/>
              <w:jc w:val="left"/>
            </w:pPr>
            <w:r>
              <w:rPr/>
              <w:t>投标人设有分析仪器教育培训中心和应用实验室，为用户提供仪器的基本原理、操作、日常维护及基础分析仪器理论课程，并为用户提供上机培训。</w:t>
            </w:r>
          </w:p>
        </w:tc>
      </w:tr>
      <w:tr>
        <w:tc>
          <w:tcPr>
            <w:tcW w:type="dxa" w:w="2076"/>
          </w:tcPr>
          <w:p/>
        </w:tc>
        <w:tc>
          <w:tcPr>
            <w:tcW w:type="dxa" w:w="2076"/>
          </w:tcPr>
          <w:p>
            <w:pPr>
              <w:pStyle w:val="null3"/>
              <w:jc w:val="center"/>
            </w:pPr>
            <w:r>
              <w:rPr/>
              <w:t>5</w:t>
            </w:r>
          </w:p>
        </w:tc>
        <w:tc>
          <w:tcPr>
            <w:tcW w:type="dxa" w:w="2076"/>
          </w:tcPr>
          <w:p>
            <w:pPr>
              <w:pStyle w:val="null3"/>
              <w:jc w:val="left"/>
            </w:pPr>
            <w:r>
              <w:rPr/>
              <w:t>安装调试与售后服务4</w:t>
            </w:r>
          </w:p>
        </w:tc>
        <w:tc>
          <w:tcPr>
            <w:tcW w:type="dxa" w:w="2076"/>
          </w:tcPr>
          <w:p>
            <w:pPr>
              <w:pStyle w:val="null3"/>
              <w:jc w:val="left"/>
            </w:pPr>
            <w:r>
              <w:rPr/>
              <w:t>投标人在国内设有专业的维修站，具备完善的售后服务体系，通过ISO质量体系认证，有专职的维修工程师及应用工程师有效保证售后维修的及时、快捷，并负责提供技术支持，保证仪器的正常操作，并协助用户进行方法开发。</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质谱仪</w:t>
            </w:r>
          </w:p>
        </w:tc>
        <w:tc>
          <w:tcPr>
            <w:tcW w:type="dxa" w:w="831"/>
          </w:tcPr>
          <w:p>
            <w:pPr>
              <w:pStyle w:val="null3"/>
              <w:jc w:val="left"/>
            </w:pPr>
            <w:r>
              <w:rPr/>
              <w:t>气相色谱-质谱-质谱联用仪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1,298,000.00</w:t>
            </w:r>
          </w:p>
        </w:tc>
        <w:tc>
          <w:tcPr>
            <w:tcW w:type="dxa" w:w="831"/>
          </w:tcPr>
          <w:p>
            <w:pPr>
              <w:pStyle w:val="null3"/>
              <w:jc w:val="right"/>
            </w:pPr>
            <w:r>
              <w:rPr/>
              <w:t>1,298,000.00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气相色谱-质谱-质谱联用仪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江门市疾病预防控制中心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收取（货物类）（按前述标准计算，低于6000元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采购包1(气相色谱-质谱-质谱联用仪)：综合评分法,是指投标文件满足招标文件全部实质性要求，且按照评审因素的量化指标评审得分最高的投标人为中标候选人的评标方法。（最低报价不是中标的唯一依据。）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采购包1（气相色谱-质谱-质谱联用仪）：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采购包1（气相色谱-质谱-质谱联用仪）：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或提供《资格条件承诺函》（详见招标公告附件））。</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采购包1（气相色谱-质谱-质谱联用仪）：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产品来源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采购包1(气相色谱-质谱-质谱联用仪):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(34.0分)</w:t>
            </w:r>
          </w:p>
        </w:tc>
        <w:tc>
          <w:tcPr>
            <w:tcW w:type="dxa" w:w="5076"/>
          </w:tcPr>
          <w:p>
            <w:pPr>
              <w:pStyle w:val="null3"/>
              <w:jc w:val="left"/>
            </w:pPr>
            <w:r>
              <w:rPr/>
              <w:t>根据投标人所投产品对采购需求中“二、技术要求”中带“▲”的重要技术条款（17条）的响应情况进行评审：完全满足要求得34分，每有一条条款不满足（负偏离或不响应）扣2分，最高扣34分。【注：按以下要求提供证明材料：①用户需求书有要求的，按用户需求书要求提供证明材料；②用户需求书中无要求的，提供产品彩页或技术白皮书或图片或制造商针对本项目所作的技术参数说明或国家认可的第三方检测机构出具的检测报告复印件（投标人须按货物实际参数进行响应，否则视为提供虚假材料谋取成交资格）】</w:t>
            </w:r>
          </w:p>
        </w:tc>
      </w:tr>
      <w:tr>
        <w:tc>
          <w:tcPr>
            <w:tcW w:type="dxa" w:w="922"/>
            <w:gridSpan w:val="2"/>
            <w:vMerge/>
          </w:tcPr>
          <w:p/>
        </w:tc>
        <w:tc>
          <w:tcPr>
            <w:tcW w:type="dxa" w:w="2307"/>
          </w:tcPr>
          <w:p>
            <w:pPr>
              <w:pStyle w:val="null3"/>
              <w:jc w:val="left"/>
            </w:pPr>
            <w:r>
              <w:rPr/>
              <w:t>不带“▲”“★”号的一般技术条款的响应情况 (15.0分)</w:t>
            </w:r>
          </w:p>
        </w:tc>
        <w:tc>
          <w:tcPr>
            <w:tcW w:type="dxa" w:w="5076"/>
          </w:tcPr>
          <w:p>
            <w:pPr>
              <w:pStyle w:val="null3"/>
              <w:jc w:val="left"/>
            </w:pPr>
            <w:r>
              <w:rPr/>
              <w:t>根据投标人所投产品对采购需求中“二、技术要求”中含有不带“▲”“★”号的一般技术条款的模块（10个）的响应情况进行评审：完全满足要求得15分，每有一个模块不满足（该模块有1条参数负偏离或不响应视为整个模块不满足）扣1.5分，最高扣15分。【注：按以下要求提供证明材料：①用户需求书有要求的，按用户需求书要求提供证明材料；②用户需求书中无要求的，提供产品彩页或技术白皮书或图片或制造商针对本项目所作的技术参数说明或国家认可的第三方检测机构出具的检测报告复印件（投标人须按货物实际参数进行响应，否则视为提供虚假材料谋取成交资格）】</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提供的项目实施方案（包括：实施供货计划、项目组织管理及人员安排、包装运输方案、安装测试方案）等内容进行评审：方案内容描述全面且清晰，可行性高，完全满足或优于采购需求的，得6分；方案内容描述清晰，具有可行性，基本满足采购需求的，得3分；方案内容简单笼统，可行性欠缺，部分满足采购需求的，得1分；方案内容有缺漏或方案不满足采购需求或未提供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投标人提供的培训方案（包括：培训目标制定与落实措施、培训次数针对性落实措施、师资力量调配和安排措施、结合本项目培训内容与计划制定及完善措施）等内容进行评审：方案内容描述全面且清晰，可行性高，完全满足或优于采购需求的，得5分；方案内容描述清晰，具有可行性，基本满足采购需求的，得3分；方案内容简单笼统，可行性欠缺，部分满足采购需求的，得1分；方案内容有缺漏或方案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(4.0分)</w:t>
            </w:r>
          </w:p>
        </w:tc>
        <w:tc>
          <w:tcPr>
            <w:tcW w:type="dxa" w:w="5076"/>
          </w:tcPr>
          <w:p>
            <w:pPr>
              <w:pStyle w:val="null3"/>
              <w:jc w:val="left"/>
            </w:pPr>
            <w:r>
              <w:rPr/>
              <w:t>投标人自2022年1月1日以来具有实验室设备或检验设备供货的业绩，每个得2分，最高得4分。【注：提供以投标人名义签订的合同复印件作为评价证明资料，以签订合同的时间为准】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包括：服务响应时间、零配件供应情况、维保服务内容、维修人员配备情况）等内容进行评审：方案内容描述全面且清晰，可行性高，完全满足或优于采购需求的，得6分；方案内容描述清晰，具有可行性，基本满足采购需求的，得3分；方案内容简单笼统，可行性欠缺，部分满足采购需求的，得1分；方案内容有缺漏或方案不满足采购需求或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推荐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设备采购</w:t>
      </w:r>
      <w:r>
        <w:rPr>
          <w:sz w:val="44"/>
          <w:b/>
        </w:rPr>
        <w:t>合同</w:t>
      </w:r>
    </w:p>
    <w:p>
      <w:pPr>
        <w:pStyle w:val="null3"/>
        <w:ind w:firstLine="523"/>
        <w:jc w:val="center"/>
      </w:pPr>
      <w:r>
        <w:rPr/>
        <w:t xml:space="preserve"> </w:t>
      </w:r>
    </w:p>
    <w:p>
      <w:pPr>
        <w:pStyle w:val="null3"/>
        <w:jc w:val="both"/>
      </w:pPr>
      <w:r>
        <w:rPr>
          <w:sz w:val="24"/>
        </w:rPr>
        <w:t>购货单位：</w:t>
      </w:r>
      <w:r>
        <w:rPr>
          <w:sz w:val="21"/>
          <w:u w:val="single"/>
        </w:rPr>
        <w:t xml:space="preserve">  </w:t>
      </w:r>
      <w:r>
        <w:rPr>
          <w:sz w:val="21"/>
          <w:u w:val="single"/>
        </w:rPr>
        <w:t xml:space="preserve"> </w:t>
      </w:r>
      <w:r>
        <w:rPr>
          <w:sz w:val="21"/>
          <w:u w:val="single"/>
        </w:rPr>
        <w:t xml:space="preserve">                </w:t>
      </w:r>
      <w:r>
        <w:rPr>
          <w:sz w:val="24"/>
        </w:rPr>
        <w:t>（以下简称甲方）</w:t>
      </w:r>
    </w:p>
    <w:p>
      <w:pPr>
        <w:pStyle w:val="null3"/>
        <w:jc w:val="both"/>
      </w:pPr>
      <w:r>
        <w:rPr>
          <w:sz w:val="24"/>
        </w:rPr>
        <w:t>供货单位：</w:t>
      </w:r>
      <w:r>
        <w:rPr>
          <w:sz w:val="21"/>
          <w:u w:val="single"/>
        </w:rPr>
        <w:t xml:space="preserve">                 </w:t>
      </w:r>
      <w:r>
        <w:rPr>
          <w:sz w:val="21"/>
          <w:u w:val="single"/>
        </w:rPr>
        <w:t xml:space="preserve"> </w:t>
      </w:r>
      <w:r>
        <w:rPr>
          <w:sz w:val="21"/>
          <w:u w:val="single"/>
        </w:rPr>
        <w:t xml:space="preserve"> </w:t>
      </w:r>
      <w:r>
        <w:rPr>
          <w:sz w:val="24"/>
        </w:rPr>
        <w:t>（以下简称乙方）</w:t>
      </w:r>
    </w:p>
    <w:p>
      <w:pPr>
        <w:pStyle w:val="null3"/>
        <w:jc w:val="both"/>
      </w:pPr>
      <w:r>
        <w:rPr/>
        <w:t xml:space="preserve"> </w:t>
      </w:r>
    </w:p>
    <w:p>
      <w:pPr>
        <w:pStyle w:val="null3"/>
        <w:ind w:firstLine="480"/>
        <w:jc w:val="both"/>
      </w:pPr>
      <w:r>
        <w:rPr>
          <w:sz w:val="24"/>
        </w:rPr>
        <w:t>甲乙双方根据《中华人民共和国民法典》、《中华人民共和国政府采购法》等有关法律法规的规定，按照</w:t>
      </w:r>
      <w:r>
        <w:rPr>
          <w:sz w:val="21"/>
          <w:u w:val="single"/>
        </w:rPr>
        <w:t xml:space="preserve">                       </w:t>
      </w:r>
      <w:r>
        <w:rPr>
          <w:sz w:val="24"/>
        </w:rPr>
        <w:t>的采购结果、招标文件、乙方的投标文件及澄清文件和中标通知书的要求，经双方协商一致，订立合同如下：</w:t>
      </w:r>
    </w:p>
    <w:p>
      <w:pPr>
        <w:pStyle w:val="null3"/>
        <w:ind w:firstLine="482"/>
        <w:jc w:val="both"/>
      </w:pPr>
      <w:r>
        <w:rPr>
          <w:sz w:val="24"/>
          <w:b/>
        </w:rPr>
        <w:t>第一条</w:t>
      </w:r>
      <w:r>
        <w:rPr>
          <w:sz w:val="21"/>
          <w:b/>
        </w:rPr>
        <w:t xml:space="preserve">  </w:t>
      </w:r>
      <w:r>
        <w:rPr>
          <w:sz w:val="24"/>
          <w:b/>
        </w:rPr>
        <w:t>项目的名称、项目总价和项目货物的清单（名称、数量、规格、单价、型号、品牌和技术指标等）</w:t>
      </w:r>
    </w:p>
    <w:p>
      <w:pPr>
        <w:pStyle w:val="null3"/>
        <w:ind w:firstLine="480"/>
        <w:jc w:val="both"/>
      </w:pPr>
      <w:r>
        <w:rPr>
          <w:sz w:val="24"/>
        </w:rPr>
        <w:t>（一）项目名称：</w:t>
      </w:r>
      <w:r>
        <w:rPr>
          <w:sz w:val="21"/>
          <w:u w:val="single"/>
        </w:rPr>
        <w:t xml:space="preserve"> </w:t>
      </w:r>
      <w:r>
        <w:rPr>
          <w:sz w:val="21"/>
          <w:u w:val="single"/>
        </w:rPr>
        <w:t xml:space="preserve">          </w:t>
      </w:r>
      <w:r>
        <w:rPr>
          <w:sz w:val="21"/>
          <w:u w:val="single"/>
        </w:rPr>
        <w:t xml:space="preserve"> </w:t>
      </w:r>
      <w:r>
        <w:rPr>
          <w:sz w:val="21"/>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72"/>
        <w:gridCol w:w="1044"/>
        <w:gridCol w:w="1094"/>
        <w:gridCol w:w="1479"/>
        <w:gridCol w:w="944"/>
        <w:gridCol w:w="596"/>
        <w:gridCol w:w="1318"/>
        <w:gridCol w:w="1318"/>
      </w:tblGrid>
      <w:tr>
        <w:tc>
          <w:tcPr>
            <w:tcW w:type="dxa" w:w="47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序号</w:t>
            </w:r>
          </w:p>
        </w:tc>
        <w:tc>
          <w:tcPr>
            <w:tcW w:type="dxa" w:w="104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货物名称</w:t>
            </w:r>
          </w:p>
        </w:tc>
        <w:tc>
          <w:tcPr>
            <w:tcW w:type="dxa" w:w="109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注册证名称</w:t>
            </w:r>
          </w:p>
        </w:tc>
        <w:tc>
          <w:tcPr>
            <w:tcW w:type="dxa" w:w="1479"/>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产地和</w:t>
            </w:r>
          </w:p>
          <w:p>
            <w:pPr>
              <w:pStyle w:val="null3"/>
              <w:jc w:val="center"/>
            </w:pPr>
            <w:r>
              <w:rPr>
                <w:sz w:val="24"/>
                <w:b/>
              </w:rPr>
              <w:t>制造商名称</w:t>
            </w:r>
          </w:p>
        </w:tc>
        <w:tc>
          <w:tcPr>
            <w:tcW w:type="dxa" w:w="94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规格、型号</w:t>
            </w:r>
          </w:p>
        </w:tc>
        <w:tc>
          <w:tcPr>
            <w:tcW w:type="dxa" w:w="59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数量</w:t>
            </w:r>
          </w:p>
        </w:tc>
        <w:tc>
          <w:tcPr>
            <w:tcW w:type="dxa" w:w="131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单价</w:t>
            </w:r>
            <w:r>
              <w:rPr>
                <w:sz w:val="24"/>
                <w:b/>
              </w:rPr>
              <w:t>(</w:t>
            </w:r>
            <w:r>
              <w:rPr>
                <w:sz w:val="24"/>
                <w:b/>
              </w:rPr>
              <w:t>元）</w:t>
            </w:r>
          </w:p>
        </w:tc>
        <w:tc>
          <w:tcPr>
            <w:tcW w:type="dxa" w:w="131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总价</w:t>
            </w:r>
            <w:r>
              <w:rPr>
                <w:sz w:val="24"/>
                <w:b/>
              </w:rPr>
              <w:t>(</w:t>
            </w:r>
            <w:r>
              <w:rPr>
                <w:sz w:val="24"/>
                <w:b/>
              </w:rPr>
              <w:t>元）</w:t>
            </w:r>
          </w:p>
        </w:tc>
      </w:tr>
      <w:tr>
        <w:tc>
          <w:tcPr>
            <w:tcW w:type="dxa" w:w="47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04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09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4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94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59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31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31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47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04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09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4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94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59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31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31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8265"/>
            <w:gridSpan w:val="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rPr>
              <w:t>合计：人民币（大写）：</w:t>
            </w:r>
            <w:r>
              <w:rPr>
                <w:sz w:val="24"/>
              </w:rPr>
              <w:t>XXXXXX</w:t>
            </w:r>
            <w:r>
              <w:rPr>
                <w:sz w:val="24"/>
              </w:rPr>
              <w:t>元；（小写）（其中，货物价格为</w:t>
            </w:r>
            <w:r>
              <w:rPr>
                <w:sz w:val="24"/>
              </w:rPr>
              <w:t>XXXXXX</w:t>
            </w:r>
            <w:r>
              <w:rPr>
                <w:sz w:val="24"/>
              </w:rPr>
              <w:t>元；税金为</w:t>
            </w:r>
            <w:r>
              <w:rPr>
                <w:sz w:val="24"/>
              </w:rPr>
              <w:t>XXXXXX</w:t>
            </w:r>
            <w:r>
              <w:rPr>
                <w:sz w:val="24"/>
              </w:rPr>
              <w:t>元）</w:t>
            </w:r>
          </w:p>
        </w:tc>
      </w:tr>
      <w:tr>
        <w:tc>
          <w:tcPr>
            <w:tcW w:type="dxa" w:w="8265"/>
            <w:gridSpan w:val="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4"/>
              </w:rPr>
              <w:t>备注：</w:t>
            </w:r>
            <w:r>
              <w:rPr>
                <w:sz w:val="24"/>
              </w:rPr>
              <w:t>注册证编号：</w:t>
            </w:r>
            <w:r>
              <w:rPr>
                <w:sz w:val="21"/>
              </w:rPr>
              <w:t xml:space="preserve">                      </w:t>
            </w:r>
          </w:p>
        </w:tc>
      </w:tr>
    </w:tbl>
    <w:p>
      <w:pPr>
        <w:pStyle w:val="null3"/>
        <w:ind w:firstLine="480"/>
        <w:jc w:val="both"/>
      </w:pPr>
      <w:r>
        <w:rPr>
          <w:sz w:val="24"/>
        </w:rPr>
        <w:t>（二）项目总价是完成项目的含税全包价，包括但不限于本合同约定的设备（包括但不限于厂家标准配置所包括的全部零配件、备品备件及专用工具等）的制造、装卸、运输、保险、安装、调试、验收、售后服务、培训、技术文件（包括但不限于相应的操作手册、维护手册、质量保证文件及服务指南等）、其他伴随服务、关税、销售税、其他税等。所有价格变动的风险均由乙方承担，甲方不需再向乙方支付任何其他费用。</w:t>
      </w:r>
    </w:p>
    <w:p>
      <w:pPr>
        <w:pStyle w:val="null3"/>
        <w:ind w:firstLine="480"/>
        <w:jc w:val="both"/>
      </w:pPr>
      <w:r>
        <w:rPr>
          <w:sz w:val="24"/>
        </w:rPr>
        <w:t>项目总价为（大写）</w:t>
      </w:r>
      <w:r>
        <w:rPr>
          <w:sz w:val="21"/>
          <w:u w:val="single"/>
        </w:rPr>
        <w:t xml:space="preserve"> </w:t>
      </w:r>
      <w:r>
        <w:rPr>
          <w:sz w:val="24"/>
          <w:u w:val="single"/>
        </w:rPr>
        <w:t>¥</w:t>
      </w:r>
      <w:r>
        <w:rPr>
          <w:sz w:val="21"/>
          <w:u w:val="single"/>
        </w:rPr>
        <w:t xml:space="preserve">                 </w:t>
      </w:r>
      <w:r>
        <w:rPr>
          <w:sz w:val="24"/>
        </w:rPr>
        <w:t>；</w:t>
      </w:r>
    </w:p>
    <w:p>
      <w:pPr>
        <w:pStyle w:val="null3"/>
        <w:ind w:firstLine="480"/>
        <w:jc w:val="both"/>
      </w:pPr>
      <w:r>
        <w:rPr>
          <w:sz w:val="24"/>
        </w:rPr>
        <w:t>（小写）</w:t>
      </w:r>
      <w:r>
        <w:rPr>
          <w:sz w:val="21"/>
          <w:u w:val="single"/>
        </w:rPr>
        <w:t xml:space="preserve"> </w:t>
      </w:r>
      <w:r>
        <w:rPr>
          <w:sz w:val="24"/>
          <w:u w:val="single"/>
        </w:rPr>
        <w:t>人民币</w:t>
      </w:r>
      <w:r>
        <w:rPr>
          <w:sz w:val="21"/>
          <w:u w:val="single"/>
        </w:rPr>
        <w:t xml:space="preserve">                  </w:t>
      </w:r>
      <w:r>
        <w:rPr>
          <w:sz w:val="24"/>
        </w:rPr>
        <w:t>。</w:t>
      </w:r>
    </w:p>
    <w:p>
      <w:pPr>
        <w:pStyle w:val="null3"/>
        <w:ind w:firstLine="480"/>
        <w:jc w:val="both"/>
      </w:pPr>
      <w:r>
        <w:rPr>
          <w:sz w:val="24"/>
        </w:rPr>
        <w:t>（三）货物及配置清单：</w:t>
      </w:r>
      <w:r>
        <w:rPr>
          <w:sz w:val="21"/>
          <w:u w:val="single"/>
        </w:rPr>
        <w:t xml:space="preserve">   </w:t>
      </w:r>
      <w:r>
        <w:rPr>
          <w:sz w:val="21"/>
          <w:u w:val="single"/>
        </w:rPr>
        <w:t xml:space="preserve"> </w:t>
      </w:r>
      <w:r>
        <w:rPr>
          <w:sz w:val="21"/>
          <w:u w:val="single"/>
        </w:rPr>
        <w:t xml:space="preserve">                </w:t>
      </w:r>
      <w:r>
        <w:rPr>
          <w:sz w:val="24"/>
        </w:rPr>
        <w:t>；</w:t>
      </w:r>
    </w:p>
    <w:p>
      <w:pPr>
        <w:pStyle w:val="null3"/>
        <w:ind w:firstLine="480"/>
        <w:jc w:val="both"/>
      </w:pPr>
      <w:r>
        <w:rPr>
          <w:sz w:val="24"/>
        </w:rPr>
        <w:t>（四）项目内容：</w:t>
      </w:r>
      <w:r>
        <w:rPr>
          <w:sz w:val="21"/>
          <w:u w:val="single"/>
        </w:rPr>
        <w:t xml:space="preserve">  </w:t>
      </w:r>
      <w:r>
        <w:rPr>
          <w:sz w:val="24"/>
          <w:u w:val="single"/>
        </w:rPr>
        <w:t>按照本合同约定、招标文件、乙方的投标文件、澄清文件和中标通知书的要求执行（以上文件存在差异时，以较高标准为准）</w:t>
      </w:r>
      <w:r>
        <w:rPr>
          <w:sz w:val="21"/>
          <w:u w:val="single"/>
        </w:rPr>
        <w:t xml:space="preserve">  </w:t>
      </w:r>
      <w:r>
        <w:rPr>
          <w:sz w:val="24"/>
        </w:rPr>
        <w:t>。</w:t>
      </w:r>
    </w:p>
    <w:p>
      <w:pPr>
        <w:pStyle w:val="null3"/>
        <w:ind w:firstLine="482"/>
        <w:jc w:val="both"/>
      </w:pPr>
      <w:r>
        <w:rPr>
          <w:sz w:val="24"/>
          <w:b/>
        </w:rPr>
        <w:t>第二条</w:t>
      </w:r>
      <w:r>
        <w:rPr>
          <w:sz w:val="21"/>
          <w:b/>
        </w:rPr>
        <w:t xml:space="preserve">  </w:t>
      </w:r>
      <w:r>
        <w:rPr>
          <w:sz w:val="24"/>
          <w:b/>
        </w:rPr>
        <w:t>货物的质量要求、售后服务及损害赔偿</w:t>
      </w:r>
    </w:p>
    <w:p>
      <w:pPr>
        <w:pStyle w:val="null3"/>
        <w:ind w:firstLine="480"/>
        <w:jc w:val="both"/>
      </w:pPr>
      <w:r>
        <w:rPr>
          <w:sz w:val="24"/>
        </w:rPr>
        <w:t>（一）货物的质量要求：符合国家有关标准、制造厂家标准，按照本合同约定、招标文件、乙方的投标文件、澄清文件和中标通知书的要求执行。</w:t>
      </w:r>
    </w:p>
    <w:p>
      <w:pPr>
        <w:pStyle w:val="null3"/>
        <w:ind w:firstLine="480"/>
        <w:jc w:val="both"/>
      </w:pPr>
      <w:r>
        <w:rPr>
          <w:sz w:val="24"/>
        </w:rPr>
        <w:t>（二）售后服务要求：</w:t>
      </w:r>
    </w:p>
    <w:p>
      <w:pPr>
        <w:pStyle w:val="null3"/>
        <w:ind w:firstLine="480"/>
        <w:jc w:val="both"/>
      </w:pPr>
      <w:r>
        <w:rPr>
          <w:sz w:val="24"/>
        </w:rPr>
        <w:t>1</w:t>
      </w:r>
      <w:r>
        <w:rPr>
          <w:sz w:val="24"/>
        </w:rPr>
        <w:t>、乙方须有属乙方本公司的可随时上门至甲方进行维修及检测的工程师，设备出现故障时，乙方应自报障时起算，</w:t>
      </w:r>
      <w:r>
        <w:rPr>
          <w:sz w:val="21"/>
          <w:u w:val="single"/>
        </w:rPr>
        <w:t xml:space="preserve">    </w:t>
      </w:r>
      <w:r>
        <w:rPr>
          <w:sz w:val="24"/>
        </w:rPr>
        <w:t>小时内响应，</w:t>
      </w:r>
      <w:r>
        <w:rPr>
          <w:sz w:val="21"/>
          <w:u w:val="single"/>
        </w:rPr>
        <w:t xml:space="preserve">         </w:t>
      </w:r>
      <w:r>
        <w:rPr>
          <w:sz w:val="24"/>
        </w:rPr>
        <w:t>小时内到达现场，</w:t>
      </w:r>
      <w:r>
        <w:rPr>
          <w:sz w:val="21"/>
          <w:u w:val="single"/>
        </w:rPr>
        <w:t xml:space="preserve">    </w:t>
      </w:r>
      <w:r>
        <w:rPr>
          <w:sz w:val="24"/>
        </w:rPr>
        <w:t>小时内解决问题。如果设备故障在规定时间内仍无法排除，乙方应在随后</w:t>
      </w:r>
      <w:r>
        <w:rPr>
          <w:sz w:val="21"/>
          <w:u w:val="single"/>
        </w:rPr>
        <w:t xml:space="preserve">        </w:t>
      </w:r>
      <w:r>
        <w:rPr>
          <w:sz w:val="24"/>
        </w:rPr>
        <w:t>小时内提供不低于故障设备规格型号档次的备用设备供甲方代替使用，直至故障设备修复，确保设备的正常使用。若乙方不能按照合同约定提供售后服务，或者在规定时间内无法解决问题的，甲方有权另行聘请第三方进行处理，由此产生的费用由乙方承担。</w:t>
      </w:r>
    </w:p>
    <w:p>
      <w:pPr>
        <w:pStyle w:val="null3"/>
        <w:ind w:firstLine="480"/>
        <w:jc w:val="both"/>
      </w:pPr>
      <w:r>
        <w:rPr>
          <w:sz w:val="24"/>
        </w:rPr>
        <w:t>2、乙方提供专门的售后服务队伍，提供24小时服务热线、7×24的上门服务等售后服务。紧急情况下（例如项目出现故障影响甲方工作等），乙方须按照甲方另行规定的合理时间响应及解决故障。</w:t>
      </w:r>
    </w:p>
    <w:p>
      <w:pPr>
        <w:pStyle w:val="null3"/>
        <w:ind w:firstLine="480"/>
        <w:jc w:val="both"/>
      </w:pPr>
      <w:r>
        <w:rPr>
          <w:sz w:val="24"/>
        </w:rPr>
        <w:t>3、本合同下所有设备保修期</w:t>
      </w:r>
      <w:r>
        <w:rPr>
          <w:sz w:val="21"/>
          <w:u w:val="single"/>
        </w:rPr>
        <w:t xml:space="preserve">       </w:t>
      </w:r>
      <w:r>
        <w:rPr>
          <w:sz w:val="24"/>
        </w:rPr>
        <w:t>年，保修期内，乙方负责免费维修，免费维修的范围包括但不限于更换零件费用及维修工时费等；保修期自本合同项下的设备经甲乙双方验收合格之日起计算。保修期满后，由乙方提供终身维护服务，为甲方提供维修、维护以等服务。无论在保修期内或是期满后，乙方均提供上门服务。</w:t>
      </w:r>
    </w:p>
    <w:p>
      <w:pPr>
        <w:pStyle w:val="null3"/>
        <w:ind w:firstLine="480"/>
        <w:jc w:val="both"/>
      </w:pPr>
      <w:r>
        <w:rPr>
          <w:sz w:val="24"/>
        </w:rPr>
        <w:t>4、乙方负责在甲方现场培训甲方有关技术人员，直至掌握操作技术为止。</w:t>
      </w:r>
    </w:p>
    <w:p>
      <w:pPr>
        <w:pStyle w:val="null3"/>
        <w:ind w:firstLine="480"/>
        <w:jc w:val="both"/>
      </w:pPr>
      <w:r>
        <w:rPr>
          <w:sz w:val="24"/>
        </w:rPr>
        <w:t>（三）如因乙方货物质量或设计原因，导致甲方损失，乙方应予以赔偿；</w:t>
      </w:r>
    </w:p>
    <w:p>
      <w:pPr>
        <w:pStyle w:val="null3"/>
        <w:ind w:firstLine="480"/>
        <w:jc w:val="both"/>
      </w:pPr>
      <w:r>
        <w:rPr>
          <w:sz w:val="24"/>
        </w:rPr>
        <w:t>（四）乙方保证所提供的货物、技术服务无任何法律争议和质量问题，不存在对任何第三方的侵权（包括但不限于所有权、知识产权），如与第三方出现了纠纷或存在侵权行为，由此引起的一切法律后果均由乙方承担，且甲方有权解除合同，乙方按合同总价的</w:t>
      </w:r>
      <w:r>
        <w:rPr>
          <w:sz w:val="28"/>
          <w:u w:val="single"/>
        </w:rPr>
        <w:t xml:space="preserve">       </w:t>
      </w:r>
      <w:r>
        <w:rPr>
          <w:sz w:val="24"/>
        </w:rPr>
        <w:t>%向甲方支付违约金。</w:t>
      </w:r>
    </w:p>
    <w:p>
      <w:pPr>
        <w:pStyle w:val="null3"/>
        <w:ind w:firstLine="482"/>
        <w:jc w:val="both"/>
      </w:pPr>
      <w:r>
        <w:rPr>
          <w:sz w:val="24"/>
          <w:b/>
        </w:rPr>
        <w:t>第三条</w:t>
      </w:r>
      <w:r>
        <w:rPr>
          <w:sz w:val="21"/>
          <w:b/>
        </w:rPr>
        <w:t xml:space="preserve">  </w:t>
      </w:r>
      <w:r>
        <w:rPr>
          <w:sz w:val="24"/>
          <w:b/>
        </w:rPr>
        <w:t>交货和安装</w:t>
      </w:r>
    </w:p>
    <w:p>
      <w:pPr>
        <w:pStyle w:val="null3"/>
        <w:ind w:firstLine="480"/>
        <w:jc w:val="both"/>
      </w:pPr>
      <w:r>
        <w:rPr>
          <w:sz w:val="24"/>
        </w:rPr>
        <w:t>（一）交货期：</w:t>
      </w:r>
      <w:r>
        <w:rPr>
          <w:sz w:val="21"/>
          <w:u w:val="single"/>
        </w:rPr>
        <w:t xml:space="preserve"> </w:t>
      </w:r>
      <w:r>
        <w:rPr>
          <w:sz w:val="21"/>
          <w:u w:val="single"/>
        </w:rPr>
        <w:t xml:space="preserve">  </w:t>
      </w:r>
      <w:r>
        <w:rPr>
          <w:sz w:val="21"/>
          <w:u w:val="single"/>
        </w:rPr>
        <w:t xml:space="preserve">               </w:t>
      </w:r>
      <w:r>
        <w:rPr>
          <w:sz w:val="24"/>
        </w:rPr>
        <w:t>（时间）。乙方应提供设备的技术文件，包括相应的操作手册、维护手册、质量保证文件、服务指南等，这些文件应随同设备一起发运至甲方。</w:t>
      </w:r>
    </w:p>
    <w:p>
      <w:pPr>
        <w:pStyle w:val="null3"/>
        <w:ind w:firstLine="480"/>
        <w:jc w:val="both"/>
      </w:pPr>
      <w:r>
        <w:rPr>
          <w:sz w:val="24"/>
        </w:rPr>
        <w:t>（二）交货方式：乙方负责将货物送至</w:t>
      </w:r>
      <w:r>
        <w:rPr>
          <w:sz w:val="21"/>
          <w:u w:val="single"/>
        </w:rPr>
        <w:t xml:space="preserve"> </w:t>
      </w:r>
      <w:r>
        <w:rPr>
          <w:sz w:val="21"/>
          <w:u w:val="single"/>
        </w:rPr>
        <w:t xml:space="preserve">                </w:t>
      </w:r>
      <w:r>
        <w:rPr>
          <w:sz w:val="24"/>
        </w:rPr>
        <w:t xml:space="preserve"> </w:t>
      </w:r>
      <w:r>
        <w:rPr>
          <w:sz w:val="24"/>
        </w:rPr>
        <w:t>。（具体地点）</w:t>
      </w:r>
    </w:p>
    <w:p>
      <w:pPr>
        <w:pStyle w:val="null3"/>
        <w:ind w:firstLine="480"/>
        <w:jc w:val="both"/>
      </w:pPr>
      <w:r>
        <w:rPr>
          <w:sz w:val="24"/>
        </w:rPr>
        <w:t>（三）设备的安装：</w:t>
      </w:r>
      <w:r>
        <w:rPr>
          <w:sz w:val="21"/>
          <w:u w:val="single"/>
        </w:rPr>
        <w:t xml:space="preserve">  </w:t>
      </w:r>
      <w:r>
        <w:rPr>
          <w:sz w:val="21"/>
          <w:u w:val="single"/>
        </w:rPr>
        <w:t xml:space="preserve">               </w:t>
      </w:r>
      <w:r>
        <w:rPr>
          <w:sz w:val="21"/>
          <w:u w:val="single"/>
        </w:rPr>
        <w:t xml:space="preserve">  </w:t>
      </w:r>
      <w:r>
        <w:rPr>
          <w:sz w:val="24"/>
        </w:rPr>
        <w:t>。</w:t>
      </w:r>
    </w:p>
    <w:p>
      <w:pPr>
        <w:pStyle w:val="null3"/>
        <w:ind w:firstLine="480"/>
        <w:jc w:val="both"/>
      </w:pPr>
      <w:r>
        <w:rPr>
          <w:sz w:val="24"/>
        </w:rPr>
        <w:t>（四）乙方在履行合同过程中造成甲方或第三方人身、财产损害的，应当由乙方承担全部责任。</w:t>
      </w:r>
    </w:p>
    <w:p>
      <w:pPr>
        <w:pStyle w:val="null3"/>
        <w:ind w:firstLine="482"/>
        <w:jc w:val="both"/>
      </w:pPr>
      <w:r>
        <w:rPr>
          <w:sz w:val="24"/>
          <w:b/>
        </w:rPr>
        <w:t>第四条</w:t>
      </w:r>
      <w:r>
        <w:rPr>
          <w:sz w:val="21"/>
          <w:b/>
        </w:rPr>
        <w:t xml:space="preserve">  </w:t>
      </w:r>
      <w:r>
        <w:rPr>
          <w:sz w:val="24"/>
          <w:b/>
        </w:rPr>
        <w:t>货款的结算</w:t>
      </w:r>
    </w:p>
    <w:p>
      <w:pPr>
        <w:pStyle w:val="null3"/>
        <w:ind w:firstLine="480"/>
        <w:jc w:val="both"/>
      </w:pPr>
      <w:r>
        <w:rPr>
          <w:sz w:val="24"/>
        </w:rPr>
        <w:t>具体结算方式：</w:t>
      </w:r>
    </w:p>
    <w:p>
      <w:pPr>
        <w:pStyle w:val="null3"/>
        <w:ind w:firstLine="480"/>
        <w:jc w:val="both"/>
      </w:pPr>
      <w:r>
        <w:rPr>
          <w:sz w:val="24"/>
          <w:u w:val="single"/>
        </w:rPr>
        <w:t>（一）甲方确定收到履约保证金后</w:t>
      </w:r>
      <w:r>
        <w:rPr>
          <w:sz w:val="24"/>
          <w:u w:val="single"/>
        </w:rPr>
        <w:t>10个工作日内向乙方预付</w:t>
      </w:r>
      <w:r>
        <w:rPr>
          <w:sz w:val="24"/>
          <w:u w:val="single"/>
        </w:rPr>
        <w:t>不少于</w:t>
      </w:r>
      <w:r>
        <w:rPr>
          <w:sz w:val="24"/>
          <w:u w:val="single"/>
        </w:rPr>
        <w:t>合同</w:t>
      </w:r>
      <w:r>
        <w:rPr>
          <w:sz w:val="24"/>
          <w:u w:val="single"/>
        </w:rPr>
        <w:t>款</w:t>
      </w:r>
      <w:r>
        <w:rPr>
          <w:sz w:val="24"/>
          <w:u w:val="single"/>
        </w:rPr>
        <w:t>的</w:t>
      </w:r>
      <w:r>
        <w:rPr>
          <w:sz w:val="24"/>
          <w:u w:val="single"/>
        </w:rPr>
        <w:t>5</w:t>
      </w:r>
      <w:r>
        <w:rPr>
          <w:sz w:val="24"/>
          <w:u w:val="single"/>
        </w:rPr>
        <w:t>0%</w:t>
      </w:r>
      <w:r>
        <w:rPr>
          <w:sz w:val="24"/>
          <w:u w:val="single"/>
        </w:rPr>
        <w:t>，乙方需于甲方付款前</w:t>
      </w:r>
      <w:r>
        <w:rPr>
          <w:sz w:val="24"/>
          <w:u w:val="single"/>
        </w:rPr>
        <w:t>10个工作日内向甲方提供与预付款金额相符的有效发票，且收款方、出具发票方、合同乙方均必须与乙方名称一致；</w:t>
      </w:r>
    </w:p>
    <w:p>
      <w:pPr>
        <w:pStyle w:val="null3"/>
        <w:ind w:firstLine="480"/>
        <w:jc w:val="both"/>
      </w:pPr>
      <w:r>
        <w:rPr>
          <w:sz w:val="24"/>
          <w:u w:val="single"/>
        </w:rPr>
        <w:t>（二）甲方于设备安装完毕并验收合格后</w:t>
      </w:r>
      <w:r>
        <w:rPr>
          <w:sz w:val="24"/>
          <w:u w:val="single"/>
        </w:rPr>
        <w:t>15个工作日内向乙方支付</w:t>
      </w:r>
      <w:r>
        <w:rPr>
          <w:sz w:val="24"/>
          <w:u w:val="single"/>
        </w:rPr>
        <w:t>剩余</w:t>
      </w:r>
      <w:r>
        <w:rPr>
          <w:sz w:val="24"/>
          <w:u w:val="single"/>
        </w:rPr>
        <w:t>合同</w:t>
      </w:r>
      <w:r>
        <w:rPr>
          <w:sz w:val="24"/>
          <w:u w:val="single"/>
        </w:rPr>
        <w:t>款</w:t>
      </w:r>
      <w:r>
        <w:rPr>
          <w:sz w:val="24"/>
          <w:u w:val="single"/>
        </w:rPr>
        <w:t>，乙方需于甲方付款前</w:t>
      </w:r>
      <w:r>
        <w:rPr>
          <w:sz w:val="24"/>
          <w:u w:val="single"/>
        </w:rPr>
        <w:t>10个工作日内向甲方提供与付款金额相符的有效发票，且收款方、出具发票方、合同乙方均必须与乙方名称一致。</w:t>
      </w:r>
    </w:p>
    <w:p>
      <w:pPr>
        <w:pStyle w:val="null3"/>
        <w:ind w:firstLine="480"/>
        <w:jc w:val="both"/>
      </w:pPr>
      <w:r>
        <w:rPr>
          <w:sz w:val="24"/>
          <w:u w:val="single"/>
        </w:rPr>
        <w:t>乙方须在合同签订后的</w:t>
      </w:r>
      <w:r>
        <w:rPr>
          <w:sz w:val="24"/>
          <w:u w:val="single"/>
        </w:rPr>
        <w:t>5个工作日内向甲方支付合同总金额的5%（即¥      ）作为履约保证金，可转账或采取银行保函形式，银行保函有效期至合同履约结束；如转账支付履约保证金的，验收合格后由甲方不计利息退还履约保证金，免费保修期依然生效。</w:t>
      </w:r>
    </w:p>
    <w:p>
      <w:pPr>
        <w:pStyle w:val="null3"/>
        <w:ind w:firstLine="480"/>
        <w:jc w:val="both"/>
      </w:pPr>
      <w:r>
        <w:rPr>
          <w:sz w:val="24"/>
          <w:u w:val="single"/>
        </w:rPr>
        <w:t>乙方应在甲方付款前的</w:t>
      </w:r>
      <w:r>
        <w:rPr>
          <w:sz w:val="24"/>
          <w:u w:val="single"/>
        </w:rPr>
        <w:t>10个工作日前向甲方出具等额发票，否则甲方有权顺延付款的期限且不承担违约责任。</w:t>
      </w:r>
    </w:p>
    <w:p>
      <w:pPr>
        <w:pStyle w:val="null3"/>
        <w:ind w:firstLine="482"/>
        <w:jc w:val="both"/>
      </w:pPr>
      <w:r>
        <w:rPr>
          <w:sz w:val="24"/>
          <w:b/>
        </w:rPr>
        <w:t>第五条</w:t>
      </w:r>
      <w:r>
        <w:rPr>
          <w:sz w:val="21"/>
          <w:b/>
        </w:rPr>
        <w:t xml:space="preserve">  </w:t>
      </w:r>
      <w:r>
        <w:rPr>
          <w:sz w:val="24"/>
          <w:b/>
        </w:rPr>
        <w:t>验收方式</w:t>
      </w:r>
    </w:p>
    <w:p>
      <w:pPr>
        <w:pStyle w:val="null3"/>
        <w:ind w:firstLine="480"/>
        <w:jc w:val="both"/>
      </w:pPr>
      <w:r>
        <w:rPr>
          <w:sz w:val="24"/>
        </w:rPr>
        <w:t>（一）验收时间：</w:t>
      </w:r>
      <w:r>
        <w:rPr>
          <w:sz w:val="24"/>
          <w:u w:val="single"/>
        </w:rPr>
        <w:t>设备安装调试完毕正常运行后</w:t>
      </w:r>
      <w:r>
        <w:rPr>
          <w:sz w:val="21"/>
          <w:u w:val="single"/>
        </w:rPr>
        <w:t xml:space="preserve">     </w:t>
      </w:r>
      <w:r>
        <w:rPr>
          <w:sz w:val="24"/>
          <w:u w:val="single"/>
        </w:rPr>
        <w:t>内</w:t>
      </w:r>
      <w:r>
        <w:rPr>
          <w:sz w:val="24"/>
        </w:rPr>
        <w:t>。</w:t>
      </w:r>
    </w:p>
    <w:p>
      <w:pPr>
        <w:pStyle w:val="null3"/>
        <w:ind w:firstLine="480"/>
        <w:jc w:val="both"/>
      </w:pPr>
      <w:r>
        <w:rPr>
          <w:sz w:val="24"/>
        </w:rPr>
        <w:t>（二）验收方法：甲方派遣有经验有能力的人员检验产品和工程的质量和指标。</w:t>
      </w:r>
    </w:p>
    <w:p>
      <w:pPr>
        <w:pStyle w:val="null3"/>
        <w:ind w:firstLine="480"/>
        <w:jc w:val="both"/>
      </w:pPr>
      <w:r>
        <w:rPr>
          <w:sz w:val="24"/>
        </w:rPr>
        <w:t>（三）验收标准：符合国家及厂家相关技术标准；符合招标文件、乙方的投标文件、澄清文件和中标通知书的要求（以上文件存在差异时，以较高标准为准）；单证齐全，有产品合格证（或质量保证书）、发票和其它应当具有单证文件。</w:t>
      </w:r>
    </w:p>
    <w:p>
      <w:pPr>
        <w:pStyle w:val="null3"/>
        <w:ind w:firstLine="480"/>
        <w:jc w:val="both"/>
      </w:pPr>
      <w:r>
        <w:rPr>
          <w:sz w:val="24"/>
        </w:rPr>
        <w:t>（四）甲方对乙方产品质量的验收为表面验收，不能视为甲方对乙方供应的产品质量完全验收，如甲方在使用的过程中发现乙方供应的产品存在质量问题不符合合同约定的，甲方依然有权要求乙方退换或追究乙方其他的违约责任。</w:t>
      </w:r>
    </w:p>
    <w:p>
      <w:pPr>
        <w:pStyle w:val="null3"/>
        <w:ind w:firstLine="482"/>
        <w:jc w:val="both"/>
      </w:pPr>
      <w:r>
        <w:rPr>
          <w:sz w:val="24"/>
          <w:b/>
        </w:rPr>
        <w:t>第六条</w:t>
      </w:r>
      <w:r>
        <w:rPr>
          <w:sz w:val="21"/>
          <w:b/>
        </w:rPr>
        <w:t xml:space="preserve">  </w:t>
      </w:r>
      <w:r>
        <w:rPr>
          <w:sz w:val="24"/>
          <w:b/>
        </w:rPr>
        <w:t>对产品异议的时间和办法</w:t>
      </w:r>
    </w:p>
    <w:p>
      <w:pPr>
        <w:pStyle w:val="null3"/>
        <w:ind w:firstLine="480"/>
        <w:jc w:val="both"/>
      </w:pPr>
      <w:r>
        <w:rPr>
          <w:sz w:val="24"/>
        </w:rPr>
        <w:t>（一）甲方在验收中，如果发现货物的品种、型号、数量、规格、质量或有关软件及有关工程不合规定的，应妥为保管，并在</w:t>
      </w:r>
      <w:r>
        <w:rPr>
          <w:sz w:val="24"/>
          <w:u w:val="single"/>
        </w:rPr>
        <w:t>三十日</w:t>
      </w:r>
      <w:r>
        <w:rPr>
          <w:sz w:val="24"/>
        </w:rPr>
        <w:t>内向乙方提出书面异议；甲方怠于通知或者自货物收到之日起三个月内未通知乙方的，视为货物已经验收；</w:t>
      </w:r>
    </w:p>
    <w:p>
      <w:pPr>
        <w:pStyle w:val="null3"/>
        <w:ind w:firstLine="480"/>
        <w:jc w:val="both"/>
      </w:pPr>
      <w:r>
        <w:rPr>
          <w:sz w:val="24"/>
        </w:rPr>
        <w:t>（二）乙方在接到甲方书面异议后，应在十天内处理，否则，视为乙方承认该货物存在甲方所指出的瑕疵并同意甲方提出的处理意见。</w:t>
      </w:r>
    </w:p>
    <w:p>
      <w:pPr>
        <w:pStyle w:val="null3"/>
        <w:ind w:firstLine="480"/>
        <w:jc w:val="both"/>
      </w:pPr>
      <w:r>
        <w:rPr>
          <w:sz w:val="24"/>
        </w:rPr>
        <w:t>（三）甲方正式验收前，货物毁损、灭失的风险由乙方承担。</w:t>
      </w:r>
    </w:p>
    <w:p>
      <w:pPr>
        <w:pStyle w:val="null3"/>
        <w:ind w:firstLine="482"/>
        <w:jc w:val="both"/>
      </w:pPr>
      <w:r>
        <w:rPr>
          <w:sz w:val="24"/>
          <w:b/>
        </w:rPr>
        <w:t>第七条</w:t>
      </w:r>
      <w:r>
        <w:rPr>
          <w:sz w:val="21"/>
          <w:b/>
        </w:rPr>
        <w:t xml:space="preserve">  </w:t>
      </w:r>
      <w:r>
        <w:rPr>
          <w:sz w:val="24"/>
          <w:b/>
        </w:rPr>
        <w:t>乙方的违约责任</w:t>
      </w:r>
    </w:p>
    <w:p>
      <w:pPr>
        <w:pStyle w:val="null3"/>
        <w:ind w:firstLine="480"/>
        <w:jc w:val="both"/>
      </w:pPr>
      <w:r>
        <w:rPr>
          <w:sz w:val="24"/>
        </w:rPr>
        <w:t>（一）乙方不能在约定的时间内交货或完成设备的安装调试的，每逾期一日，乙方按照合同总额千分之一的标准向甲方支付违约金，直至完成交货或安装调试；如逾期超过</w:t>
      </w:r>
      <w:r>
        <w:rPr>
          <w:sz w:val="24"/>
        </w:rPr>
        <w:t>30天的，甲方有权解除本合同，乙方应当退还甲方已经支付的款项，同时乙方应向甲方支付合同总价的</w:t>
      </w:r>
      <w:r>
        <w:rPr>
          <w:sz w:val="24"/>
          <w:u w:val="single"/>
        </w:rPr>
        <w:t>20%</w:t>
      </w:r>
      <w:r>
        <w:rPr>
          <w:sz w:val="24"/>
        </w:rPr>
        <w:t>作为违约金；</w:t>
      </w:r>
    </w:p>
    <w:p>
      <w:pPr>
        <w:pStyle w:val="null3"/>
        <w:ind w:firstLine="480"/>
        <w:jc w:val="both"/>
      </w:pPr>
      <w:r>
        <w:rPr>
          <w:sz w:val="24"/>
        </w:rPr>
        <w:t>（二）乙方所交设备种类、数量、规格、质量和技术性能等不符合合同规定的，由乙方负责修理、退换，并承担修理、调换或退货而支付的实际费用，并向甲方偿付合同总价的</w:t>
      </w:r>
      <w:r>
        <w:rPr>
          <w:sz w:val="24"/>
          <w:u w:val="single"/>
        </w:rPr>
        <w:t>10</w:t>
      </w:r>
      <w:r>
        <w:rPr>
          <w:sz w:val="24"/>
          <w:u w:val="single"/>
        </w:rPr>
        <w:t>%</w:t>
      </w:r>
      <w:r>
        <w:rPr>
          <w:sz w:val="24"/>
        </w:rPr>
        <w:t>作为违约金；如乙方修理、调换或退货后，设备仍不能达到合同约定或乙方不按上述规定履行更换义务的，甲方有权解除本合同，乙方应当退还甲方已经支付的款项，乙方还应向甲方支付合同总价的</w:t>
      </w:r>
      <w:r>
        <w:rPr>
          <w:sz w:val="24"/>
          <w:u w:val="single"/>
        </w:rPr>
        <w:t>20%</w:t>
      </w:r>
      <w:r>
        <w:rPr>
          <w:sz w:val="24"/>
        </w:rPr>
        <w:t>作为违约金；</w:t>
      </w:r>
    </w:p>
    <w:p>
      <w:pPr>
        <w:pStyle w:val="null3"/>
        <w:ind w:firstLine="480"/>
        <w:jc w:val="both"/>
      </w:pPr>
      <w:r>
        <w:rPr>
          <w:sz w:val="24"/>
        </w:rPr>
        <w:t>（三）除本合同另有约定外，乙方每次违反本合同约定的，须按照合同总价的</w:t>
      </w:r>
      <w:r>
        <w:rPr>
          <w:sz w:val="24"/>
          <w:u w:val="single"/>
        </w:rPr>
        <w:t>10%</w:t>
      </w:r>
      <w:r>
        <w:rPr>
          <w:sz w:val="24"/>
        </w:rPr>
        <w:t>向甲方支付违约金，违约金不足以弥补甲方损失的，乙方应赔偿甲方实际损失。前述情况累计</w:t>
      </w:r>
      <w:r>
        <w:rPr>
          <w:sz w:val="24"/>
          <w:u w:val="single"/>
        </w:rPr>
        <w:t>3</w:t>
      </w:r>
      <w:r>
        <w:rPr>
          <w:sz w:val="24"/>
        </w:rPr>
        <w:t>次及以上，甲方有权解除本合同，乙方应当返还甲方已经支付的全部款项，乙方还应向甲方支付合同总价的</w:t>
      </w:r>
      <w:r>
        <w:rPr>
          <w:sz w:val="24"/>
          <w:u w:val="single"/>
        </w:rPr>
        <w:t>30%</w:t>
      </w:r>
      <w:r>
        <w:rPr>
          <w:sz w:val="24"/>
        </w:rPr>
        <w:t>作为违约金。</w:t>
      </w:r>
    </w:p>
    <w:p>
      <w:pPr>
        <w:pStyle w:val="null3"/>
        <w:ind w:firstLine="480"/>
        <w:jc w:val="both"/>
      </w:pPr>
      <w:r>
        <w:rPr>
          <w:sz w:val="24"/>
        </w:rPr>
        <w:t>（四）乙方不得将合同义务的全部或部分以任何形式分包、转包给第三人，否则甲方有权单方解除本合同，要求乙方返还甲方支付的全部款项，同时乙方须按合同总价的</w:t>
      </w:r>
      <w:r>
        <w:rPr>
          <w:sz w:val="24"/>
        </w:rPr>
        <w:t>10%支付违约金。</w:t>
      </w:r>
    </w:p>
    <w:p>
      <w:pPr>
        <w:pStyle w:val="null3"/>
        <w:ind w:firstLine="482"/>
        <w:jc w:val="both"/>
      </w:pPr>
      <w:r>
        <w:rPr>
          <w:sz w:val="24"/>
          <w:b/>
        </w:rPr>
        <w:t>第八条</w:t>
      </w:r>
      <w:r>
        <w:rPr>
          <w:sz w:val="21"/>
          <w:b/>
        </w:rPr>
        <w:t xml:space="preserve">  </w:t>
      </w:r>
      <w:r>
        <w:rPr>
          <w:sz w:val="24"/>
          <w:b/>
        </w:rPr>
        <w:t>甲方的违约责任</w:t>
      </w:r>
    </w:p>
    <w:p>
      <w:pPr>
        <w:pStyle w:val="null3"/>
        <w:ind w:firstLine="480"/>
        <w:jc w:val="both"/>
      </w:pPr>
      <w:r>
        <w:rPr>
          <w:sz w:val="24"/>
        </w:rPr>
        <w:t>（一）甲</w:t>
      </w:r>
      <w:r>
        <w:rPr>
          <w:sz w:val="24"/>
        </w:rPr>
        <w:t>方逾期付款的，每日应向乙方偿付</w:t>
      </w:r>
      <w:r>
        <w:rPr>
          <w:sz w:val="24"/>
        </w:rPr>
        <w:t>逾期付款金额</w:t>
      </w:r>
      <w:r>
        <w:rPr>
          <w:sz w:val="24"/>
        </w:rPr>
        <w:t>的万分之三作为违约金。</w:t>
      </w:r>
    </w:p>
    <w:p>
      <w:pPr>
        <w:pStyle w:val="null3"/>
        <w:ind w:firstLine="480"/>
        <w:jc w:val="both"/>
      </w:pPr>
      <w:r>
        <w:rPr>
          <w:sz w:val="24"/>
        </w:rPr>
        <w:t>（二）甲方无正当理由违反合同约定拒绝接受货物的，应当承担由此而对乙方造成的损失。</w:t>
      </w:r>
    </w:p>
    <w:p>
      <w:pPr>
        <w:pStyle w:val="null3"/>
        <w:ind w:firstLine="482"/>
        <w:jc w:val="both"/>
      </w:pPr>
      <w:r>
        <w:rPr>
          <w:sz w:val="24"/>
          <w:b/>
        </w:rPr>
        <w:t>第九条</w:t>
      </w:r>
      <w:r>
        <w:rPr>
          <w:sz w:val="21"/>
          <w:b/>
        </w:rPr>
        <w:t xml:space="preserve">  </w:t>
      </w:r>
      <w:r>
        <w:rPr>
          <w:sz w:val="24"/>
          <w:b/>
        </w:rPr>
        <w:t>不可抗力</w:t>
      </w:r>
    </w:p>
    <w:p>
      <w:pPr>
        <w:pStyle w:val="null3"/>
        <w:ind w:firstLine="480"/>
        <w:jc w:val="both"/>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both"/>
      </w:pPr>
      <w:r>
        <w:rPr>
          <w:sz w:val="24"/>
          <w:b/>
        </w:rPr>
        <w:t>第十条</w:t>
      </w:r>
      <w:r>
        <w:rPr>
          <w:sz w:val="21"/>
          <w:b/>
        </w:rPr>
        <w:t xml:space="preserve">  </w:t>
      </w:r>
      <w:r>
        <w:rPr>
          <w:sz w:val="24"/>
          <w:b/>
        </w:rPr>
        <w:t>争议的解决</w:t>
      </w:r>
    </w:p>
    <w:p>
      <w:pPr>
        <w:pStyle w:val="null3"/>
        <w:ind w:firstLine="480"/>
        <w:jc w:val="both"/>
      </w:pPr>
      <w:r>
        <w:rPr>
          <w:sz w:val="24"/>
        </w:rPr>
        <w:t>（一）如因货物的质量问题发生争议，由法定的质量技术鉴定机构进行质量鉴定，双方应当服从该鉴定的结论，质量鉴定费用由乙方承担；</w:t>
      </w:r>
    </w:p>
    <w:p>
      <w:pPr>
        <w:pStyle w:val="null3"/>
        <w:ind w:firstLine="480"/>
        <w:jc w:val="both"/>
      </w:pPr>
      <w:r>
        <w:rPr>
          <w:sz w:val="24"/>
        </w:rPr>
        <w:t>（二）若执行本合同的过程中发生纠纷，双方当事人应当及时协商解决；协商不成时，可向甲方所在地人民法院提起诉讼。</w:t>
      </w:r>
    </w:p>
    <w:p>
      <w:pPr>
        <w:pStyle w:val="null3"/>
        <w:ind w:firstLine="482"/>
        <w:jc w:val="both"/>
      </w:pPr>
      <w:r>
        <w:rPr>
          <w:sz w:val="24"/>
          <w:b/>
        </w:rPr>
        <w:t>第十一条</w:t>
      </w:r>
      <w:r>
        <w:rPr>
          <w:sz w:val="21"/>
          <w:b/>
        </w:rPr>
        <w:t xml:space="preserve">  </w:t>
      </w:r>
      <w:r>
        <w:rPr>
          <w:sz w:val="24"/>
          <w:b/>
        </w:rPr>
        <w:t>监督和管理</w:t>
      </w:r>
    </w:p>
    <w:p>
      <w:pPr>
        <w:pStyle w:val="null3"/>
        <w:ind w:firstLine="480"/>
        <w:jc w:val="both"/>
      </w:pPr>
      <w:r>
        <w:rPr>
          <w:sz w:val="24"/>
        </w:rPr>
        <w:t>甲乙双方均应自觉配合甲方管理部门和监督部门对合同履行情况的监督检查，如实反映情况，提供有关资料。否则，将对有关单位、当事人按照有关规定予以处罚。</w:t>
      </w:r>
    </w:p>
    <w:p>
      <w:pPr>
        <w:pStyle w:val="null3"/>
        <w:ind w:firstLine="482"/>
        <w:jc w:val="both"/>
      </w:pPr>
      <w:r>
        <w:rPr>
          <w:sz w:val="24"/>
          <w:b/>
        </w:rPr>
        <w:t>第十二条</w:t>
      </w:r>
      <w:r>
        <w:rPr>
          <w:sz w:val="21"/>
          <w:b/>
        </w:rPr>
        <w:t xml:space="preserve">  </w:t>
      </w:r>
      <w:r>
        <w:rPr>
          <w:sz w:val="24"/>
          <w:b/>
        </w:rPr>
        <w:t>无效合同</w:t>
      </w:r>
    </w:p>
    <w:p>
      <w:pPr>
        <w:pStyle w:val="null3"/>
        <w:ind w:firstLine="480"/>
        <w:jc w:val="both"/>
      </w:pPr>
      <w:r>
        <w:rPr>
          <w:sz w:val="24"/>
        </w:rPr>
        <w:t>甲乙双方如因违反法律和有关规定，合同被宣告无效的，有过错的一方应当承担赔偿责任，双方都有过错的，各自承担相应的责任。</w:t>
      </w:r>
    </w:p>
    <w:p>
      <w:pPr>
        <w:pStyle w:val="null3"/>
        <w:ind w:firstLine="482"/>
        <w:jc w:val="both"/>
      </w:pPr>
      <w:r>
        <w:rPr>
          <w:sz w:val="24"/>
          <w:b/>
        </w:rPr>
        <w:t>第十三条</w:t>
      </w:r>
      <w:r>
        <w:rPr>
          <w:sz w:val="21"/>
          <w:b/>
        </w:rPr>
        <w:t xml:space="preserve">  </w:t>
      </w:r>
      <w:r>
        <w:rPr>
          <w:sz w:val="24"/>
          <w:b/>
        </w:rPr>
        <w:t>投诉</w:t>
      </w:r>
    </w:p>
    <w:p>
      <w:pPr>
        <w:pStyle w:val="null3"/>
        <w:ind w:firstLine="480"/>
        <w:jc w:val="both"/>
      </w:pPr>
      <w:r>
        <w:rPr>
          <w:sz w:val="24"/>
        </w:rPr>
        <w:t>甲方如对乙方所提供的货物质量及服务提出投诉，经核查如属有效投诉并超过三次，甲方管理部门和监督部门有权取消乙方的中标资格，并按有关规定接受处理。</w:t>
      </w:r>
    </w:p>
    <w:p>
      <w:pPr>
        <w:pStyle w:val="null3"/>
        <w:ind w:firstLine="482"/>
        <w:jc w:val="both"/>
      </w:pPr>
      <w:r>
        <w:rPr>
          <w:sz w:val="24"/>
          <w:b/>
        </w:rPr>
        <w:t>第十四条</w:t>
      </w:r>
      <w:r>
        <w:rPr>
          <w:sz w:val="21"/>
          <w:b/>
        </w:rPr>
        <w:t xml:space="preserve">  </w:t>
      </w:r>
      <w:r>
        <w:rPr>
          <w:sz w:val="24"/>
          <w:b/>
        </w:rPr>
        <w:t>附则</w:t>
      </w:r>
    </w:p>
    <w:p>
      <w:pPr>
        <w:pStyle w:val="null3"/>
        <w:ind w:firstLine="480"/>
        <w:jc w:val="both"/>
      </w:pPr>
      <w:r>
        <w:rPr>
          <w:sz w:val="24"/>
        </w:rPr>
        <w:t>（一）本合同一式</w:t>
      </w:r>
      <w:r>
        <w:rPr>
          <w:sz w:val="24"/>
          <w:u w:val="single"/>
        </w:rPr>
        <w:t>肆</w:t>
      </w:r>
      <w:r>
        <w:rPr>
          <w:sz w:val="24"/>
        </w:rPr>
        <w:t>份，甲方执</w:t>
      </w:r>
      <w:r>
        <w:rPr>
          <w:sz w:val="24"/>
          <w:u w:val="single"/>
        </w:rPr>
        <w:t>贰</w:t>
      </w:r>
      <w:r>
        <w:rPr>
          <w:sz w:val="24"/>
        </w:rPr>
        <w:t>份，乙方执</w:t>
      </w:r>
      <w:r>
        <w:rPr>
          <w:sz w:val="24"/>
          <w:u w:val="single"/>
        </w:rPr>
        <w:t>壹</w:t>
      </w:r>
      <w:r>
        <w:rPr>
          <w:sz w:val="24"/>
        </w:rPr>
        <w:t>份，</w:t>
      </w:r>
      <w:r>
        <w:rPr>
          <w:sz w:val="24"/>
        </w:rPr>
        <w:t>壹</w:t>
      </w:r>
      <w:r>
        <w:rPr>
          <w:sz w:val="24"/>
        </w:rPr>
        <w:t>份送</w:t>
      </w:r>
      <w:r>
        <w:rPr>
          <w:sz w:val="21"/>
          <w:u w:val="single"/>
        </w:rPr>
        <w:t xml:space="preserve"> </w:t>
      </w:r>
      <w:r>
        <w:rPr>
          <w:sz w:val="21"/>
          <w:u w:val="single"/>
        </w:rPr>
        <w:t xml:space="preserve">    </w:t>
      </w:r>
      <w:r>
        <w:rPr>
          <w:sz w:val="21"/>
          <w:u w:val="single"/>
        </w:rPr>
        <w:t xml:space="preserve"> </w:t>
      </w:r>
      <w:r>
        <w:rPr>
          <w:sz w:val="24"/>
        </w:rPr>
        <w:t>招标有限公司。【（如有）合同附件为本合同的组成部分，与本合同正文具有同等法律效力。】</w:t>
      </w:r>
    </w:p>
    <w:p>
      <w:pPr>
        <w:pStyle w:val="null3"/>
        <w:ind w:firstLine="480"/>
        <w:jc w:val="both"/>
      </w:pPr>
      <w:r>
        <w:rPr>
          <w:sz w:val="24"/>
        </w:rPr>
        <w:t>（二）本合同自甲乙双方签字盖章后生效。</w:t>
      </w:r>
    </w:p>
    <w:p>
      <w:pPr>
        <w:pStyle w:val="null3"/>
        <w:ind w:firstLine="48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购货单位（甲方）：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供货单位（乙方）：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r>
              <w:rPr>
                <w:sz w:val="21"/>
              </w:rPr>
              <w:t xml:space="preserve">    </w:t>
            </w:r>
            <w:r>
              <w:rPr>
                <w:sz w:val="24"/>
              </w:rPr>
              <w:t>年</w:t>
            </w:r>
            <w:r>
              <w:rPr>
                <w:sz w:val="21"/>
              </w:rPr>
              <w:t xml:space="preserve">   </w:t>
            </w:r>
            <w:r>
              <w:rPr>
                <w:sz w:val="24"/>
              </w:rPr>
              <w:t>月</w:t>
            </w:r>
            <w:r>
              <w:rPr>
                <w:sz w:val="21"/>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t xml:space="preserve"> </w:t>
      </w:r>
    </w:p>
    <w:p>
      <w:pPr>
        <w:pStyle w:val="null3"/>
        <w:jc w:val="both"/>
      </w:pPr>
      <w:r>
        <w:rPr>
          <w:sz w:val="24"/>
        </w:rPr>
        <w:t>以下为配置清单：</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440701-2025-02098</w:t>
      </w:r>
    </w:p>
    <w:p>
      <w:pPr>
        <w:pStyle w:val="null3"/>
        <w:jc w:val="center"/>
        <w:outlineLvl w:val="3"/>
      </w:pPr>
      <w:r>
        <w:rPr>
          <w:sz w:val="24"/>
          <w:b/>
        </w:rPr>
        <w:t>采购项目编号：</w:t>
      </w:r>
      <w:r>
        <w:rPr>
          <w:sz w:val="24"/>
          <w:b/>
        </w:rPr>
        <w:t>0724-2531Z1975350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江门市疾病预防控制中心气相色谱-质谱-质谱联用仪采购项目</w:t>
      </w:r>
      <w:r>
        <w:rPr>
          <w:u w:val="single"/>
        </w:rPr>
        <w:t>”</w:t>
      </w:r>
      <w:r>
        <w:rPr/>
        <w:t>项目的招标[采购项目编号为：</w:t>
      </w:r>
      <w:r>
        <w:rPr>
          <w:u w:val="single"/>
        </w:rPr>
        <w:t>0724-2531Z1975350</w:t>
      </w:r>
      <w:r>
        <w:rPr/>
        <w:t>]，我方愿参与投标。</w:t>
      </w:r>
    </w:p>
    <w:p>
      <w:pPr>
        <w:pStyle w:val="null3"/>
        <w:ind w:firstLine="480"/>
      </w:pPr>
      <w:r>
        <w:rPr/>
        <w:t>我方确认收到贵方提供的</w:t>
      </w:r>
      <w:r>
        <w:rPr>
          <w:u w:val="single"/>
        </w:rPr>
        <w:t>“</w:t>
      </w:r>
      <w:r>
        <w:rPr>
          <w:u w:val="single"/>
        </w:rPr>
        <w:t>江门市疾病预防控制中心气相色谱-质谱-质谱联用仪采购项目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江门市疾病预防控制中心气相色谱-质谱-质谱联用仪采购项目</w:t>
      </w:r>
      <w:r>
        <w:rPr/>
        <w:t>”项目采购[采购项目编号为</w:t>
      </w:r>
      <w:r>
        <w:rPr/>
        <w:t>0724-2531Z1975350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江门市疾病预防控制中心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江门市疾病预防控制中心气相色谱-质谱-质谱联用仪采购项目</w:t>
      </w:r>
      <w:r>
        <w:rPr/>
        <w:t>招标中获中标（采购项目编号：</w:t>
      </w:r>
      <w:r>
        <w:rPr/>
        <w:t>0724-2531Z1975350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江门市疾病预防控制中心气相色谱-质谱-质谱联用仪采购项目</w:t>
      </w:r>
      <w:r>
        <w:rPr/>
        <w:t>”项目（采购项目编号：</w:t>
      </w:r>
      <w:r>
        <w:rPr/>
        <w:t>0724-2531Z1975350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