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440118-2025-04226</w:t>
      </w:r>
    </w:p>
    <w:p>
      <w:pPr>
        <w:pStyle w:val="null3"/>
        <w:jc w:val="center"/>
        <w:outlineLvl w:val="3"/>
      </w:pPr>
      <w:r>
        <w:rPr>
          <w:sz w:val="24"/>
          <w:b/>
        </w:rPr>
        <w:t>采购项目编号：</w:t>
      </w:r>
      <w:r>
        <w:rPr>
          <w:sz w:val="24"/>
          <w:b/>
        </w:rPr>
        <w:t>0724-2531Z2555970</w:t>
      </w:r>
    </w:p>
    <w:p>
      <w:pPr>
        <w:pStyle w:val="null3"/>
        <w:jc w:val="center"/>
        <w:outlineLvl w:val="3"/>
      </w:pPr>
      <w:r>
        <w:rPr>
          <w:sz w:val="24"/>
          <w:b/>
        </w:rPr>
        <w:t>项目名称：</w:t>
      </w:r>
      <w:r>
        <w:rPr>
          <w:sz w:val="24"/>
          <w:b/>
        </w:rPr>
        <w:t>广州市增城区新塘镇中心卫生院2025年-2026年部分检验项目外送检测采购项目</w:t>
      </w:r>
    </w:p>
    <w:p>
      <w:pPr>
        <w:pStyle w:val="null3"/>
        <w:jc w:val="center"/>
        <w:outlineLvl w:val="3"/>
      </w:pPr>
      <w:r>
        <w:rPr>
          <w:sz w:val="24"/>
          <w:b/>
        </w:rPr>
        <w:t>采购人：</w:t>
      </w:r>
      <w:r>
        <w:rPr>
          <w:sz w:val="24"/>
          <w:b/>
        </w:rPr>
        <w:t>广州市增城区新塘镇中心卫生院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广州市增城区新塘镇中心卫生院</w:t>
      </w:r>
      <w:r>
        <w:rPr/>
        <w:t>的委托，采用</w:t>
      </w:r>
      <w:r>
        <w:rPr/>
        <w:t>公开招标</w:t>
      </w:r>
      <w:r>
        <w:rPr/>
        <w:t>方式组织采购</w:t>
      </w:r>
      <w:r>
        <w:rPr/>
        <w:t>广州市增城区新塘镇中心卫生院2025年-2026年部分检验项目外送检测采购项目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广州市增城区新塘镇中心卫生院2025年-2026年部分检验项目外送检测采购项目</w:t>
      </w:r>
    </w:p>
    <w:p>
      <w:pPr>
        <w:pStyle w:val="null3"/>
        <w:ind w:firstLine="480"/>
      </w:pPr>
      <w:r>
        <w:rPr/>
        <w:t>采购计划编号：</w:t>
      </w:r>
      <w:r>
        <w:rPr/>
        <w:t>440118-2025-04226</w:t>
      </w:r>
    </w:p>
    <w:p>
      <w:pPr>
        <w:pStyle w:val="null3"/>
        <w:ind w:firstLine="480"/>
      </w:pPr>
      <w:r>
        <w:rPr/>
        <w:t>采购项目编号：</w:t>
      </w:r>
      <w:r>
        <w:rPr/>
        <w:t>0724-2531Z2555970</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采购包1(2025年-2026年部分检验项目外送检测):</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卫生院和社区医疗服务</w:t>
            </w:r>
          </w:p>
        </w:tc>
        <w:tc>
          <w:tcPr>
            <w:tcW w:type="dxa" w:w="2052"/>
          </w:tcPr>
          <w:p>
            <w:pPr>
              <w:pStyle w:val="null3"/>
            </w:pPr>
            <w:r>
              <w:rPr/>
              <w:t>2025年-2026年部分检验项目外送检测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合同履行期限：自合同签订之日起1年或结算金额累计达到采购预算金额时合同终止，以先到者为准。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采购包1（2025年-2026年部分检验项目外送检测）：</w:t>
      </w:r>
      <w:r>
        <w:rPr/>
        <w:t>本项目非专门面向中小企业采购的项目（本项目采购标的所属行业：其他未列明行业）</w:t>
      </w:r>
    </w:p>
    <w:p>
      <w:pPr>
        <w:pStyle w:val="null3"/>
        <w:outlineLvl w:val="3"/>
      </w:pPr>
      <w:r>
        <w:rPr>
          <w:sz w:val="24"/>
          <w:b/>
        </w:rPr>
        <w:t>3.本项目特定的资格要求：</w:t>
      </w:r>
    </w:p>
    <w:p>
      <w:pPr>
        <w:pStyle w:val="null3"/>
      </w:pPr>
      <w:r>
        <w:rPr/>
        <w:t>采购包1（2025年-2026年部分检验项目外送检测）：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或投标人医学实验室具有卫生部门核发且在有效期内的《医疗机构执业许可证》，且证书的诊疗科目中须包含医学检验科。如投标人所提供许可证名称与投标人名称不一致，需同时提供两者之间的说明文件。（如国家另有规定，则适用其规定）。（提供扫描件加盖投标人公章）。</w:t>
      </w:r>
    </w:p>
    <w:p>
      <w:pPr>
        <w:pStyle w:val="null3"/>
      </w:pPr>
      <w:r>
        <w:rPr/>
        <w:t>8)投标人具备《临床基因扩增检验实验室技术审核合格证书》或《临床基因扩增检验实验室技术验收合格证书》。如投标人所提供证书名称与投标人名称不一致，需同时提供两者之间的说明文件。（如国家另有规定，则适用其规定）。（提供扫描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广州市增城区新塘镇中心卫生院</w:t>
      </w:r>
    </w:p>
    <w:p>
      <w:pPr>
        <w:pStyle w:val="null3"/>
        <w:ind w:firstLine="480"/>
      </w:pPr>
      <w:r>
        <w:rPr/>
        <w:t xml:space="preserve"> 地址：</w:t>
      </w:r>
      <w:r>
        <w:rPr/>
        <w:t>广东省广州市增城区新塘镇水松路10号新塘医院</w:t>
      </w:r>
    </w:p>
    <w:p>
      <w:pPr>
        <w:pStyle w:val="null3"/>
        <w:ind w:firstLine="480"/>
      </w:pPr>
      <w:r>
        <w:rPr/>
        <w:t xml:space="preserve"> 联系方式：</w:t>
      </w:r>
      <w:r>
        <w:rPr/>
        <w:t>13710913998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020-37860733、37860526</w:t>
      </w:r>
    </w:p>
    <w:p>
      <w:pPr>
        <w:pStyle w:val="null3"/>
        <w:outlineLvl w:val="3"/>
      </w:pPr>
      <w:r>
        <w:rPr>
          <w:sz w:val="24"/>
          <w:b/>
        </w:rPr>
        <w:t xml:space="preserve"> 3.项目联系方式</w:t>
      </w:r>
    </w:p>
    <w:p>
      <w:pPr>
        <w:pStyle w:val="null3"/>
        <w:ind w:firstLine="480"/>
      </w:pPr>
      <w:r>
        <w:rPr/>
        <w:t xml:space="preserve"> 项目联系人：</w:t>
      </w:r>
      <w:r>
        <w:rPr/>
        <w:t>赖颖霖、邓子华</w:t>
      </w:r>
    </w:p>
    <w:p>
      <w:pPr>
        <w:pStyle w:val="null3"/>
        <w:ind w:firstLine="480"/>
      </w:pPr>
      <w:r>
        <w:rPr/>
        <w:t xml:space="preserve"> 电话：</w:t>
      </w:r>
      <w:r>
        <w:rPr/>
        <w:t>020-37860733、37860526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w:t>
      </w:r>
      <w:r>
        <w:rPr>
          <w:sz w:val="21"/>
        </w:rPr>
        <w:t>预算</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820"/>
        <w:gridCol w:w="885"/>
        <w:gridCol w:w="3630"/>
        <w:gridCol w:w="2520"/>
      </w:tblGrid>
      <w:tr>
        <w:tc>
          <w:tcPr>
            <w:tcW w:type="dxa" w:w="2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服务年限</w:t>
            </w:r>
          </w:p>
        </w:tc>
        <w:tc>
          <w:tcPr>
            <w:tcW w:type="dxa" w:w="2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2025年-2026年部分检验项目外送检测</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1年或</w:t>
            </w:r>
            <w:r>
              <w:rPr>
                <w:sz w:val="21"/>
              </w:rPr>
              <w:t>结算金额累计达到采购预算金额时合同终止，以先到者为准。</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w:t>
            </w:r>
            <w:r>
              <w:rPr>
                <w:sz w:val="21"/>
              </w:rPr>
              <w:t>万元</w:t>
            </w:r>
          </w:p>
        </w:tc>
      </w:tr>
    </w:tbl>
    <w:p>
      <w:pPr>
        <w:pStyle w:val="null3"/>
        <w:ind w:firstLine="420"/>
        <w:jc w:val="both"/>
      </w:pPr>
      <w:r>
        <w:rPr>
          <w:sz w:val="21"/>
        </w:rPr>
        <w:t>详细技术规范请参阅招标文件中的用户需求书。投标人必须对</w:t>
      </w:r>
      <w:r>
        <w:rPr>
          <w:sz w:val="21"/>
        </w:rPr>
        <w:t>所投</w:t>
      </w:r>
      <w:r>
        <w:rPr>
          <w:sz w:val="21"/>
        </w:rPr>
        <w:t>项目</w:t>
      </w:r>
      <w:r>
        <w:rPr>
          <w:sz w:val="21"/>
        </w:rPr>
        <w:t>的全部招标内容进行</w:t>
      </w:r>
      <w:r>
        <w:rPr>
          <w:sz w:val="21"/>
        </w:rPr>
        <w:t>折扣率</w:t>
      </w:r>
      <w:r>
        <w:rPr>
          <w:sz w:val="21"/>
        </w:rPr>
        <w:t>报价，如有缺漏，将导致投标无效。</w:t>
      </w:r>
    </w:p>
    <w:p>
      <w:pPr>
        <w:pStyle w:val="null3"/>
        <w:ind w:firstLine="420"/>
        <w:jc w:val="both"/>
      </w:pPr>
      <w:r>
        <w:rPr>
          <w:sz w:val="21"/>
        </w:rPr>
        <w:t>2.</w:t>
      </w: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1"/>
          <w:b/>
        </w:rPr>
        <w:t>二、用户需求书</w:t>
      </w:r>
    </w:p>
    <w:p>
      <w:pPr>
        <w:pStyle w:val="null3"/>
        <w:jc w:val="center"/>
      </w:pPr>
      <w:r>
        <w:rPr>
          <w:sz w:val="21"/>
          <w:b/>
        </w:rPr>
        <w:t>2025年-2026年部分检验项目外送检测</w:t>
      </w:r>
    </w:p>
    <w:p>
      <w:pPr>
        <w:pStyle w:val="null3"/>
        <w:jc w:val="both"/>
      </w:pPr>
      <w:r>
        <w:rPr>
          <w:sz w:val="21"/>
        </w:rPr>
        <w:t>（一）</w:t>
      </w:r>
      <w:r>
        <w:rPr>
          <w:sz w:val="21"/>
        </w:rPr>
        <w:t>项目需求</w:t>
      </w:r>
    </w:p>
    <w:p>
      <w:pPr>
        <w:pStyle w:val="null3"/>
        <w:jc w:val="both"/>
      </w:pPr>
      <w:r>
        <w:rPr>
          <w:sz w:val="21"/>
        </w:rPr>
        <w:t>1、采购人对投标人提供的有关资料和数据，是采购人现有的能使投标人使用的资料，采购人对投标人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w:t>
      </w:r>
    </w:p>
    <w:p>
      <w:pPr>
        <w:pStyle w:val="null3"/>
        <w:jc w:val="both"/>
      </w:pPr>
      <w:r>
        <w:rPr>
          <w:sz w:val="21"/>
        </w:rPr>
        <w:t>2、本项目执行过程中所有环节和内容将遵循国家、省、市有关法律、标准、技术规范和规范性文件的最新规定。</w:t>
      </w:r>
    </w:p>
    <w:p>
      <w:pPr>
        <w:pStyle w:val="null3"/>
        <w:jc w:val="both"/>
      </w:pPr>
      <w:r>
        <w:rPr>
          <w:sz w:val="21"/>
        </w:rPr>
        <w:t>3、项目执行过程中，如需采购人配合办理相关手续，或提供相关服务条件，均须在投标文件中详细说明，以便于采购人决定是否接受或提前准备，所涉及的费用均由投标人承担。</w:t>
      </w:r>
    </w:p>
    <w:p>
      <w:pPr>
        <w:pStyle w:val="null3"/>
        <w:jc w:val="both"/>
      </w:pPr>
      <w:r>
        <w:rPr>
          <w:sz w:val="21"/>
        </w:rPr>
        <w:t>（二）</w:t>
      </w:r>
      <w:r>
        <w:rPr>
          <w:sz w:val="21"/>
        </w:rPr>
        <w:t>服务需求</w:t>
      </w:r>
    </w:p>
    <w:p>
      <w:pPr>
        <w:pStyle w:val="null3"/>
        <w:jc w:val="both"/>
      </w:pPr>
      <w:r>
        <w:rPr>
          <w:sz w:val="21"/>
        </w:rPr>
        <w:t>1.</w:t>
      </w:r>
      <w:r>
        <w:rPr>
          <w:sz w:val="21"/>
        </w:rPr>
        <w:t>外检目录：部分检验项目外送检测</w:t>
      </w:r>
      <w:r>
        <w:rPr>
          <w:sz w:val="21"/>
        </w:rPr>
        <w:t>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90"/>
        <w:gridCol w:w="6915"/>
        <w:gridCol w:w="2385"/>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部分检验项目外送检测清单</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妇科液基细胞学检测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人乳头瘤病毒</w:t>
            </w:r>
            <w:r>
              <w:rPr>
                <w:sz w:val="21"/>
                <w:color w:val="000000"/>
              </w:rPr>
              <w:t>(HPV-DNA)分型检测(23型)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呼吸道</w:t>
            </w:r>
            <w:r>
              <w:rPr>
                <w:sz w:val="21"/>
                <w:color w:val="000000"/>
              </w:rPr>
              <w:t>26种病原体核酸检测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手术标本检查与诊断</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病理检查与诊断</w:t>
            </w:r>
            <w:r>
              <w:rPr>
                <w:sz w:val="21"/>
                <w:color w:val="000000"/>
              </w:rPr>
              <w:t>(活检标本)</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阴道微生态分析</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甲型肝炎病毒抗体</w:t>
            </w:r>
            <w:r>
              <w:rPr>
                <w:sz w:val="21"/>
                <w:color w:val="000000"/>
              </w:rPr>
              <w:t>IgM(HAV-IgM),化学发光法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EB病毒3项（VCA,EA,RTA)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新型冠状病毒</w:t>
            </w:r>
            <w:r>
              <w:rPr>
                <w:sz w:val="21"/>
                <w:color w:val="000000"/>
              </w:rPr>
              <w:t>RNA测定 (单样检测)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新型冠状病毒</w:t>
            </w:r>
            <w:r>
              <w:rPr>
                <w:sz w:val="21"/>
                <w:color w:val="000000"/>
              </w:rPr>
              <w:t>RNA检测试剂 (单样检测)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呼吸道多种病原体靶向测序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高血压八项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超薄液基细胞学检测</w:t>
            </w:r>
            <w:r>
              <w:rPr>
                <w:sz w:val="21"/>
                <w:color w:val="000000"/>
              </w:rPr>
              <w:t>-非妇科</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结核斑点试验</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戊型肝炎病毒抗体</w:t>
            </w:r>
            <w:r>
              <w:rPr>
                <w:sz w:val="21"/>
                <w:color w:val="000000"/>
              </w:rPr>
              <w:t>IgM(HEV-IgM),化学发光法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Ⅱ期唐氏综合征筛查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产前筛查诊断项目，须协助与具有检测资质的检测机构签订合作协议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w:t>
            </w:r>
            <w:r>
              <w:rPr>
                <w:sz w:val="21"/>
                <w:color w:val="000000"/>
              </w:rPr>
              <w:t>IgE,化学发光法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全血微量元素七项</w:t>
            </w:r>
            <w:r>
              <w:rPr>
                <w:sz w:val="21"/>
                <w:color w:val="000000"/>
              </w:rPr>
              <w:t>(Pb,Mn,Ca,Cu,Fe,Zn,Mg)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同型半胱氨酸</w:t>
            </w:r>
            <w:r>
              <w:rPr>
                <w:sz w:val="21"/>
                <w:color w:val="000000"/>
              </w:rPr>
              <w:t>(HCY)</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全自动免疫组化</w:t>
            </w:r>
            <w:r>
              <w:rPr>
                <w:sz w:val="21"/>
                <w:color w:val="000000"/>
              </w:rPr>
              <w:t>1项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EB病毒衣壳抗原IgA抗体(VCA-IgA),化学发光法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胎儿染色体非整倍体无创产前基因检测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产前筛查诊断项目，须协助与具有检测资质的检测机构签订合作协议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癌胚抗原</w:t>
            </w:r>
            <w:r>
              <w:rPr>
                <w:sz w:val="21"/>
                <w:color w:val="000000"/>
              </w:rPr>
              <w:t>(CEA),化学发光法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甲胎蛋白</w:t>
            </w:r>
            <w:r>
              <w:rPr>
                <w:sz w:val="21"/>
                <w:color w:val="000000"/>
              </w:rPr>
              <w:t>(AFP),化学发光法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199(CA199),化学发光法.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甲状旁腺激素</w:t>
            </w:r>
            <w:r>
              <w:rPr>
                <w:sz w:val="21"/>
                <w:color w:val="000000"/>
              </w:rPr>
              <w:t>(PTH)</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铁三项（铁</w:t>
            </w:r>
            <w:r>
              <w:rPr>
                <w:sz w:val="21"/>
                <w:color w:val="000000"/>
              </w:rPr>
              <w:t>,总铁结合力,铁饱和度）</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促甲状腺激素受体抗体</w:t>
            </w:r>
            <w:r>
              <w:rPr>
                <w:sz w:val="21"/>
                <w:color w:val="000000"/>
              </w:rPr>
              <w:t>(TRAb),化学发光法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血铁</w:t>
            </w:r>
            <w:r>
              <w:rPr>
                <w:sz w:val="21"/>
                <w:color w:val="000000"/>
              </w:rPr>
              <w:t>(FE)</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百日咳杆菌</w:t>
            </w:r>
            <w:r>
              <w:rPr>
                <w:sz w:val="21"/>
                <w:color w:val="000000"/>
              </w:rPr>
              <w:t>IgM抗体,ELISA法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血红蛋白电泳</w:t>
            </w:r>
            <w:r>
              <w:rPr>
                <w:sz w:val="21"/>
                <w:color w:val="000000"/>
              </w:rPr>
              <w:t>-全自动仪器法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总铁结合力</w:t>
            </w:r>
            <w:r>
              <w:rPr>
                <w:sz w:val="21"/>
                <w:color w:val="000000"/>
              </w:rPr>
              <w:t>(TIBC)</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地贫基因分型全套</w:t>
            </w:r>
            <w:r>
              <w:rPr>
                <w:sz w:val="21"/>
                <w:color w:val="000000"/>
              </w:rPr>
              <w:t>(专用含α地贫点突变检测)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真菌培养</w:t>
            </w:r>
            <w:r>
              <w:rPr>
                <w:sz w:val="21"/>
                <w:color w:val="000000"/>
              </w:rPr>
              <w:t>(丝状型)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真菌培养</w:t>
            </w:r>
            <w:r>
              <w:rPr>
                <w:sz w:val="21"/>
                <w:color w:val="000000"/>
              </w:rPr>
              <w:t>(酵母型)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血管炎二项</w:t>
            </w:r>
            <w:r>
              <w:rPr>
                <w:sz w:val="21"/>
                <w:color w:val="000000"/>
              </w:rPr>
              <w:t>(MPO-Ab，PR3-AB)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细胞角蛋白</w:t>
            </w:r>
            <w:r>
              <w:rPr>
                <w:sz w:val="21"/>
                <w:color w:val="000000"/>
              </w:rPr>
              <w:t>19片段(CYFRA21-1),化学发光法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使用中消毒液染菌量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追加药敏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神经元特异性烯醇化酶</w:t>
            </w:r>
            <w:r>
              <w:rPr>
                <w:sz w:val="21"/>
                <w:color w:val="000000"/>
              </w:rPr>
              <w:t>(NSE),化学发光法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125(CA125),化学发光法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鳞癌细胞抗原</w:t>
            </w:r>
            <w:r>
              <w:rPr>
                <w:sz w:val="21"/>
                <w:color w:val="000000"/>
              </w:rPr>
              <w:t>(SCC),化学发光法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CA242）化学发光法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724(CA724),化学发光法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转铁蛋白</w:t>
            </w:r>
            <w:r>
              <w:rPr>
                <w:sz w:val="21"/>
                <w:color w:val="000000"/>
              </w:rPr>
              <w:t>(TRF)</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血清人绒毛膜促性腺激素测定</w:t>
            </w:r>
            <w:r>
              <w:rPr>
                <w:sz w:val="21"/>
                <w:color w:val="000000"/>
              </w:rPr>
              <w:t>-化学发光法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血清促甲状腺激素测定（</w:t>
            </w:r>
            <w:r>
              <w:rPr>
                <w:sz w:val="21"/>
                <w:color w:val="000000"/>
              </w:rPr>
              <w:t>TSH）-化学发光法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血清游离甲状腺素</w:t>
            </w:r>
            <w:r>
              <w:rPr>
                <w:sz w:val="21"/>
                <w:color w:val="000000"/>
              </w:rPr>
              <w:t>(FT4)测定-化学发光法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153(CA153),化学发光法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血清游离三碘甲状原氨酸</w:t>
            </w:r>
            <w:r>
              <w:rPr>
                <w:sz w:val="21"/>
                <w:color w:val="000000"/>
              </w:rPr>
              <w:t>(FT3)测定-化学发光法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(HSV-Ⅰ)IgM抗体</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IgM(HSV-II-IgM)抗体,ELISA法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w:t>
            </w:r>
            <w:r>
              <w:rPr>
                <w:sz w:val="21"/>
                <w:color w:val="000000"/>
              </w:rPr>
              <w:t>(ANA)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人乳头瘤病毒</w:t>
            </w:r>
            <w:r>
              <w:rPr>
                <w:sz w:val="21"/>
                <w:color w:val="000000"/>
              </w:rPr>
              <w:t>(HPV6/11-DNA)定性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自身免疫性肝病抗体四项</w:t>
            </w:r>
            <w:r>
              <w:rPr>
                <w:sz w:val="21"/>
                <w:color w:val="000000"/>
              </w:rPr>
              <w:t>(M2-3E,LKM-1,LC-1,SLA/LP）</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血液流变学</w:t>
            </w:r>
            <w:r>
              <w:rPr>
                <w:sz w:val="21"/>
                <w:color w:val="000000"/>
              </w:rPr>
              <w:t>(14项)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霍乱弧菌培养</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(HSV-Ⅰ)IgG抗体</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(HSV-Ⅱ)IgG抗体</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糖尿病三项（</w:t>
            </w:r>
            <w:r>
              <w:rPr>
                <w:sz w:val="21"/>
                <w:color w:val="000000"/>
              </w:rPr>
              <w:t>INS、C-P、INS-Ab)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人乳头瘤病毒</w:t>
            </w:r>
            <w:r>
              <w:rPr>
                <w:sz w:val="21"/>
                <w:color w:val="000000"/>
              </w:rPr>
              <w:t>(HPV16/18-DNA)定性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肝纤五项</w:t>
            </w:r>
            <w:r>
              <w:rPr>
                <w:sz w:val="21"/>
                <w:color w:val="000000"/>
              </w:rPr>
              <w:t>(HA,LN,IV-C,PIIINP,CG)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糖尿病自身抗体三项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(1-3)-β-D葡聚糖(丹娜G试验)</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ANCA二项(免疫)</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戊型肝炎病毒抗体</w:t>
            </w:r>
            <w:r>
              <w:rPr>
                <w:sz w:val="21"/>
                <w:color w:val="000000"/>
              </w:rPr>
              <w:t>IgG(HEV-IgG),化学发光法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软式内镜消毒效果监测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抗核抗体谱</w:t>
            </w:r>
            <w:r>
              <w:rPr>
                <w:sz w:val="21"/>
                <w:color w:val="000000"/>
              </w:rPr>
              <w:t>-17项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病理检查与诊断</w:t>
            </w:r>
            <w:r>
              <w:rPr>
                <w:sz w:val="21"/>
                <w:color w:val="000000"/>
              </w:rPr>
              <w:t>(小标本)</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病理检查与诊断</w:t>
            </w:r>
            <w:r>
              <w:rPr>
                <w:sz w:val="21"/>
                <w:color w:val="000000"/>
              </w:rPr>
              <w:t>(中标本)</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人体营养素</w:t>
            </w:r>
            <w:r>
              <w:rPr>
                <w:sz w:val="21"/>
                <w:color w:val="000000"/>
              </w:rPr>
              <w:t>-元素15项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Ⅰ型(HSVI-DNA)定性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Ⅱ型(HSVII-DNA)定性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葡萄糖</w:t>
            </w:r>
            <w:r>
              <w:rPr>
                <w:sz w:val="21"/>
                <w:color w:val="000000"/>
              </w:rPr>
              <w:t>6-磷酸脱氢酶(G-6-PD)缺陷筛查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IgM抗体(RV-IgM)</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皮质醇</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糖化血红蛋白</w:t>
            </w:r>
            <w:r>
              <w:rPr>
                <w:sz w:val="21"/>
                <w:color w:val="000000"/>
              </w:rPr>
              <w:t>(HBA1C)-色谱法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药物浓度监测</w:t>
            </w:r>
            <w:r>
              <w:rPr>
                <w:sz w:val="21"/>
                <w:color w:val="000000"/>
              </w:rPr>
              <w:t>-帕利哌酮</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抗组蛋白抗体</w:t>
            </w:r>
            <w:r>
              <w:rPr>
                <w:sz w:val="21"/>
                <w:color w:val="000000"/>
              </w:rPr>
              <w:t>,化学发光法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β-地中海贫血基因分型(17种突变)</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抗双链</w:t>
            </w:r>
            <w:r>
              <w:rPr>
                <w:sz w:val="21"/>
                <w:color w:val="000000"/>
              </w:rPr>
              <w:t>DNA抗体(dsDNA)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肥达氏试验</w:t>
            </w:r>
            <w:r>
              <w:rPr>
                <w:sz w:val="21"/>
                <w:color w:val="000000"/>
              </w:rPr>
              <w:t>(Widal Reaction )</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总前列腺特异性抗原测定</w:t>
            </w:r>
            <w:r>
              <w:rPr>
                <w:sz w:val="21"/>
                <w:color w:val="000000"/>
              </w:rPr>
              <w:t>(TPSA)-化学发光法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游离前列腺特异性抗原测定</w:t>
            </w:r>
            <w:r>
              <w:rPr>
                <w:sz w:val="21"/>
                <w:color w:val="000000"/>
              </w:rPr>
              <w:t>(FPSA)-化学发光法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半乳甘露聚糖检测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DNA定量检测,实时PCR法(内标法)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抗核小体抗体</w:t>
            </w:r>
            <w:r>
              <w:rPr>
                <w:sz w:val="21"/>
                <w:color w:val="000000"/>
              </w:rPr>
              <w:t>(AnuA)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外斐氏试验</w:t>
            </w:r>
            <w:r>
              <w:rPr>
                <w:sz w:val="21"/>
                <w:color w:val="000000"/>
              </w:rPr>
              <w:t>(Weill-Felix's Reaction)</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全血微量元素六项</w:t>
            </w:r>
            <w:r>
              <w:rPr>
                <w:sz w:val="21"/>
                <w:color w:val="000000"/>
              </w:rPr>
              <w:t>(mg)：铅锰铜锌铁镁</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乙肝两对半定量</w:t>
            </w:r>
            <w:r>
              <w:rPr>
                <w:sz w:val="21"/>
                <w:color w:val="000000"/>
              </w:rPr>
              <w:t>(化学发光)</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甲状腺球蛋白抗体（</w:t>
            </w:r>
            <w:r>
              <w:rPr>
                <w:sz w:val="21"/>
                <w:color w:val="000000"/>
              </w:rPr>
              <w:t>TGA）.化学发光法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I期唐氏综合征筛查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产前筛查诊断项目，须协助与具有检测资质的检测机构签订合作协议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地高辛</w:t>
            </w:r>
            <w:r>
              <w:rPr>
                <w:sz w:val="21"/>
                <w:color w:val="000000"/>
              </w:rPr>
              <w:t>(DIG)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抗甲状腺微粒体抗体测定</w:t>
            </w:r>
            <w:r>
              <w:rPr>
                <w:sz w:val="21"/>
                <w:color w:val="000000"/>
              </w:rPr>
              <w:t>(TMAb)-化学发光法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丙型肝炎病毒</w:t>
            </w:r>
            <w:r>
              <w:rPr>
                <w:sz w:val="21"/>
                <w:color w:val="000000"/>
              </w:rPr>
              <w:t>(HCV-RNA)定量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胎儿染色体无创产前</w:t>
            </w:r>
            <w:r>
              <w:rPr>
                <w:sz w:val="21"/>
                <w:color w:val="000000"/>
              </w:rPr>
              <w:t>DNA检测PLUS</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产前筛查诊断项目，须协助与具有检测资质的检测机构签订合作协议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透析水</w:t>
            </w:r>
            <w:r>
              <w:rPr>
                <w:sz w:val="21"/>
                <w:color w:val="000000"/>
              </w:rPr>
              <w:t>-细菌总数</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粪便培养</w:t>
            </w:r>
            <w:r>
              <w:rPr>
                <w:sz w:val="21"/>
                <w:color w:val="000000"/>
              </w:rPr>
              <w:t>(沙门菌、志贺菌),培养法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曲霉菌抗原</w:t>
            </w:r>
            <w:r>
              <w:rPr>
                <w:sz w:val="21"/>
                <w:color w:val="000000"/>
              </w:rPr>
              <w:t>(GM试验)</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-食物组28项（IgE）</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phad(吸入性过敏原筛查)-sIgE抗体,免疫荧光法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fx5e食物性过敏原(牛奶,鸡蛋,黄豆,花生,鳕鱼,小麦)-sIgE抗体,免疫荧光法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IgG检测7项（普筛组合）,ELISA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糖链抗原</w:t>
            </w:r>
            <w:r>
              <w:rPr>
                <w:sz w:val="21"/>
                <w:color w:val="000000"/>
              </w:rPr>
              <w:t>50(CA50),化学发光法.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促甲状腺激素</w:t>
            </w:r>
            <w:r>
              <w:rPr>
                <w:sz w:val="21"/>
                <w:color w:val="000000"/>
              </w:rPr>
              <w:t>(TSH)</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铁蛋白</w:t>
            </w:r>
            <w:r>
              <w:rPr>
                <w:sz w:val="21"/>
                <w:color w:val="000000"/>
              </w:rPr>
              <w:t>(FER)</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透析液</w:t>
            </w:r>
            <w:r>
              <w:rPr>
                <w:sz w:val="21"/>
                <w:color w:val="000000"/>
              </w:rPr>
              <w:t>- 细菌内毒素</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透析液</w:t>
            </w:r>
            <w:r>
              <w:rPr>
                <w:sz w:val="21"/>
                <w:color w:val="000000"/>
              </w:rPr>
              <w:t>-细菌总数</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-悬浮物</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军团杆菌</w:t>
            </w:r>
            <w:r>
              <w:rPr>
                <w:sz w:val="21"/>
                <w:color w:val="000000"/>
              </w:rPr>
              <w:t>-IgM抗体(Leg-IgM)</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-化学需氧量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治疗用水细菌培养（院感）</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鼻咽癌筛查三项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人类白细胞分化抗原</w:t>
            </w:r>
            <w:r>
              <w:rPr>
                <w:sz w:val="21"/>
                <w:color w:val="000000"/>
              </w:rPr>
              <w:t>B27(HLA-B27)筛查</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糖尿病三项套餐（</w:t>
            </w:r>
            <w:r>
              <w:rPr>
                <w:sz w:val="21"/>
                <w:color w:val="000000"/>
              </w:rPr>
              <w:t>INS、C-P、INS-Ab)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绒毛染色体非整倍体基因检测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产前筛查诊断项目，须协助与具有检测资质的检测机构签订合作协议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细菌鉴定</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促肾上腺皮质激素</w:t>
            </w:r>
            <w:r>
              <w:rPr>
                <w:sz w:val="21"/>
                <w:color w:val="000000"/>
              </w:rPr>
              <w:t>(ACTH),化学发光法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百日咳杆菌</w:t>
            </w:r>
            <w:r>
              <w:rPr>
                <w:sz w:val="21"/>
                <w:color w:val="000000"/>
              </w:rPr>
              <w:t>IgG抗体,ELISA法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lgG检测14项（经典组合）</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-粪大肠菌群数</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弓形虫</w:t>
            </w:r>
            <w:r>
              <w:rPr>
                <w:sz w:val="21"/>
                <w:color w:val="000000"/>
              </w:rPr>
              <w:t>IgM抗体(TOX-IgM)</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过敏原吸入</w:t>
            </w:r>
            <w:r>
              <w:rPr>
                <w:sz w:val="21"/>
                <w:color w:val="000000"/>
              </w:rPr>
              <w:t>-食物组19项（IgE）</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病理检查与诊断</w:t>
            </w:r>
            <w:r>
              <w:rPr>
                <w:sz w:val="21"/>
                <w:color w:val="000000"/>
              </w:rPr>
              <w:t>(大标本)</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丙型肝炎病毒抗体测定</w:t>
            </w:r>
            <w:r>
              <w:rPr>
                <w:sz w:val="21"/>
                <w:color w:val="000000"/>
              </w:rPr>
              <w:t>(Anti-HCV)，化学发光法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过敏原初筛套餐</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外周血染色体核型分析</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透析水</w:t>
            </w:r>
            <w:r>
              <w:rPr>
                <w:sz w:val="21"/>
                <w:color w:val="000000"/>
              </w:rPr>
              <w:t>- 细菌内毒素</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胃泌素释放肽前体（</w:t>
            </w:r>
            <w:r>
              <w:rPr>
                <w:sz w:val="21"/>
                <w:color w:val="000000"/>
              </w:rPr>
              <w:t>ProGRP).</w:t>
            </w:r>
            <w:r>
              <w:rPr>
                <w:sz w:val="21"/>
                <w:color w:val="000000"/>
              </w:rPr>
              <w:t>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红斑狼疮检测三项</w:t>
            </w:r>
            <w:r>
              <w:rPr>
                <w:sz w:val="21"/>
                <w:color w:val="000000"/>
              </w:rPr>
              <w:t>(ANA，核小体，抗DsDNA)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人附睾蛋白</w:t>
            </w:r>
            <w:r>
              <w:rPr>
                <w:sz w:val="21"/>
                <w:color w:val="000000"/>
              </w:rPr>
              <w:t>4(HE4)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抗心磷脂抗体</w:t>
            </w:r>
            <w:r>
              <w:rPr>
                <w:sz w:val="21"/>
                <w:color w:val="000000"/>
              </w:rPr>
              <w:t>(ACA),化学发光法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-五日生化需氧量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ANA、AnuA、抗dsDNA、AHA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ANA+dsDNA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肺炎四项（</w:t>
            </w:r>
            <w:r>
              <w:rPr>
                <w:sz w:val="21"/>
                <w:color w:val="000000"/>
              </w:rPr>
              <w:t>MP-IgM/IgG,CP-IgM/IgG）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IgM抗体(CMV-IgM)</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贫血三项</w:t>
            </w:r>
            <w:r>
              <w:rPr>
                <w:sz w:val="21"/>
                <w:color w:val="000000"/>
              </w:rPr>
              <w:t>(FER,FOL,VitB12)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胰岛素抗体</w:t>
            </w:r>
            <w:r>
              <w:rPr>
                <w:sz w:val="21"/>
                <w:color w:val="000000"/>
              </w:rPr>
              <w:t>INSAB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EB病毒Rta蛋白抗体IgG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使用中消毒液染菌量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-动植物油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-挥发酚</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-沙门氏菌</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-阴离子表面活性剂</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-总氰化物</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25-羟维生素D,电化学发光法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结核杆菌抗体</w:t>
            </w:r>
            <w:r>
              <w:rPr>
                <w:sz w:val="21"/>
                <w:color w:val="000000"/>
              </w:rPr>
              <w:t>(Tb-Ab)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抗精子抗体</w:t>
            </w:r>
            <w:r>
              <w:rPr>
                <w:sz w:val="21"/>
                <w:color w:val="000000"/>
              </w:rPr>
              <w:t>(AsAb)</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流行性出血热抗体两项（</w:t>
            </w:r>
            <w:r>
              <w:rPr>
                <w:sz w:val="21"/>
                <w:color w:val="000000"/>
              </w:rPr>
              <w:t>IgM/IgG）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水痘</w:t>
            </w:r>
            <w:r>
              <w:rPr>
                <w:sz w:val="21"/>
                <w:color w:val="000000"/>
              </w:rPr>
              <w:t>-带状疱疹病毒IgM(VZV-IgM)</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血培养</w:t>
            </w:r>
            <w:r>
              <w:rPr>
                <w:sz w:val="21"/>
                <w:color w:val="000000"/>
              </w:rPr>
              <w:t>( 需氧 )+追加药敏,培养法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25-羟基维生素D</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肝癌体检筛查三项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弓形虫</w:t>
            </w:r>
            <w:r>
              <w:rPr>
                <w:sz w:val="21"/>
                <w:color w:val="000000"/>
              </w:rPr>
              <w:t>IgG抗体（TOX-IgG）,ELISA法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骨源性碱性磷酸酶</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抗缪勒氏管激素</w:t>
            </w:r>
            <w:r>
              <w:rPr>
                <w:sz w:val="21"/>
                <w:color w:val="000000"/>
              </w:rPr>
              <w:t>(AMH),化学发光法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水痘</w:t>
            </w:r>
            <w:r>
              <w:rPr>
                <w:sz w:val="21"/>
                <w:color w:val="000000"/>
              </w:rPr>
              <w:t>-带状疱疹病毒抗体IgG(VZV-IgG)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血清脂溶性维生素</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支原体</w:t>
            </w:r>
            <w:r>
              <w:rPr>
                <w:sz w:val="21"/>
                <w:color w:val="000000"/>
              </w:rPr>
              <w:t>(解脲、人型)培养+药敏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-石油类</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α-地贫点突变基因检测(CS、QS、WS)</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α-地贫基因分型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垂体催乳素</w:t>
            </w:r>
            <w:r>
              <w:rPr>
                <w:sz w:val="21"/>
                <w:color w:val="000000"/>
              </w:rPr>
              <w:t>(PRL)</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地中海贫血基因检测（</w:t>
            </w:r>
            <w:r>
              <w:rPr>
                <w:sz w:val="21"/>
                <w:color w:val="000000"/>
              </w:rPr>
              <w:t>621位点）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易栓症</w:t>
            </w:r>
            <w:r>
              <w:rPr>
                <w:sz w:val="21"/>
                <w:color w:val="000000"/>
              </w:rPr>
              <w:t>(AT-III,PC,PS,LA1+LA2)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过敏原三项（总</w:t>
            </w:r>
            <w:r>
              <w:rPr>
                <w:sz w:val="21"/>
                <w:color w:val="000000"/>
              </w:rPr>
              <w:t>IgE、fx5e、hx2）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甲状腺球蛋白</w:t>
            </w:r>
            <w:r>
              <w:rPr>
                <w:sz w:val="21"/>
                <w:color w:val="000000"/>
              </w:rPr>
              <w:t>(Tg)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巨细胞病毒</w:t>
            </w:r>
            <w:r>
              <w:rPr>
                <w:sz w:val="21"/>
                <w:color w:val="000000"/>
              </w:rPr>
              <w:t>IgG抗体(CMV-IgG)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抗核小体抗体</w:t>
            </w:r>
            <w:r>
              <w:rPr>
                <w:sz w:val="21"/>
                <w:color w:val="000000"/>
              </w:rPr>
              <w:t>(AnuA),ELISA法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淋病奈瑟菌培养</w:t>
            </w:r>
            <w:r>
              <w:rPr>
                <w:sz w:val="21"/>
                <w:color w:val="000000"/>
              </w:rPr>
              <w:t>,培养法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尿微量白蛋白</w:t>
            </w:r>
            <w:r>
              <w:rPr>
                <w:sz w:val="21"/>
                <w:color w:val="000000"/>
              </w:rPr>
              <w:t>/尿肌酐组合</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曲霉菌药敏</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沙眼衣原体</w:t>
            </w:r>
            <w:r>
              <w:rPr>
                <w:sz w:val="21"/>
                <w:color w:val="000000"/>
              </w:rPr>
              <w:t>(CT-DNA)定性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特殊染色</w:t>
            </w:r>
            <w:r>
              <w:rPr>
                <w:sz w:val="21"/>
                <w:color w:val="000000"/>
              </w:rPr>
              <w:t>2项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叶酸</w:t>
            </w:r>
            <w:r>
              <w:rPr>
                <w:sz w:val="21"/>
                <w:color w:val="000000"/>
              </w:rPr>
              <w:t>(FOL)</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丙戊酸</w:t>
            </w:r>
            <w:r>
              <w:rPr>
                <w:sz w:val="21"/>
                <w:color w:val="000000"/>
              </w:rPr>
              <w:t>(德巴金)(VAL),化学发光法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谷丙转氨酶</w:t>
            </w:r>
            <w:r>
              <w:rPr>
                <w:sz w:val="21"/>
                <w:color w:val="000000"/>
              </w:rPr>
              <w:t>(ALT)</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其他污水</w:t>
            </w:r>
            <w:r>
              <w:rPr>
                <w:sz w:val="21"/>
                <w:color w:val="000000"/>
              </w:rPr>
              <w:t>-志贺氏菌</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HCV RNA定量检测,实时PCR法(内标法)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ABO血型鉴定,微柱凝胶法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ANA+ANA谱17项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EBV原位杂交一项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EB病毒壳抗原IgG抗体(EB-VCA-IgG),ELISA法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HLA-B27-DNA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病理切白片</w:t>
            </w:r>
            <w:r>
              <w:rPr>
                <w:sz w:val="21"/>
                <w:color w:val="000000"/>
              </w:rPr>
              <w:t>10张</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IgG抗体(RV-IgG)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风疹病毒</w:t>
            </w:r>
            <w:r>
              <w:rPr>
                <w:sz w:val="21"/>
                <w:color w:val="000000"/>
              </w:rPr>
              <w:t>IgM抗体定量(RV-IgM)(发光)</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封闭抗体</w:t>
            </w:r>
            <w:r>
              <w:rPr>
                <w:sz w:val="21"/>
                <w:color w:val="000000"/>
              </w:rPr>
              <w:t>(BA)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高危型</w:t>
            </w:r>
            <w:r>
              <w:rPr>
                <w:sz w:val="21"/>
                <w:color w:val="000000"/>
              </w:rPr>
              <w:t>HPV DNA检测(2+13),实时PCR法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汞</w:t>
            </w:r>
            <w:r>
              <w:rPr>
                <w:sz w:val="21"/>
                <w:color w:val="000000"/>
              </w:rPr>
              <w:t>(Hg),全血,原子荧光光谱法,外包2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骨质疏松</w:t>
            </w:r>
            <w:r>
              <w:rPr>
                <w:sz w:val="21"/>
                <w:color w:val="000000"/>
              </w:rPr>
              <w:t>2项(P1NP,β-CTx)</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甲功三项（</w:t>
            </w:r>
            <w:r>
              <w:rPr>
                <w:sz w:val="21"/>
                <w:color w:val="000000"/>
              </w:rPr>
              <w:t>TSH+T3+T4）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酒精代谢基因检测</w:t>
            </w:r>
            <w:r>
              <w:rPr>
                <w:sz w:val="21"/>
                <w:color w:val="000000"/>
              </w:rPr>
              <w:t>(NGS)</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局部切除组织活检检查与诊断</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抗核小体抗体</w:t>
            </w:r>
            <w:r>
              <w:rPr>
                <w:sz w:val="21"/>
                <w:color w:val="000000"/>
              </w:rPr>
              <w:t>,化学发光法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抗甲状腺过氧化物酶抗体</w:t>
            </w:r>
            <w:r>
              <w:rPr>
                <w:sz w:val="21"/>
                <w:color w:val="000000"/>
              </w:rPr>
              <w:t>(TPOAb)，化学发光法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抗可提取性核抗原多肽抗体（抗</w:t>
            </w:r>
            <w:r>
              <w:rPr>
                <w:sz w:val="21"/>
                <w:color w:val="000000"/>
              </w:rPr>
              <w:t>ENA抗体八项）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麻疹病毒二项</w:t>
            </w:r>
            <w:r>
              <w:rPr>
                <w:sz w:val="21"/>
                <w:color w:val="000000"/>
              </w:rPr>
              <w:t>(MV-IgM,IgG)</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梅毒螺旋体特异性抗体测定，化学发光法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梅毒螺旋体特异性抗体定性</w:t>
            </w:r>
            <w:r>
              <w:rPr>
                <w:sz w:val="21"/>
                <w:color w:val="000000"/>
              </w:rPr>
              <w:t>(TPPA)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尿素</w:t>
            </w:r>
            <w:r>
              <w:rPr>
                <w:sz w:val="21"/>
                <w:color w:val="000000"/>
              </w:rPr>
              <w:t>+肌酐+尿酸</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醛固酮</w:t>
            </w:r>
            <w:r>
              <w:rPr>
                <w:sz w:val="21"/>
                <w:color w:val="000000"/>
              </w:rPr>
              <w:t>(ALD)</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肾素活性测定</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IgG抗体90项,免疫印迹法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食物特异性</w:t>
            </w:r>
            <w:r>
              <w:rPr>
                <w:sz w:val="21"/>
                <w:color w:val="000000"/>
              </w:rPr>
              <w:t>lgG检测7项（海鲜组合）</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嗜肺军团菌</w:t>
            </w:r>
            <w:r>
              <w:rPr>
                <w:sz w:val="21"/>
                <w:color w:val="000000"/>
              </w:rPr>
              <w:t>I型IgM抗体，化学发光法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糖尿病两项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同型半胱氨酸（</w:t>
            </w:r>
            <w:r>
              <w:rPr>
                <w:sz w:val="21"/>
                <w:color w:val="000000"/>
              </w:rPr>
              <w:t>Hcy）,LC-MS/MS法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铜蓝蛋白</w:t>
            </w:r>
            <w:r>
              <w:rPr>
                <w:sz w:val="21"/>
                <w:color w:val="000000"/>
              </w:rPr>
              <w:t>(CER)</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维生素</w:t>
            </w:r>
            <w:r>
              <w:rPr>
                <w:sz w:val="21"/>
                <w:color w:val="000000"/>
              </w:rPr>
              <w:t>B12(VitB12)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胃蛋白酶原</w:t>
            </w:r>
            <w:r>
              <w:rPr>
                <w:sz w:val="21"/>
                <w:color w:val="000000"/>
              </w:rPr>
              <w:t>I(PG I).化学发光法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性病三项</w:t>
            </w:r>
            <w:r>
              <w:rPr>
                <w:sz w:val="21"/>
                <w:color w:val="000000"/>
              </w:rPr>
              <w:t>(NG、CT、UU)定性</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血培养</w:t>
            </w:r>
            <w:r>
              <w:rPr>
                <w:sz w:val="21"/>
                <w:color w:val="000000"/>
              </w:rPr>
              <w:t>( 厌氧 )+追加药敏,培养法</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血清维生素</w:t>
            </w:r>
            <w:r>
              <w:rPr>
                <w:sz w:val="21"/>
                <w:color w:val="000000"/>
              </w:rPr>
              <w:t>A</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-1(IGF-1),LC-MS</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规则物体表面消毒效果监测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手消毒效果监测</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透析水</w:t>
            </w:r>
            <w:r>
              <w:rPr>
                <w:sz w:val="21"/>
                <w:color w:val="000000"/>
              </w:rPr>
              <w:t>22项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6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置换液</w:t>
            </w:r>
            <w:r>
              <w:rPr>
                <w:sz w:val="21"/>
                <w:color w:val="000000"/>
              </w:rPr>
              <w:t>- 细菌内毒素</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院感监测</w:t>
            </w:r>
          </w:p>
        </w:tc>
      </w:tr>
    </w:tbl>
    <w:p>
      <w:pPr>
        <w:pStyle w:val="null3"/>
        <w:jc w:val="both"/>
      </w:pPr>
      <w:r>
        <w:rPr>
          <w:sz w:val="21"/>
        </w:rPr>
        <w:t>2.实验室要求</w:t>
      </w:r>
    </w:p>
    <w:p>
      <w:pPr>
        <w:pStyle w:val="null3"/>
        <w:jc w:val="both"/>
      </w:pPr>
      <w:r>
        <w:rPr>
          <w:sz w:val="21"/>
        </w:rPr>
        <w:t>2.1投标人遵守由国家卫生部（现中华人民共和国国家卫生健康委员会）印发的《医疗机构临床实验室管理办法》，</w:t>
      </w:r>
      <w:r>
        <w:rPr>
          <w:sz w:val="21"/>
        </w:rPr>
        <w:t>国家有新规定的，从其规定。</w:t>
      </w:r>
    </w:p>
    <w:p>
      <w:pPr>
        <w:pStyle w:val="null3"/>
        <w:jc w:val="both"/>
      </w:pPr>
      <w:r>
        <w:rPr>
          <w:sz w:val="21"/>
        </w:rPr>
        <w:t>2.2</w:t>
      </w:r>
      <w:r>
        <w:rPr>
          <w:sz w:val="21"/>
        </w:rPr>
        <w:t>投标人实验室</w:t>
      </w:r>
      <w:r>
        <w:rPr>
          <w:sz w:val="21"/>
        </w:rPr>
        <w:t>通过中国合格评定国家认可委员会</w:t>
      </w:r>
      <w:r>
        <w:rPr>
          <w:sz w:val="21"/>
        </w:rPr>
        <w:t>(CNAS)ISO 15189认可，并提供证书、认可清单复印件。</w:t>
      </w:r>
    </w:p>
    <w:p>
      <w:pPr>
        <w:pStyle w:val="null3"/>
        <w:jc w:val="both"/>
      </w:pPr>
      <w:r>
        <w:rPr>
          <w:sz w:val="21"/>
        </w:rPr>
        <w:t>2.3投标人为</w:t>
      </w:r>
      <w:r>
        <w:rPr>
          <w:sz w:val="21"/>
        </w:rPr>
        <w:t>二级或以上</w:t>
      </w:r>
      <w:r>
        <w:rPr>
          <w:sz w:val="21"/>
        </w:rPr>
        <w:t>医疗机构及医学检验所检验结果互认单位。</w:t>
      </w:r>
    </w:p>
    <w:p>
      <w:pPr>
        <w:pStyle w:val="null3"/>
        <w:jc w:val="both"/>
      </w:pPr>
      <w:r>
        <w:rPr>
          <w:sz w:val="21"/>
        </w:rPr>
        <w:t>2.4</w:t>
      </w:r>
      <w:r>
        <w:rPr>
          <w:sz w:val="21"/>
        </w:rPr>
        <w:t>投标人</w:t>
      </w:r>
      <w:r>
        <w:rPr>
          <w:sz w:val="21"/>
        </w:rPr>
        <w:t>具备完善的有</w:t>
      </w:r>
      <w:r>
        <w:rPr>
          <w:sz w:val="21"/>
        </w:rPr>
        <w:t>覆盖范围</w:t>
      </w:r>
      <w:r>
        <w:rPr>
          <w:sz w:val="21"/>
        </w:rPr>
        <w:t>包括但不限于</w:t>
      </w:r>
      <w:r>
        <w:rPr>
          <w:sz w:val="21"/>
        </w:rPr>
        <w:t>医学检验</w:t>
      </w:r>
      <w:r>
        <w:rPr>
          <w:sz w:val="21"/>
        </w:rPr>
        <w:t>的</w:t>
      </w:r>
      <w:r>
        <w:rPr>
          <w:sz w:val="21"/>
        </w:rPr>
        <w:t>质量管理体系认证证书、环境管理体系认证证书、职业健康管理体系认证证书。</w:t>
      </w:r>
    </w:p>
    <w:p>
      <w:pPr>
        <w:pStyle w:val="null3"/>
        <w:jc w:val="both"/>
      </w:pPr>
      <w:r>
        <w:rPr>
          <w:sz w:val="21"/>
        </w:rPr>
        <w:t>2.</w:t>
      </w:r>
      <w:r>
        <w:rPr>
          <w:sz w:val="21"/>
        </w:rPr>
        <w:t>5投标人</w:t>
      </w:r>
      <w:r>
        <w:rPr>
          <w:sz w:val="21"/>
        </w:rPr>
        <w:t>实验室人员资质：中标人所委派本项目的人员配备合理，职责明确，提供完备的服务团队，包括</w:t>
      </w:r>
      <w:r>
        <w:rPr>
          <w:sz w:val="21"/>
        </w:rPr>
        <w:t>但不限于</w:t>
      </w:r>
      <w:r>
        <w:rPr>
          <w:sz w:val="21"/>
        </w:rPr>
        <w:t>检验技师、</w:t>
      </w:r>
      <w:r>
        <w:rPr>
          <w:sz w:val="21"/>
        </w:rPr>
        <w:t>PCR上岗证等。</w:t>
      </w:r>
    </w:p>
    <w:p>
      <w:pPr>
        <w:pStyle w:val="null3"/>
        <w:jc w:val="both"/>
      </w:pPr>
      <w:r>
        <w:rPr>
          <w:sz w:val="21"/>
        </w:rPr>
        <w:t>2.</w:t>
      </w:r>
      <w:r>
        <w:rPr>
          <w:sz w:val="21"/>
        </w:rPr>
        <w:t>6</w:t>
      </w:r>
      <w:r>
        <w:rPr>
          <w:sz w:val="21"/>
        </w:rPr>
        <w:t>能提供实验室布局、设备图片及平台项目的成功实施案例。</w:t>
      </w:r>
    </w:p>
    <w:p>
      <w:pPr>
        <w:pStyle w:val="null3"/>
        <w:jc w:val="both"/>
      </w:pPr>
      <w:r>
        <w:rPr>
          <w:sz w:val="21"/>
        </w:rPr>
        <w:t>★</w:t>
      </w:r>
      <w:r>
        <w:rPr>
          <w:sz w:val="21"/>
        </w:rPr>
        <w:t>2.</w:t>
      </w:r>
      <w:r>
        <w:rPr>
          <w:sz w:val="21"/>
        </w:rPr>
        <w:t>7投标人</w:t>
      </w:r>
      <w:r>
        <w:rPr>
          <w:sz w:val="21"/>
        </w:rPr>
        <w:t>实验室生物安全级别</w:t>
      </w:r>
      <w:r>
        <w:rPr>
          <w:sz w:val="21"/>
        </w:rPr>
        <w:t>2级或以上，并提供病原微生物实验室备案通知书复印件，</w:t>
      </w:r>
      <w:r>
        <w:rPr>
          <w:sz w:val="21"/>
        </w:rPr>
        <w:t>同时提供</w:t>
      </w:r>
      <w:r>
        <w:rPr>
          <w:sz w:val="21"/>
        </w:rPr>
        <w:t>投标人</w:t>
      </w:r>
      <w:r>
        <w:rPr>
          <w:sz w:val="21"/>
        </w:rPr>
        <w:t>与投标人</w:t>
      </w:r>
      <w:r>
        <w:rPr>
          <w:sz w:val="21"/>
        </w:rPr>
        <w:t>实验室之间的说明文件。</w:t>
      </w:r>
    </w:p>
    <w:p>
      <w:pPr>
        <w:pStyle w:val="null3"/>
        <w:jc w:val="both"/>
      </w:pPr>
      <w:r>
        <w:rPr>
          <w:sz w:val="21"/>
        </w:rPr>
        <w:t>3.服务要求</w:t>
      </w:r>
    </w:p>
    <w:p>
      <w:pPr>
        <w:pStyle w:val="null3"/>
        <w:jc w:val="both"/>
      </w:pPr>
      <w:r>
        <w:rPr>
          <w:sz w:val="21"/>
        </w:rPr>
        <w:t>3.1投标人负责每天不少于一次（含周六日）到采购人处收取标本，时间为8:30-17:30，运送条件：</w:t>
      </w:r>
      <w:r>
        <w:rPr>
          <w:sz w:val="21"/>
        </w:rPr>
        <w:t>投标人须配备符合《</w:t>
      </w:r>
      <w:r>
        <w:rPr>
          <w:sz w:val="21"/>
        </w:rPr>
        <w:t>GB/T 42186-2022 医学检验生物样本冷链物流运作规范》国家标准的物流标本箱，且具备GPS定位和温度监控功能，可实现全程实时监测。</w:t>
      </w:r>
      <w:r>
        <w:rPr>
          <w:sz w:val="21"/>
        </w:rPr>
        <w:t>特殊检测标本另行约定。</w:t>
      </w:r>
      <w:r>
        <w:rPr>
          <w:sz w:val="21"/>
        </w:rPr>
        <w:t>物流费用包含在</w:t>
      </w:r>
      <w:r>
        <w:rPr>
          <w:sz w:val="21"/>
        </w:rPr>
        <w:t>报价中，</w:t>
      </w:r>
      <w:r>
        <w:rPr>
          <w:sz w:val="21"/>
        </w:rPr>
        <w:t>不另外收取或结算</w:t>
      </w:r>
      <w:r>
        <w:rPr>
          <w:sz w:val="21"/>
        </w:rPr>
        <w:t>。</w:t>
      </w:r>
    </w:p>
    <w:p>
      <w:pPr>
        <w:pStyle w:val="null3"/>
        <w:jc w:val="both"/>
      </w:pPr>
      <w:r>
        <w:rPr>
          <w:sz w:val="21"/>
        </w:rPr>
        <w:t>3.2物流服务：提供专业冷链物流服务，温度监控功能，确保标本运输过程的安全及有效。</w:t>
      </w:r>
      <w:r>
        <w:rPr>
          <w:sz w:val="21"/>
        </w:rPr>
        <w:t>物流团队应至少有三级或高级以上物流师水平成员，能优化仓储和配送方案；能安排运输计划、运用信息系统进行数据分析。</w:t>
      </w:r>
    </w:p>
    <w:p>
      <w:pPr>
        <w:pStyle w:val="null3"/>
        <w:jc w:val="both"/>
      </w:pPr>
      <w:r>
        <w:rPr>
          <w:sz w:val="21"/>
        </w:rPr>
        <w:t>3.3未经采购人同意，不得将采购人标本用于他用。</w:t>
      </w:r>
    </w:p>
    <w:p>
      <w:pPr>
        <w:pStyle w:val="null3"/>
        <w:jc w:val="both"/>
      </w:pPr>
      <w:r>
        <w:rPr>
          <w:sz w:val="21"/>
        </w:rPr>
        <w:t>3.4投标人需向采购人提供血液采集试管及特殊检查耗材，</w:t>
      </w:r>
      <w:r>
        <w:rPr>
          <w:sz w:val="21"/>
        </w:rPr>
        <w:t>费用</w:t>
      </w:r>
      <w:r>
        <w:rPr>
          <w:sz w:val="21"/>
        </w:rPr>
        <w:t>由投标人承担。</w:t>
      </w:r>
    </w:p>
    <w:p>
      <w:pPr>
        <w:pStyle w:val="null3"/>
        <w:jc w:val="both"/>
      </w:pPr>
      <w:r>
        <w:rPr>
          <w:sz w:val="21"/>
        </w:rPr>
        <w:t>3.5为采购人提供检验单补单服务。</w:t>
      </w:r>
    </w:p>
    <w:p>
      <w:pPr>
        <w:pStyle w:val="null3"/>
        <w:jc w:val="both"/>
      </w:pPr>
      <w:r>
        <w:rPr>
          <w:sz w:val="21"/>
        </w:rPr>
        <w:t>3.6提供系统对接服务，实现检查项目结果网上传输。</w:t>
      </w:r>
    </w:p>
    <w:p>
      <w:pPr>
        <w:pStyle w:val="null3"/>
        <w:jc w:val="both"/>
      </w:pPr>
      <w:r>
        <w:rPr>
          <w:sz w:val="21"/>
        </w:rPr>
        <w:t>3.7如采购人突发仪器故障，投标人可提供临时外送标本服务，服务费用折扣率比例与报价折扣率比例一致。</w:t>
      </w:r>
    </w:p>
    <w:p>
      <w:pPr>
        <w:pStyle w:val="null3"/>
        <w:jc w:val="both"/>
      </w:pPr>
      <w:r>
        <w:rPr>
          <w:sz w:val="21"/>
        </w:rPr>
        <w:t>3.8提供在线结果查询，对于疑难病例的检测报告，投标人需提供解读报告的相关服务。</w:t>
      </w:r>
    </w:p>
    <w:p>
      <w:pPr>
        <w:pStyle w:val="null3"/>
        <w:jc w:val="both"/>
      </w:pPr>
      <w:r>
        <w:rPr>
          <w:sz w:val="21"/>
        </w:rPr>
        <w:t>3.9根据采购人的项目设定单项检查项目和组合检查项目。</w:t>
      </w:r>
    </w:p>
    <w:p>
      <w:pPr>
        <w:pStyle w:val="null3"/>
        <w:jc w:val="both"/>
      </w:pPr>
      <w:r>
        <w:rPr>
          <w:sz w:val="21"/>
        </w:rPr>
        <w:t>3.10外检目录仅供投标人投标</w:t>
      </w:r>
      <w:r>
        <w:rPr>
          <w:sz w:val="21"/>
        </w:rPr>
        <w:t>参考。在项目服务期间，采购人有权根据业务发展和临床的需求对外检目录进行增减或修改，</w:t>
      </w:r>
      <w:r>
        <w:rPr>
          <w:sz w:val="21"/>
        </w:rPr>
        <w:t>投标人</w:t>
      </w:r>
      <w:r>
        <w:rPr>
          <w:sz w:val="21"/>
        </w:rPr>
        <w:t>应予以配合。</w:t>
      </w:r>
    </w:p>
    <w:p>
      <w:pPr>
        <w:pStyle w:val="null3"/>
        <w:jc w:val="both"/>
      </w:pPr>
      <w:r>
        <w:rPr>
          <w:sz w:val="21"/>
        </w:rPr>
        <w:t>3.11中标人仅是获得服务资格，采购人无法预计也无法保证中标人固定的检验任务量，检验任务量以采购人实际委托检验数量为准。实际结算数量最终以实际检测的样本数为准，投标人须自行考虑承接本项目有可能产生的一切成</w:t>
      </w:r>
      <w:r>
        <w:rPr>
          <w:sz w:val="21"/>
        </w:rPr>
        <w:t>本风险</w:t>
      </w:r>
    </w:p>
    <w:p>
      <w:pPr>
        <w:pStyle w:val="null3"/>
        <w:jc w:val="both"/>
      </w:pPr>
      <w:r>
        <w:rPr>
          <w:sz w:val="21"/>
        </w:rPr>
        <w:t>3.12在采购人开展检验新项目期间，经双方协商一致，投标人提供必要的人力、技术等方面的支持。</w:t>
      </w:r>
    </w:p>
    <w:p>
      <w:pPr>
        <w:pStyle w:val="null3"/>
        <w:jc w:val="both"/>
      </w:pPr>
      <w:r>
        <w:rPr>
          <w:sz w:val="21"/>
        </w:rPr>
        <w:t>4.检验结果质量要求</w:t>
      </w:r>
    </w:p>
    <w:p>
      <w:pPr>
        <w:pStyle w:val="null3"/>
        <w:jc w:val="both"/>
      </w:pPr>
      <w:r>
        <w:rPr>
          <w:sz w:val="21"/>
        </w:rPr>
        <w:t>4.1检验结果差错比≤1/10000。</w:t>
      </w:r>
    </w:p>
    <w:p>
      <w:pPr>
        <w:pStyle w:val="null3"/>
        <w:jc w:val="both"/>
      </w:pPr>
      <w:r>
        <w:rPr>
          <w:sz w:val="21"/>
        </w:rPr>
        <w:t>4.2检验结果与诊断报告相符程度（不可前后矛盾）≥99%。</w:t>
      </w:r>
    </w:p>
    <w:p>
      <w:pPr>
        <w:pStyle w:val="null3"/>
        <w:jc w:val="both"/>
      </w:pPr>
      <w:r>
        <w:rPr>
          <w:sz w:val="21"/>
        </w:rPr>
        <w:t>4.3报告内容与报告结论吻合。</w:t>
      </w:r>
    </w:p>
    <w:p>
      <w:pPr>
        <w:pStyle w:val="null3"/>
        <w:jc w:val="both"/>
      </w:pPr>
      <w:r>
        <w:rPr>
          <w:sz w:val="21"/>
        </w:rPr>
        <w:t>4.4检验标本丢失、运送错误率：累计每季度≤1/10000。</w:t>
      </w:r>
    </w:p>
    <w:p>
      <w:pPr>
        <w:pStyle w:val="null3"/>
        <w:jc w:val="both"/>
      </w:pPr>
      <w:r>
        <w:rPr>
          <w:sz w:val="21"/>
        </w:rPr>
        <w:t>4.5报告的延误送达率：服务期限内≤1/10000。</w:t>
      </w:r>
    </w:p>
    <w:p>
      <w:pPr>
        <w:pStyle w:val="null3"/>
        <w:jc w:val="both"/>
      </w:pPr>
      <w:r>
        <w:rPr>
          <w:sz w:val="21"/>
        </w:rPr>
        <w:t>4.6检验项目必须与采购人开单项目吻合。</w:t>
      </w:r>
    </w:p>
    <w:p>
      <w:pPr>
        <w:pStyle w:val="null3"/>
        <w:jc w:val="both"/>
      </w:pPr>
      <w:r>
        <w:rPr>
          <w:sz w:val="21"/>
        </w:rPr>
        <w:t>4.7检验报告结果危急值报告率100%。</w:t>
      </w:r>
    </w:p>
    <w:p>
      <w:pPr>
        <w:pStyle w:val="null3"/>
        <w:jc w:val="both"/>
      </w:pPr>
      <w:r>
        <w:rPr>
          <w:sz w:val="21"/>
        </w:rPr>
        <w:t>5.质量保障</w:t>
      </w:r>
    </w:p>
    <w:p>
      <w:pPr>
        <w:pStyle w:val="null3"/>
        <w:jc w:val="both"/>
      </w:pPr>
      <w:r>
        <w:rPr>
          <w:sz w:val="21"/>
        </w:rPr>
        <w:t>5.1投标人需保证委托检验项目检测质量，具备委托检验</w:t>
      </w:r>
      <w:r>
        <w:rPr>
          <w:sz w:val="21"/>
        </w:rPr>
        <w:t>项目的相应检测设备、技术人才，并有检验前、检验中、检验后质量保障措施。检验前质量保障措施包括</w:t>
      </w:r>
      <w:r>
        <w:rPr>
          <w:sz w:val="21"/>
        </w:rPr>
        <w:t>但不限于</w:t>
      </w:r>
      <w:r>
        <w:rPr>
          <w:sz w:val="21"/>
        </w:rPr>
        <w:t>标本采集要求培训，标本箱运送温度控制及安全性保障；检验中质量保障措施包括</w:t>
      </w:r>
      <w:r>
        <w:rPr>
          <w:sz w:val="21"/>
        </w:rPr>
        <w:t>但不限于</w:t>
      </w:r>
      <w:r>
        <w:rPr>
          <w:sz w:val="21"/>
        </w:rPr>
        <w:t>标准化的操作规范、室内质控、室间质控等；检验后质量保障措施包括</w:t>
      </w:r>
      <w:r>
        <w:rPr>
          <w:sz w:val="21"/>
        </w:rPr>
        <w:t>但不限于</w:t>
      </w:r>
      <w:r>
        <w:rPr>
          <w:sz w:val="21"/>
        </w:rPr>
        <w:t>异常结果处理流程、临床提出异议的检验报告处理流程等。</w:t>
      </w:r>
    </w:p>
    <w:p>
      <w:pPr>
        <w:pStyle w:val="null3"/>
        <w:jc w:val="both"/>
      </w:pPr>
      <w:r>
        <w:rPr>
          <w:sz w:val="21"/>
        </w:rPr>
        <w:t>5.2投标人的实验室具有完善的质量管理体系，严格落实室内质控管理制度，</w:t>
      </w:r>
      <w:r>
        <w:rPr>
          <w:sz w:val="21"/>
        </w:rPr>
        <w:t>每年参加</w:t>
      </w:r>
      <w:r>
        <w:rPr>
          <w:sz w:val="21"/>
        </w:rPr>
        <w:t>第三方机构</w:t>
      </w:r>
      <w:r>
        <w:rPr>
          <w:sz w:val="21"/>
        </w:rPr>
        <w:t>的质量控制和室间质量评估工作，以控制诊断结果的质量；实验室通过检验相关认证，定期参与质量评审。因投标人实验室质量因素导致的医疗纠纷、事故等不良后果的，由此产生的赔偿责任由</w:t>
      </w:r>
      <w:r>
        <w:rPr>
          <w:sz w:val="21"/>
        </w:rPr>
        <w:t>投标</w:t>
      </w:r>
      <w:r>
        <w:rPr>
          <w:sz w:val="21"/>
        </w:rPr>
        <w:t>人承担。</w:t>
      </w:r>
    </w:p>
    <w:p>
      <w:pPr>
        <w:pStyle w:val="null3"/>
        <w:jc w:val="both"/>
      </w:pPr>
      <w:r>
        <w:rPr>
          <w:sz w:val="21"/>
        </w:rPr>
        <w:t>6.标本接收送检要求</w:t>
      </w:r>
    </w:p>
    <w:p>
      <w:pPr>
        <w:pStyle w:val="null3"/>
        <w:jc w:val="both"/>
      </w:pPr>
      <w:r>
        <w:rPr>
          <w:sz w:val="21"/>
        </w:rPr>
        <w:t>6.1投标人具有规范的标本接收、登记和包装流程，保证标本质量和安全，确保标本顺利交接，方便查核。</w:t>
      </w:r>
    </w:p>
    <w:p>
      <w:pPr>
        <w:pStyle w:val="null3"/>
        <w:jc w:val="both"/>
      </w:pPr>
      <w:r>
        <w:rPr>
          <w:sz w:val="21"/>
        </w:rPr>
        <w:t>6.2投标人标本接收人员要通过严格培训，负责标本质量的初检、标识的核对，标本的接收登记及包装储存。</w:t>
      </w:r>
    </w:p>
    <w:p>
      <w:pPr>
        <w:pStyle w:val="null3"/>
        <w:jc w:val="both"/>
      </w:pPr>
      <w:r>
        <w:rPr>
          <w:sz w:val="21"/>
        </w:rPr>
        <w:t>6.3投标人必须确保及时接收、送检标本和及时检验。标本不符合检验要求时，应及时通知采购人重新取样。</w:t>
      </w:r>
    </w:p>
    <w:p>
      <w:pPr>
        <w:pStyle w:val="null3"/>
        <w:jc w:val="both"/>
      </w:pPr>
      <w:r>
        <w:rPr>
          <w:sz w:val="21"/>
        </w:rPr>
        <w:t>6.4标本在送检过程中出现延迟、遗漏、丢失等情况，投标人应有完善的应急预案予以妥善解决，否则投标人应承担相应责任。</w:t>
      </w:r>
    </w:p>
    <w:p>
      <w:pPr>
        <w:pStyle w:val="null3"/>
        <w:jc w:val="both"/>
      </w:pPr>
      <w:r>
        <w:rPr>
          <w:sz w:val="21"/>
        </w:rPr>
        <w:t>6.5部分特殊检查项目需要的采样器、知情同意书、专用的患者资料登记申请单等由投标人提供。</w:t>
      </w:r>
    </w:p>
    <w:p>
      <w:pPr>
        <w:pStyle w:val="null3"/>
        <w:jc w:val="both"/>
      </w:pPr>
      <w:r>
        <w:rPr>
          <w:sz w:val="21"/>
        </w:rPr>
        <w:t>7.检验报告签发</w:t>
      </w:r>
    </w:p>
    <w:p>
      <w:pPr>
        <w:pStyle w:val="null3"/>
        <w:jc w:val="both"/>
      </w:pPr>
      <w:r>
        <w:rPr>
          <w:sz w:val="21"/>
        </w:rPr>
        <w:t>检验报告单必须由具备相应资质的检验人员签发，上级检验师或医师复核。出现因检验结果错误导致采购人医疗纠纷等不良后果，责任由</w:t>
      </w:r>
      <w:r>
        <w:rPr>
          <w:sz w:val="21"/>
        </w:rPr>
        <w:t>投标人</w:t>
      </w:r>
      <w:r>
        <w:rPr>
          <w:sz w:val="21"/>
        </w:rPr>
        <w:t>承担。</w:t>
      </w:r>
    </w:p>
    <w:p>
      <w:pPr>
        <w:pStyle w:val="null3"/>
        <w:jc w:val="both"/>
      </w:pPr>
      <w:r>
        <w:rPr>
          <w:sz w:val="21"/>
        </w:rPr>
        <w:t>8.技</w:t>
      </w:r>
      <w:r>
        <w:rPr>
          <w:sz w:val="21"/>
        </w:rPr>
        <w:t>术支持</w:t>
      </w:r>
    </w:p>
    <w:p>
      <w:pPr>
        <w:pStyle w:val="null3"/>
        <w:jc w:val="both"/>
      </w:pPr>
      <w:r>
        <w:rPr>
          <w:sz w:val="21"/>
        </w:rPr>
        <w:t>8.1</w:t>
      </w:r>
      <w:r>
        <w:rPr>
          <w:sz w:val="21"/>
        </w:rPr>
        <w:t>投标人</w:t>
      </w:r>
      <w:r>
        <w:rPr>
          <w:sz w:val="21"/>
        </w:rPr>
        <w:t>拥有</w:t>
      </w:r>
      <w:r>
        <w:rPr>
          <w:sz w:val="21"/>
        </w:rPr>
        <w:t>第三方机构</w:t>
      </w:r>
      <w:r>
        <w:rPr>
          <w:sz w:val="21"/>
        </w:rPr>
        <w:t>的技术支撑，能依托权威技术支撑机构，协助采购人开展包括但不限于进修培训、开展继续教育、学术交流活动等。</w:t>
      </w:r>
    </w:p>
    <w:p>
      <w:pPr>
        <w:pStyle w:val="null3"/>
        <w:jc w:val="both"/>
      </w:pPr>
      <w:r>
        <w:rPr>
          <w:sz w:val="21"/>
        </w:rPr>
        <w:t>8.2提供采购人医务工作人员到</w:t>
      </w:r>
      <w:r>
        <w:rPr>
          <w:sz w:val="21"/>
        </w:rPr>
        <w:t>投标人</w:t>
      </w:r>
      <w:r>
        <w:rPr>
          <w:sz w:val="21"/>
        </w:rPr>
        <w:t>实</w:t>
      </w:r>
      <w:r>
        <w:rPr>
          <w:sz w:val="21"/>
        </w:rPr>
        <w:t>验室进修的机会，以提高采购人医务工作人员的专业技能。协助设计、制作相关医学检验宣传资料。能够协助检验科的建设和发展，每年提供检验人员进修和</w:t>
      </w:r>
      <w:r>
        <w:rPr>
          <w:sz w:val="21"/>
        </w:rPr>
        <w:t>ISO15189知识培训工作。</w:t>
      </w:r>
      <w:r>
        <w:rPr>
          <w:sz w:val="21"/>
        </w:rPr>
        <w:t>投标人通过</w:t>
      </w:r>
      <w:r>
        <w:rPr>
          <w:sz w:val="21"/>
        </w:rPr>
        <w:t>ISO15189</w:t>
      </w:r>
      <w:r>
        <w:rPr>
          <w:sz w:val="21"/>
        </w:rPr>
        <w:t>认证</w:t>
      </w:r>
    </w:p>
    <w:p>
      <w:pPr>
        <w:pStyle w:val="null3"/>
        <w:jc w:val="both"/>
      </w:pPr>
      <w:r>
        <w:rPr>
          <w:sz w:val="21"/>
        </w:rPr>
        <w:t>9.结果查询及咨询服务</w:t>
      </w:r>
    </w:p>
    <w:p>
      <w:pPr>
        <w:pStyle w:val="null3"/>
        <w:jc w:val="both"/>
      </w:pPr>
      <w:r>
        <w:rPr>
          <w:sz w:val="21"/>
        </w:rPr>
        <w:t>9.1投标人需</w:t>
      </w:r>
      <w:r>
        <w:rPr>
          <w:sz w:val="21"/>
        </w:rPr>
        <w:t>提供</w:t>
      </w:r>
      <w:r>
        <w:rPr>
          <w:sz w:val="21"/>
        </w:rPr>
        <w:t>包括但不限于</w:t>
      </w:r>
      <w:r>
        <w:rPr>
          <w:sz w:val="21"/>
        </w:rPr>
        <w:t>服务电</w:t>
      </w:r>
      <w:r>
        <w:rPr>
          <w:sz w:val="21"/>
        </w:rPr>
        <w:t>话、网络查询等多种渠道供业务咨询、报告查询、账单查询统计功能。</w:t>
      </w:r>
    </w:p>
    <w:p>
      <w:pPr>
        <w:pStyle w:val="null3"/>
        <w:jc w:val="both"/>
      </w:pPr>
      <w:r>
        <w:rPr>
          <w:sz w:val="21"/>
        </w:rPr>
        <w:t>9.2所有检测项目须与医院检验信息系统（LIS系统）实施对接，需符合国家信息安全有关的规定和要求，可以通过LIS系统查询打印结果。对接产生的费用由投标人承担。</w:t>
      </w:r>
    </w:p>
    <w:p>
      <w:pPr>
        <w:pStyle w:val="null3"/>
        <w:jc w:val="both"/>
      </w:pPr>
      <w:r>
        <w:rPr>
          <w:sz w:val="21"/>
        </w:rPr>
        <w:t>9.3提供网上查询服务，以供随时查询进度和结果。</w:t>
      </w:r>
    </w:p>
    <w:p>
      <w:pPr>
        <w:pStyle w:val="null3"/>
        <w:jc w:val="both"/>
      </w:pPr>
      <w:r>
        <w:rPr>
          <w:sz w:val="21"/>
        </w:rPr>
        <w:t>9.4提供电话查询服务，危急检验项目有专人电话跟进，确保患者检测信息与临床医生的畅通。危急值在验单审核5分钟内通过电话通知采购人科室。</w:t>
      </w:r>
    </w:p>
    <w:p>
      <w:pPr>
        <w:pStyle w:val="null3"/>
        <w:jc w:val="both"/>
      </w:pPr>
      <w:r>
        <w:rPr>
          <w:sz w:val="21"/>
        </w:rPr>
        <w:t>9.5按照投标人承诺的检测报告时间及时提供检测结果（如有政策要求或行业标准的按照政策要求和行业标准出具），并能满足采购人急诊项目的优先检测。</w:t>
      </w:r>
    </w:p>
    <w:p>
      <w:pPr>
        <w:pStyle w:val="null3"/>
        <w:jc w:val="both"/>
      </w:pPr>
      <w:r>
        <w:rPr>
          <w:sz w:val="21"/>
        </w:rPr>
        <w:t>9.6 提供检验报告自助打印机或对接医院检验报告自助打印机，以供患者自助打印检验报告单。</w:t>
      </w:r>
    </w:p>
    <w:p>
      <w:pPr>
        <w:pStyle w:val="null3"/>
        <w:jc w:val="both"/>
      </w:pPr>
      <w:r>
        <w:rPr>
          <w:sz w:val="21"/>
        </w:rPr>
        <w:t>9.7可协助医院系统实现互联互通，支持区域内医院系统集中部署，推动医疗资源融合，帮助持续完善、升级医疗信息化服务，构建完整的5G智慧医疗系统。</w:t>
      </w:r>
    </w:p>
    <w:p>
      <w:pPr>
        <w:pStyle w:val="null3"/>
        <w:jc w:val="both"/>
      </w:pPr>
      <w:r>
        <w:rPr>
          <w:sz w:val="21"/>
        </w:rPr>
        <w:t>10.检验信息系统和保密要求</w:t>
      </w:r>
    </w:p>
    <w:p>
      <w:pPr>
        <w:pStyle w:val="null3"/>
        <w:jc w:val="both"/>
      </w:pPr>
      <w:r>
        <w:rPr>
          <w:sz w:val="21"/>
        </w:rPr>
        <w:t>10.1</w:t>
      </w:r>
      <w:r>
        <w:rPr/>
        <w:t xml:space="preserve"> </w:t>
      </w:r>
      <w:r>
        <w:rPr>
          <w:sz w:val="21"/>
        </w:rPr>
        <w:t>投标人</w:t>
      </w:r>
      <w:r>
        <w:rPr>
          <w:sz w:val="21"/>
        </w:rPr>
        <w:t>的检</w:t>
      </w:r>
      <w:r>
        <w:rPr>
          <w:sz w:val="21"/>
        </w:rPr>
        <w:t>验信息系统须获得信息系统安全等级保护二级或以上备案，须支持与采购人</w:t>
      </w:r>
      <w:r>
        <w:rPr>
          <w:sz w:val="21"/>
        </w:rPr>
        <w:t>LIS/HIS系统无缝对接（采购人现有LIS系统品牌为南方璟桥；HIS系统品牌为广东巨龙），确保数据实时同步</w:t>
      </w:r>
      <w:r>
        <w:rPr>
          <w:sz w:val="21"/>
        </w:rPr>
        <w:t>。</w:t>
      </w:r>
      <w:r>
        <w:rPr>
          <w:sz w:val="21"/>
        </w:rPr>
        <w:t>投标人</w:t>
      </w:r>
      <w:r>
        <w:rPr>
          <w:sz w:val="21"/>
        </w:rPr>
        <w:t>应严格遵守《中华人民共和国个人信息保护法》和《中华人民共和国网络安全法》，满足相关医</w:t>
      </w:r>
      <w:r>
        <w:rPr>
          <w:sz w:val="21"/>
        </w:rPr>
        <w:t>疗信息安全规范的要求，采取切实有效的措施为采购人保密，未经采购人同意不得泄露患者个人隐私、委托检验的项目、检验的内容、检验的结果等相关保密内容。系统对接产生的相关费用已包含在投标报价中，采购人不再另行支付。</w:t>
      </w:r>
    </w:p>
    <w:p>
      <w:pPr>
        <w:pStyle w:val="null3"/>
        <w:jc w:val="both"/>
      </w:pPr>
      <w:r>
        <w:rPr>
          <w:sz w:val="21"/>
        </w:rPr>
        <w:t>10.2 检验样本、检验数据的所有权、使用权为采购人所有，未经许可不得挪作它用。</w:t>
      </w:r>
    </w:p>
    <w:p>
      <w:pPr>
        <w:pStyle w:val="null3"/>
        <w:jc w:val="both"/>
      </w:pPr>
      <w:r>
        <w:rPr>
          <w:sz w:val="21"/>
        </w:rPr>
        <w:t>11.其他</w:t>
      </w:r>
    </w:p>
    <w:p>
      <w:pPr>
        <w:pStyle w:val="null3"/>
        <w:jc w:val="both"/>
      </w:pPr>
      <w:r>
        <w:rPr>
          <w:sz w:val="21"/>
        </w:rPr>
        <w:t>11.1投标人应根据项目需求，结合自身实际情况，提供针对本项目的总体实施方案，具有完善的项目需求理解、检测项目清单工作措施、总体工作流程方案、标本检验及诊断方案等，对检验项目进程合理安排，各项操作制度规范，高效地组织实施流程。</w:t>
      </w:r>
    </w:p>
    <w:p>
      <w:pPr>
        <w:pStyle w:val="null3"/>
        <w:jc w:val="both"/>
      </w:pPr>
      <w:r>
        <w:rPr>
          <w:sz w:val="21"/>
        </w:rPr>
        <w:t>11.2</w:t>
      </w:r>
      <w:r>
        <w:rPr>
          <w:sz w:val="21"/>
        </w:rPr>
        <w:t>投标人应根据项目需求，结合自身实际情况，提供针对本项目的质量保证方案，具有完善的质量管理制度，能切合采购人实际，提出检验前、检验中、检验后的质量保障措施。具有标准化的操作规范、室间质控等。</w:t>
      </w:r>
    </w:p>
    <w:p>
      <w:pPr>
        <w:pStyle w:val="null3"/>
        <w:jc w:val="both"/>
      </w:pPr>
      <w:r>
        <w:rPr>
          <w:sz w:val="21"/>
        </w:rPr>
        <w:t>11.</w:t>
      </w:r>
      <w:r>
        <w:rPr>
          <w:sz w:val="21"/>
        </w:rPr>
        <w:t>3</w:t>
      </w:r>
      <w:r>
        <w:rPr>
          <w:sz w:val="21"/>
        </w:rPr>
        <w:t>投标人保证采购人在中华人民共和国境</w:t>
      </w:r>
      <w:r>
        <w:rPr>
          <w:sz w:val="21"/>
        </w:rPr>
        <w:t>内使用响应货物、资料、技术、服务或其任何部分时，享有不受限制的无偿使用权，如有第三方向采购人提出侵犯其专利权、商标权或其它知识产权的主张，该责任应由投标人承担。</w:t>
      </w:r>
    </w:p>
    <w:p>
      <w:pPr>
        <w:pStyle w:val="null3"/>
        <w:jc w:val="both"/>
      </w:pPr>
      <w:r>
        <w:rPr>
          <w:sz w:val="21"/>
        </w:rPr>
        <w:t>11.</w:t>
      </w:r>
      <w:r>
        <w:rPr>
          <w:sz w:val="21"/>
        </w:rPr>
        <w:t>4</w:t>
      </w:r>
      <w:r>
        <w:rPr>
          <w:sz w:val="21"/>
        </w:rPr>
        <w:t>投标报价应包含所有应向所有权人支付的专利权、商标权或其它知识产权的一切相关费用。系统软件、通用软件必须是具有在中国境内的合法使用权或版权的正版软件，涉及到第三方提出侵权或知识产权的起诉及支付版税等费用由投标人承担所有责任及费用。</w:t>
      </w:r>
    </w:p>
    <w:p>
      <w:pPr>
        <w:pStyle w:val="null3"/>
      </w:pPr>
      <w:r>
        <w:rPr/>
        <w:t>采购包1（2025年-2026年部分检验项目外送检测）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自合同签订之日起1年或结算金额累计达到采购预算金额时合同终止，以先到者为准。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2)月服务费用=每月实际检测项目费用（物价标准依据《广州市公立医疗机构基本医疗服务价格》的二级价格）×中标折扣率。说明：实际检测项目费用计算依据为《根据实际收费标准填写》（如遇物价调整，按最新物价标准执行）规定的物价。注：因采购人使用的是财政性资金，采购人的付款时间为向政府采购支付部门提出办理财政支付申请手续的时间(不含政府财政支付部门审核的时间)，在规定时间内提出支付申请手续后即视为采购人已经按期支付。当支付部门不具备支付条件时，可适当延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 2）符合招标文件和投标响应承诺中采购人认可的服务标准及各项要求。 3)符合合同约定的服务要求。 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其他，在合同履行的过程中，如政府发布了新的医疗服务价格标准，则采购人和投标人以新标准（也由采购人最终确定）作为项目的收费单价实际执行标准并依次标准进行相应的计算后结算。</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按《广州市公立医疗机构基本医疗服务价格》二级价格核准公布的收费标准报统一折扣率，投标人的折扣率报价不能为负数或零，且是固定唯一，有效小数保留至小数点后两位。&lt;本项目以折扣率报价，不得以下浮率报价；以折扣率80.00%、收费标准为200元为例，结算单价为200*80.00%＝160（元），投标人不能以下浮率20%报价，必须折算成（1-20%）＝80%进行报价&gt; 投标报价包括但不限于：完成本次招标所有服务内容的费用，包括人工费、检验费、材料费、设备使用费、各种税务费、必需的辅助材料费及合同实施过程中不可预见费用等全部费用。 （2）投标人必须对本包组的全部内容进行投标报价，不可有缺漏。 （3）如果评标委员会发现投标人的报价明显低于其他通过符合性审查投标人的报价，有可能影响产品质量或者不能诚信履约的，投标人必须要出具详细的成本清单、包含投标人的利润分析、成本分析等，且经所有评委一致认可有效，否则按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卫生院和社区医疗服务</w:t>
            </w:r>
          </w:p>
        </w:tc>
        <w:tc>
          <w:tcPr>
            <w:tcW w:type="dxa" w:w="831"/>
          </w:tcPr>
          <w:p>
            <w:pPr>
              <w:pStyle w:val="null3"/>
              <w:jc w:val="left"/>
            </w:pPr>
            <w:r>
              <w:rPr/>
              <w:t>2025年-2026年部分检验项目外送检测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2025年-2026年部分检验项目外送检测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广州市增城区新塘镇中心卫生院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项目采购预算金额作为收费的计算依据。该项目中标服务费参照国家计委[计价格[2002]1980号]文服务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 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-2026年部分检验项目外送检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采购包1（2025年-2026年部分检验项目外送检测）：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采购包1（2025年-2026年部分检验项目外送检测）：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或投标人医学实验室具有卫生部门核发且在有效期内的《医疗机构执业许可证》，且证书的诊疗科目中须包含医学检验科。如投标人所提供许可证名称与投标人名称不一致，需同时提供两者之间的说明文件。（如国家另有规定，则适用其规定）。（提供扫描件加盖投标人公章）。</w:t>
            </w:r>
          </w:p>
        </w:tc>
      </w:tr>
      <w:tr>
        <w:tc>
          <w:tcPr>
            <w:tcW w:type="dxa" w:w="890"/>
          </w:tcPr>
          <w:p>
            <w:pPr>
              <w:pStyle w:val="null3"/>
            </w:pPr>
            <w:r>
              <w:rPr/>
              <w:t>13</w:t>
            </w:r>
          </w:p>
        </w:tc>
        <w:tc>
          <w:tcPr>
            <w:tcW w:type="dxa" w:w="3178"/>
          </w:tcPr>
          <w:p>
            <w:pPr>
              <w:pStyle w:val="null3"/>
            </w:pPr>
            <w:r>
              <w:rPr/>
              <w:t>本项目特定的资格要求</w:t>
            </w:r>
          </w:p>
        </w:tc>
        <w:tc>
          <w:tcPr>
            <w:tcW w:type="dxa" w:w="4238"/>
          </w:tcPr>
          <w:p>
            <w:pPr>
              <w:pStyle w:val="null3"/>
            </w:pPr>
            <w:r>
              <w:rPr/>
              <w:t>投标人具备《临床基因扩增检验实验室技术审核合格证书》或《临床基因扩增检验实验室技术验收合格证书》。如投标人所提供证书名称与投标人名称不一致，需同时提供两者之间的说明文件。（如国家另有规定，则适用其规定）。（提供扫描件加盖投标人公章）</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本项目非专门面向中小企业采购的项目（本项目采购标的所属行业：其他未列明行业）</w:t>
            </w:r>
          </w:p>
        </w:tc>
      </w:tr>
    </w:tbl>
    <w:p>
      <w:pPr>
        <w:pStyle w:val="null3"/>
        <w:ind w:firstLine="480"/>
      </w:pPr>
      <w:r>
        <w:rPr/>
        <w:t>表二符合性审查表：</w:t>
      </w:r>
    </w:p>
    <w:p>
      <w:pPr>
        <w:pStyle w:val="null3"/>
      </w:pPr>
      <w:r>
        <w:rPr/>
        <w:t>采购包1（2025年-2026年部分检验项目外送检测）：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1)对本项目的全部招标内容进行折扣率报价 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采购包1(2025年-2026年部分检验项目外送检测):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技术部分52.0分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项目整体实施方案 (11.0分)</w:t>
            </w:r>
          </w:p>
        </w:tc>
        <w:tc>
          <w:tcPr>
            <w:tcW w:type="dxa" w:w="5076"/>
          </w:tcPr>
          <w:p>
            <w:pPr>
              <w:pStyle w:val="null3"/>
              <w:jc w:val="left"/>
            </w:pPr>
            <w:r>
              <w:rPr/>
              <w:t>根据投标人提供的项目实施方案进行评审，方案包括但不限于项目需求理解、检测项目方法的工作措施、工作流程等内容： 1、项目方案每项内容均逻辑清晰，表述完整，流程顺畅，有针对性的对照项目业务需求内容进行说明的，具备可操作性的，完全满足且优于采购需求的，得11分； 2、项目方案每项内容均逻辑较清晰，表述较完整，流程较顺畅，较有针对性的对照项目业务需求内容进行说明的，具备可操作性的，满足采购需求的，得7分； 3、项目方案每项容均逻辑基本清晰，表述基本完整，流程基本顺畅，有对照项目业务内容进行说明，但针对性不强，有一定可操作性的，部分满足采购需求的，得3分； 4、其他或未提供方案的，不得分。</w:t>
            </w:r>
          </w:p>
        </w:tc>
      </w:tr>
      <w:tr>
        <w:tc>
          <w:tcPr>
            <w:tcW w:type="dxa" w:w="922"/>
            <w:gridSpan w:val="2"/>
            <w:vMerge/>
          </w:tcPr>
          <w:p/>
        </w:tc>
        <w:tc>
          <w:tcPr>
            <w:tcW w:type="dxa" w:w="2307"/>
          </w:tcPr>
          <w:p>
            <w:pPr>
              <w:pStyle w:val="null3"/>
              <w:jc w:val="left"/>
            </w:pPr>
            <w:r>
              <w:rPr/>
              <w:t>项目质量保障方案 (10.0分)</w:t>
            </w:r>
          </w:p>
        </w:tc>
        <w:tc>
          <w:tcPr>
            <w:tcW w:type="dxa" w:w="5076"/>
          </w:tcPr>
          <w:p>
            <w:pPr>
              <w:pStyle w:val="null3"/>
              <w:jc w:val="left"/>
            </w:pPr>
            <w:r>
              <w:rPr/>
              <w:t>根据投标人提供的质量保证方案进行评审： 1、提供质量保障方案，至少包括以下内容：①检测报告服务质量管理制度、②质量保障措施等，每提供上述一项内容得1.5分，本小项最高得3分。 2、在完全包含上述内容的基础上（如有缺漏，本小项不得分）： ①质量保证方案合理，内容完善、详尽，切合项目实际，完全满足且优于采购需求的，有利于项目实施的，得7分； ②质量保证方案完整、详细，符合项目实际，完全满足项目需求的，得4分； ③有提供质量保证方案的，基本满足项目主要采购需求的，得1分。</w:t>
            </w:r>
          </w:p>
        </w:tc>
      </w:tr>
      <w:tr>
        <w:tc>
          <w:tcPr>
            <w:tcW w:type="dxa" w:w="922"/>
            <w:gridSpan w:val="2"/>
            <w:vMerge/>
          </w:tcPr>
          <w:p/>
        </w:tc>
        <w:tc>
          <w:tcPr>
            <w:tcW w:type="dxa" w:w="2307"/>
          </w:tcPr>
          <w:p>
            <w:pPr>
              <w:pStyle w:val="null3"/>
              <w:jc w:val="left"/>
            </w:pPr>
            <w:r>
              <w:rPr/>
              <w:t>信息化服务能力 (5.0分)</w:t>
            </w:r>
          </w:p>
        </w:tc>
        <w:tc>
          <w:tcPr>
            <w:tcW w:type="dxa" w:w="5076"/>
          </w:tcPr>
          <w:p>
            <w:pPr>
              <w:pStyle w:val="null3"/>
              <w:jc w:val="left"/>
            </w:pPr>
            <w:r>
              <w:rPr/>
              <w:t>根据投标人提供的检验信息化服务能力方案（内容包括医学信息化服务能力、配备完善的信息系统）进行综合评审： 1、医学信息化服务能力强，配备完善的信息系统，系统对接方案完全满足且优于采购需求的，得5分； 2、医学信息化服务能力较强，配备较完善的信息系统，系统对接方案满足采购需求的，得3分； 3、医学信息化服务能力较弱，信息系统较弱，系统对接方案部分满足采购需求的，得1分； 4、未提供对应方案不得分。</w:t>
            </w:r>
          </w:p>
        </w:tc>
      </w:tr>
      <w:tr>
        <w:tc>
          <w:tcPr>
            <w:tcW w:type="dxa" w:w="922"/>
            <w:gridSpan w:val="2"/>
            <w:vMerge/>
          </w:tcPr>
          <w:p/>
        </w:tc>
        <w:tc>
          <w:tcPr>
            <w:tcW w:type="dxa" w:w="2307"/>
          </w:tcPr>
          <w:p>
            <w:pPr>
              <w:pStyle w:val="null3"/>
              <w:jc w:val="left"/>
            </w:pPr>
            <w:r>
              <w:rPr/>
              <w:t>拟投入人员情况 (5.0分)</w:t>
            </w:r>
          </w:p>
        </w:tc>
        <w:tc>
          <w:tcPr>
            <w:tcW w:type="dxa" w:w="5076"/>
          </w:tcPr>
          <w:p>
            <w:pPr>
              <w:pStyle w:val="null3"/>
              <w:jc w:val="left"/>
            </w:pPr>
            <w:r>
              <w:rPr/>
              <w:t>1、拟投入本项目的技术负责人具有高级（副高及以上）检验专业职称，得3分；具有中级检验专业职称，得2分；本小项最高得3分。 2、拟投入本项目人员（不含技术负责人）中具有专业职称进行评分：具有检验专业中级（或以上）职称人员，得2分，本小项最高得2分。 注：须提供以上人员的由人力资源和社会保障部门或卫健委颁发的职称证书、身份证以及聘用合同扫描件作为评分依据。</w:t>
            </w:r>
          </w:p>
        </w:tc>
      </w:tr>
      <w:tr>
        <w:tc>
          <w:tcPr>
            <w:tcW w:type="dxa" w:w="922"/>
            <w:gridSpan w:val="2"/>
            <w:vMerge/>
          </w:tcPr>
          <w:p/>
        </w:tc>
        <w:tc>
          <w:tcPr>
            <w:tcW w:type="dxa" w:w="2307"/>
          </w:tcPr>
          <w:p>
            <w:pPr>
              <w:pStyle w:val="null3"/>
              <w:jc w:val="left"/>
            </w:pPr>
            <w:r>
              <w:rPr/>
              <w:t>投标人实验室能力 (6.0分)</w:t>
            </w:r>
          </w:p>
        </w:tc>
        <w:tc>
          <w:tcPr>
            <w:tcW w:type="dxa" w:w="5076"/>
          </w:tcPr>
          <w:p>
            <w:pPr>
              <w:pStyle w:val="null3"/>
              <w:jc w:val="left"/>
            </w:pPr>
            <w:r>
              <w:rPr/>
              <w:t>投标人能够协助医院科室的建设和发展，有能力协助医院科室通过ISO15189体系认证工作，提供一个成功案例得3分，满分6分。注：须提供上述成功案例的合同关键页（含签订合同双方的单位名称、合同项目名称、合同概况、签订合同双方的落款盖章、签订日期的关键页）及相关服务内容和协助医院通过中国合格评定国家认可委员会(CNAS)ISO 15189的证明材料。</w:t>
            </w:r>
          </w:p>
        </w:tc>
      </w:tr>
      <w:tr>
        <w:tc>
          <w:tcPr>
            <w:tcW w:type="dxa" w:w="922"/>
            <w:gridSpan w:val="2"/>
            <w:vMerge/>
          </w:tcPr>
          <w:p/>
        </w:tc>
        <w:tc>
          <w:tcPr>
            <w:tcW w:type="dxa" w:w="2307"/>
          </w:tcPr>
          <w:p>
            <w:pPr>
              <w:pStyle w:val="null3"/>
              <w:jc w:val="left"/>
            </w:pPr>
            <w:r>
              <w:rPr/>
              <w:t>智能体建设 (6.0分)</w:t>
            </w:r>
          </w:p>
        </w:tc>
        <w:tc>
          <w:tcPr>
            <w:tcW w:type="dxa" w:w="5076"/>
          </w:tcPr>
          <w:p>
            <w:pPr>
              <w:pStyle w:val="null3"/>
              <w:jc w:val="left"/>
            </w:pPr>
            <w:r>
              <w:rPr/>
              <w:t>投标人通过人工智能应用提升医院医疗服务能力，将人工智能与医院临床诊疗路径及业务流程相结合，实现AI智能体智慧报告解读、疾病问答、项目推荐、用药助手等智能场景应用，辅助临床医生的决策诊断。 1.投标人提供自2024年以来，建设智能体的实践案例，每提供一个得2分，最高4分； 2.投标人提供自2024年以来，获得“AI+智能体场景”优秀案例，每提供一个得1分，最高2分。需提供相关证明材料，不提供不得分。</w:t>
            </w:r>
          </w:p>
        </w:tc>
      </w:tr>
      <w:tr>
        <w:tc>
          <w:tcPr>
            <w:tcW w:type="dxa" w:w="922"/>
            <w:gridSpan w:val="2"/>
            <w:vMerge/>
          </w:tcPr>
          <w:p/>
        </w:tc>
        <w:tc>
          <w:tcPr>
            <w:tcW w:type="dxa" w:w="2307"/>
          </w:tcPr>
          <w:p>
            <w:pPr>
              <w:pStyle w:val="null3"/>
              <w:jc w:val="left"/>
            </w:pPr>
            <w:r>
              <w:rPr/>
              <w:t>标本管理服务能力 (9.0分)</w:t>
            </w:r>
          </w:p>
        </w:tc>
        <w:tc>
          <w:tcPr>
            <w:tcW w:type="dxa" w:w="5076"/>
          </w:tcPr>
          <w:p>
            <w:pPr>
              <w:pStyle w:val="null3"/>
              <w:jc w:val="left"/>
            </w:pPr>
            <w:r>
              <w:rPr/>
              <w:t>1、投标人需提供专人专车收取标本服务，并提供详细的服务方案（内容至少包括：①接收标本人员配备；②运输设备配置；③标本接收时间和包装流程；④接受送检时效操作规范的具体实施措施，每提供上述一项内容得0.5分，本小项最高得2分。 2、在完全包含上述内容的基础上（如有缺漏，本小项不得分）： （1）投标人服务方案完整，人员配备齐全、运输设备配置齐全、标本接收时间符合用户需求书要求，包装流程、运输过程安全及操作规范,表达清晰、科学合理、可操作性强的、完全符合项目需求，得7分； （2）投标人服务方案基本完整详细，人员配备较齐全、运输设备配置齐全、标本接收时间基本符合用户需求书要求，包装流程、运输过程比较安全及操作比较规范，具有一定的可行性，基本符合要求，但不够全面，得4分； （3）投标人服务方案不全，人员配备不全、运输设备配置不全、标本接收时间不符合用户需求书要求，包装流程、运输过程有一定风险、操作不够规范，内容有缺项，不符合项目需求、不具可行性，不满足要求，得1分； （4）不提供或其他情况，得0分。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投标人实验室资质 (8.0分)</w:t>
            </w:r>
          </w:p>
        </w:tc>
        <w:tc>
          <w:tcPr>
            <w:tcW w:type="dxa" w:w="5076"/>
          </w:tcPr>
          <w:p>
            <w:pPr>
              <w:pStyle w:val="null3"/>
              <w:jc w:val="left"/>
            </w:pPr>
            <w:r>
              <w:rPr/>
              <w:t>1、投标人实验室具有关于医学体系认可标准(IS015189)的认证，得3分； 注：（1）须提供在有效期内的相应证书扫描件。 （2）如因投标人成立时间不满足认证时间要求且办理认证所需要合理时间不足导致未能获得认证证书的，投标人提供相关佐证资料，情况属实的，可对应得分，否则不得分。 （3）如投标人所提供证书名称与投标人名称不一致，需同时提供两者之间的说明文件。（如国家另有规定，则适用其规定）。 2、根据投标人实验室通过中国合格评定国家认可委员会（CNAS）ISO15189认证，以通过ISO15189认证项目数量与需求中检测清单项目匹配程度进行评分：通过检测清单中项目数≥220项，得5分；219项-200项，得3.5分；199项-150项，得2.5分。149项-100项，得1.5分，99项-1项，得0.5分。 注：（1）提供承诺函，投标人承诺函须体现采购人检测清单目录中的检测项目在投标人实验室通过ISO15189认证的具体数量(格式自拟并加盖投标人公章) （2）如因投标人成立时间不满足认证时间要求且办理认证所需要合理时间不足导致未能获得认证证书的，投标人提供相关佐证资料，情况属实的，可对应得分，否则不得分。 （3）如投标人所提供证书名称与投标人名称不一致，需同时提供两者之间的说明文件。（如国家另有规定，则适用其规定）。</w:t>
            </w:r>
          </w:p>
        </w:tc>
      </w:tr>
      <w:tr>
        <w:tc>
          <w:tcPr>
            <w:tcW w:type="dxa" w:w="922"/>
            <w:gridSpan w:val="2"/>
            <w:vMerge/>
          </w:tcPr>
          <w:p/>
        </w:tc>
        <w:tc>
          <w:tcPr>
            <w:tcW w:type="dxa" w:w="2307"/>
          </w:tcPr>
          <w:p>
            <w:pPr>
              <w:pStyle w:val="null3"/>
              <w:jc w:val="left"/>
            </w:pPr>
            <w:r>
              <w:rPr/>
              <w:t>投标人证书 (6.0分)</w:t>
            </w:r>
          </w:p>
        </w:tc>
        <w:tc>
          <w:tcPr>
            <w:tcW w:type="dxa" w:w="5076"/>
          </w:tcPr>
          <w:p>
            <w:pPr>
              <w:pStyle w:val="null3"/>
              <w:jc w:val="left"/>
            </w:pPr>
            <w:r>
              <w:rPr/>
              <w:t>投标人获得质量管理体系认证证书、环境管理体系认证证书、职业健康管理体系认证证书，以上体系证书需满足以下要求：覆盖范围包括医学检验。每提供一份认证证书得2分，最高得6分。 注:（1）提供有效期内的证书扫描件/复印件及全国认证认可信息公共服务平台上http://cx.cnca.cn 查询结果的截图，未提供或提供的资料不符合要求的则不得分。非投标人主体资质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医疗冷链物流运输能力 (6.0分)</w:t>
            </w:r>
          </w:p>
        </w:tc>
        <w:tc>
          <w:tcPr>
            <w:tcW w:type="dxa" w:w="5076"/>
          </w:tcPr>
          <w:p>
            <w:pPr>
              <w:pStyle w:val="null3"/>
              <w:jc w:val="left"/>
            </w:pPr>
            <w:r>
              <w:rPr/>
              <w:t>1.投标人投入本项目的物流标本箱具备GPS定位和温度监控功能，且可实现全程实时监测得3分；注：提供GPS定位和温度监控功能的系统界面截图证明，不提供不得分。 2.投标人物流团队成员中具有物流服务师三级/高级工或以上职业技能证书的，得3分。注：投标时须提供相关人员证书扫描件及提供投标截止时间前6个月内任意1个月的社保证明。</w:t>
            </w:r>
          </w:p>
        </w:tc>
      </w:tr>
      <w:tr>
        <w:tc>
          <w:tcPr>
            <w:tcW w:type="dxa" w:w="922"/>
            <w:gridSpan w:val="2"/>
            <w:vMerge/>
          </w:tcPr>
          <w:p/>
        </w:tc>
        <w:tc>
          <w:tcPr>
            <w:tcW w:type="dxa" w:w="2307"/>
          </w:tcPr>
          <w:p>
            <w:pPr>
              <w:pStyle w:val="null3"/>
              <w:jc w:val="left"/>
            </w:pPr>
            <w:r>
              <w:rPr/>
              <w:t>综合实力 (4.0分)</w:t>
            </w:r>
          </w:p>
        </w:tc>
        <w:tc>
          <w:tcPr>
            <w:tcW w:type="dxa" w:w="5076"/>
          </w:tcPr>
          <w:p>
            <w:pPr>
              <w:pStyle w:val="null3"/>
              <w:jc w:val="left"/>
            </w:pPr>
            <w:r>
              <w:rPr/>
              <w:t>1.投标人承诺检验结果支持接入检验检查结果互认平台，并与二级或以上医疗机构及医学检验所结果互认，得4分。未提供不得分。 注:投标时需提供承诺函(格式自拟并加盖投标人公章)。</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1.根据投标人自2020年1月1日以来（以合同签订时间为准）承接过同类合同业绩的实施经验进行评分：每提供一个同类项目合同的得1分，本项最高得5分。 注1：每项业绩须提供合同关键页，一年一签的长期服务续签合同只计算一个业绩； 注2：同一甲方同一类型的多次合作，算作1个业绩。 注3：上述资料均要求提供扫描件，不清晰或未提供不得分。 2.投标人自2022年1月1日至今（以合同签订时间为准）具备对接LIS系统的相关项目经验，每提供1个得2分，最高得4分。 注：须提供上述经验的合同关键页（含签订合同双方的单位名称、合同项目名称、合同概况、签订合同双方的落款盖章、签订日期的关键页），关键页中需能显示对接LIS系统关键信息。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 xml:space="preserve"> </w:t>
      </w:r>
    </w:p>
    <w:p>
      <w:pPr>
        <w:pStyle w:val="null3"/>
        <w:jc w:val="center"/>
      </w:pPr>
      <w:r>
        <w:rPr>
          <w:sz w:val="48"/>
          <w:b/>
          <w:color w:val="222222"/>
          <w:shd w:fill="FFFFFF" w:val="clear"/>
        </w:rPr>
        <w:t>广东省政府采购</w:t>
      </w:r>
    </w:p>
    <w:p>
      <w:pPr>
        <w:pStyle w:val="null3"/>
        <w:spacing w:before="150" w:after="150"/>
        <w:jc w:val="both"/>
      </w:pPr>
      <w:r>
        <w:rPr>
          <w:sz w:val="24"/>
          <w:shd w:fill="FFFFFF" w:val="clea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br/>
      </w:r>
      <w:r>
        <w:rPr>
          <w:sz w:val="24"/>
          <w:shd w:fill="FFFFFF" w:val="clear"/>
        </w:rPr>
        <w:t xml:space="preserve">  </w:t>
      </w:r>
    </w:p>
    <w:p>
      <w:pPr>
        <w:pStyle w:val="null3"/>
        <w:jc w:val="center"/>
      </w:pPr>
      <w:r>
        <w:rPr>
          <w:sz w:val="28"/>
          <w:color w:val="222222"/>
          <w:shd w:fill="FFFFFF" w:val="clear"/>
        </w:rPr>
        <w:t>采购计划编号：</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spacing w:before="150" w:after="150"/>
        <w:jc w:val="both"/>
      </w:pPr>
      <w:r>
        <w:rPr>
          <w:sz w:val="24"/>
          <w:shd w:fill="FFFFFF" w:val="clear"/>
        </w:rPr>
        <w:t xml:space="preserve"> </w:t>
      </w:r>
    </w:p>
    <w:p>
      <w:pPr>
        <w:pStyle w:val="null3"/>
        <w:jc w:val="center"/>
      </w:pPr>
      <w:r>
        <w:rPr>
          <w:sz w:val="28"/>
          <w:color w:val="222222"/>
          <w:shd w:fill="FFFFFF" w:val="clear"/>
        </w:rPr>
        <w:t>项目编号：</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spacing w:before="150" w:after="150"/>
        <w:jc w:val="both"/>
      </w:pPr>
      <w:r>
        <w:rPr>
          <w:sz w:val="24"/>
          <w:shd w:fill="FFFFFF" w:val="clear"/>
        </w:rPr>
        <w:t xml:space="preserve"> </w:t>
      </w:r>
    </w:p>
    <w:p>
      <w:pPr>
        <w:pStyle w:val="null3"/>
        <w:jc w:val="center"/>
      </w:pPr>
      <w:r>
        <w:rPr>
          <w:sz w:val="28"/>
          <w:color w:val="222222"/>
          <w:shd w:fill="FFFFFF" w:val="clear"/>
        </w:rPr>
        <w:t>项目名称：</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r>
        <w:rPr>
          <w:sz w:val="24"/>
          <w:u w:val="single"/>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left"/>
      </w:pPr>
      <w:r>
        <w:rPr>
          <w:sz w:val="24"/>
          <w:shd w:fill="FFFFFF" w:val="clear"/>
        </w:rPr>
        <w:t xml:space="preserve">  </w:t>
      </w:r>
    </w:p>
    <w:p>
      <w:pPr>
        <w:pStyle w:val="null3"/>
        <w:jc w:val="both"/>
      </w:pPr>
      <w:r>
        <w:rPr>
          <w:sz w:val="27"/>
          <w:b/>
          <w:color w:val="222222"/>
          <w:shd w:fill="FFFFFF" w:val="clear"/>
        </w:rPr>
        <w:t>甲方：</w:t>
      </w:r>
      <w:r>
        <w:rPr>
          <w:sz w:val="27"/>
          <w:b/>
          <w:color w:val="222222"/>
          <w:shd w:fill="FFFFFF" w:val="clear"/>
        </w:rPr>
        <w:t xml:space="preserve"> </w:t>
      </w:r>
      <w:r>
        <w:rPr>
          <w:sz w:val="27"/>
          <w:b/>
          <w:color w:val="222222"/>
          <w:u w:val="single"/>
          <w:shd w:fill="FFFFFF" w:val="clear"/>
        </w:rPr>
        <w:t xml:space="preserve">   </w:t>
      </w:r>
    </w:p>
    <w:p>
      <w:pPr>
        <w:pStyle w:val="null3"/>
        <w:jc w:val="both"/>
      </w:pPr>
      <w:r>
        <w:rPr>
          <w:sz w:val="27"/>
          <w:color w:val="222222"/>
          <w:shd w:fill="FFFFFF" w:val="clear"/>
        </w:rPr>
        <w:t>电话：</w:t>
      </w:r>
      <w:r>
        <w:rPr>
          <w:sz w:val="27"/>
          <w:color w:val="222222"/>
          <w:shd w:fill="FFFFFF" w:val="clear"/>
        </w:rPr>
        <w:t xml:space="preserve"> </w:t>
      </w:r>
      <w:r>
        <w:rPr>
          <w:sz w:val="27"/>
          <w:b/>
          <w:color w:val="222222"/>
          <w:u w:val="single"/>
          <w:shd w:fill="FFFFFF" w:val="clear"/>
        </w:rPr>
        <w:t xml:space="preserve">   </w:t>
      </w:r>
      <w:r>
        <w:rPr>
          <w:sz w:val="27"/>
          <w:color w:val="222222"/>
          <w:shd w:fill="FFFFFF" w:val="clear"/>
        </w:rPr>
        <w:t>传真</w:t>
      </w:r>
      <w:r>
        <w:rPr>
          <w:sz w:val="27"/>
          <w:color w:val="222222"/>
          <w:shd w:fill="FFFFFF" w:val="clear"/>
        </w:rPr>
        <w:t xml:space="preserve"> ： </w:t>
      </w:r>
      <w:r>
        <w:rPr>
          <w:sz w:val="27"/>
          <w:b/>
          <w:color w:val="222222"/>
          <w:u w:val="single"/>
          <w:shd w:fill="FFFFFF" w:val="clear"/>
        </w:rPr>
        <w:t xml:space="preserve">   </w:t>
      </w:r>
      <w:r>
        <w:rPr>
          <w:sz w:val="27"/>
          <w:color w:val="222222"/>
          <w:shd w:fill="FFFFFF" w:val="clear"/>
        </w:rPr>
        <w:t>地址：</w:t>
      </w:r>
      <w:r>
        <w:rPr>
          <w:sz w:val="27"/>
          <w:color w:val="222222"/>
          <w:shd w:fill="FFFFFF" w:val="clear"/>
        </w:rPr>
        <w:t xml:space="preserve"> </w:t>
      </w:r>
      <w:r>
        <w:rPr>
          <w:sz w:val="27"/>
          <w:b/>
          <w:color w:val="222222"/>
          <w:u w:val="single"/>
          <w:shd w:fill="FFFFFF" w:val="clear"/>
        </w:rPr>
        <w:t xml:space="preserve">     </w:t>
      </w:r>
    </w:p>
    <w:p>
      <w:pPr>
        <w:pStyle w:val="null3"/>
        <w:jc w:val="both"/>
      </w:pPr>
      <w:r>
        <w:rPr>
          <w:sz w:val="27"/>
          <w:b/>
          <w:color w:val="222222"/>
          <w:shd w:fill="FFFFFF" w:val="clear"/>
        </w:rPr>
        <w:t>乙方：</w:t>
      </w:r>
      <w:r>
        <w:rPr>
          <w:sz w:val="27"/>
          <w:b/>
          <w:color w:val="222222"/>
          <w:shd w:fill="FFFFFF" w:val="clear"/>
        </w:rPr>
        <w:t xml:space="preserve"> </w:t>
      </w:r>
      <w:r>
        <w:rPr>
          <w:sz w:val="27"/>
          <w:b/>
          <w:color w:val="222222"/>
          <w:u w:val="single"/>
          <w:shd w:fill="FFFFFF" w:val="clear"/>
        </w:rPr>
        <w:t xml:space="preserve">   </w:t>
      </w:r>
    </w:p>
    <w:p>
      <w:pPr>
        <w:pStyle w:val="null3"/>
        <w:jc w:val="both"/>
      </w:pPr>
      <w:r>
        <w:rPr>
          <w:sz w:val="27"/>
          <w:color w:val="222222"/>
          <w:shd w:fill="FFFFFF" w:val="clear"/>
        </w:rPr>
        <w:t>电话：</w:t>
      </w:r>
      <w:r>
        <w:rPr>
          <w:sz w:val="27"/>
          <w:color w:val="222222"/>
          <w:shd w:fill="FFFFFF" w:val="clear"/>
        </w:rPr>
        <w:t xml:space="preserve"> </w:t>
      </w:r>
      <w:r>
        <w:rPr>
          <w:sz w:val="27"/>
          <w:b/>
          <w:color w:val="222222"/>
          <w:u w:val="single"/>
          <w:shd w:fill="FFFFFF" w:val="clear"/>
        </w:rPr>
        <w:t xml:space="preserve">    </w:t>
      </w:r>
      <w:r>
        <w:rPr>
          <w:sz w:val="27"/>
          <w:color w:val="222222"/>
          <w:shd w:fill="FFFFFF" w:val="clear"/>
        </w:rPr>
        <w:t>传真：</w:t>
      </w:r>
      <w:r>
        <w:rPr>
          <w:sz w:val="27"/>
          <w:b/>
          <w:color w:val="222222"/>
          <w:u w:val="single"/>
          <w:shd w:fill="FFFFFF" w:val="clear"/>
        </w:rPr>
        <w:t xml:space="preserve">     </w:t>
      </w:r>
      <w:r>
        <w:rPr>
          <w:sz w:val="27"/>
          <w:color w:val="222222"/>
          <w:shd w:fill="FFFFFF" w:val="clear"/>
        </w:rPr>
        <w:t>地址：</w:t>
      </w:r>
      <w:r>
        <w:rPr>
          <w:sz w:val="27"/>
          <w:color w:val="222222"/>
          <w:shd w:fill="FFFFFF" w:val="clear"/>
        </w:rPr>
        <w:t xml:space="preserve"> </w:t>
      </w:r>
      <w:r>
        <w:rPr>
          <w:sz w:val="27"/>
          <w:b/>
          <w:color w:val="222222"/>
          <w:u w:val="single"/>
          <w:shd w:fill="FFFFFF" w:val="clear"/>
        </w:rPr>
        <w:t xml:space="preserve">    </w:t>
      </w:r>
    </w:p>
    <w:p>
      <w:pPr>
        <w:pStyle w:val="null3"/>
        <w:spacing w:before="150" w:after="150"/>
        <w:jc w:val="both"/>
      </w:pPr>
      <w:r>
        <w:rPr>
          <w:sz w:val="24"/>
          <w:shd w:fill="FFFFFF" w:val="clear"/>
        </w:rPr>
        <w:t xml:space="preserve"> </w:t>
      </w:r>
    </w:p>
    <w:p>
      <w:pPr>
        <w:pStyle w:val="null3"/>
        <w:jc w:val="both"/>
      </w:pPr>
      <w:r>
        <w:rPr>
          <w:sz w:val="27"/>
          <w:color w:val="222222"/>
          <w:shd w:fill="FFFFFF" w:val="clear"/>
        </w:rPr>
        <w:t xml:space="preserve">  根据 </w:t>
      </w:r>
      <w:r>
        <w:rPr>
          <w:sz w:val="27"/>
          <w:color w:val="222222"/>
          <w:u w:val="single"/>
          <w:shd w:fill="FFFFFF" w:val="clear"/>
        </w:rPr>
        <w:t xml:space="preserve">         项目 </w:t>
      </w:r>
      <w:r>
        <w:rPr>
          <w:sz w:val="27"/>
          <w:color w:val="222222"/>
          <w:shd w:fill="FFFFFF" w:val="clear"/>
        </w:rPr>
        <w:t>的采购结果，按照《中华人民共和国政府采购法》，《中华人民共和国民法典</w:t>
      </w:r>
      <w:r>
        <w:rPr>
          <w:sz w:val="27"/>
          <w:color w:val="222222"/>
          <w:shd w:fill="FFFFFF" w:val="clear"/>
        </w:rPr>
        <w:t>(合同编)》的规定，经双方协商，本着平等互利和诚实信用的原则，一致同意遵守本合同如下。</w:t>
      </w:r>
    </w:p>
    <w:p>
      <w:pPr>
        <w:pStyle w:val="null3"/>
        <w:jc w:val="both"/>
      </w:pPr>
      <w:r>
        <w:rPr>
          <w:sz w:val="27"/>
          <w:b/>
          <w:color w:val="222222"/>
          <w:shd w:fill="FFFFFF" w:val="clear"/>
        </w:rPr>
        <w:t>一、合同金额</w:t>
      </w:r>
    </w:p>
    <w:p>
      <w:pPr>
        <w:pStyle w:val="null3"/>
        <w:ind w:firstLine="540"/>
        <w:jc w:val="both"/>
      </w:pPr>
      <w:r>
        <w:rPr>
          <w:sz w:val="27"/>
          <w:color w:val="222222"/>
          <w:shd w:fill="FFFFFF" w:val="clear"/>
        </w:rPr>
        <w:t>1.</w:t>
      </w:r>
      <w:r>
        <w:rPr>
          <w:sz w:val="27"/>
          <w:color w:val="222222"/>
          <w:shd w:fill="FFFFFF" w:val="clear"/>
        </w:rPr>
        <w:t>本合同金额为</w:t>
      </w:r>
      <w:r>
        <w:rPr>
          <w:sz w:val="24"/>
          <w:u w:val="single"/>
          <w:shd w:fill="FFFFFF" w:val="clear"/>
        </w:rPr>
        <w:t xml:space="preserve">      </w:t>
      </w:r>
      <w:r>
        <w:rPr>
          <w:sz w:val="27"/>
          <w:color w:val="222222"/>
          <w:shd w:fill="FFFFFF" w:val="clear"/>
        </w:rPr>
        <w:t>万元</w:t>
      </w:r>
      <w:r>
        <w:rPr>
          <w:sz w:val="27"/>
          <w:color w:val="222222"/>
          <w:shd w:fill="FFFFFF" w:val="clear"/>
        </w:rPr>
        <w:t>/1年，超出金额，合同自动终止。</w:t>
      </w:r>
    </w:p>
    <w:p>
      <w:pPr>
        <w:pStyle w:val="null3"/>
        <w:ind w:firstLine="540"/>
        <w:jc w:val="both"/>
      </w:pPr>
      <w:r>
        <w:rPr>
          <w:sz w:val="27"/>
          <w:color w:val="222222"/>
          <w:shd w:fill="FFFFFF" w:val="clear"/>
        </w:rPr>
        <w:t>2.合同期限到期或实际结算总金额达到合同总金额合同终止(剩余金额低于单次采购所需金额亦视为同种情况)，以先到者为准。</w:t>
      </w:r>
    </w:p>
    <w:p>
      <w:pPr>
        <w:pStyle w:val="null3"/>
        <w:ind w:firstLine="540"/>
        <w:jc w:val="both"/>
      </w:pPr>
      <w:r>
        <w:rPr>
          <w:sz w:val="27"/>
          <w:color w:val="222222"/>
          <w:shd w:fill="FFFFFF" w:val="clear"/>
        </w:rPr>
        <w:t>3.中标</w:t>
      </w:r>
      <w:r>
        <w:rPr>
          <w:sz w:val="27"/>
          <w:color w:val="222222"/>
          <w:shd w:fill="FFFFFF" w:val="clear"/>
        </w:rPr>
        <w:t>折扣</w:t>
      </w:r>
      <w:r>
        <w:rPr>
          <w:sz w:val="27"/>
          <w:color w:val="222222"/>
          <w:shd w:fill="FFFFFF" w:val="clear"/>
        </w:rPr>
        <w:t>率为</w:t>
      </w:r>
      <w:r>
        <w:rPr>
          <w:sz w:val="27"/>
          <w:color w:val="222222"/>
          <w:shd w:fill="FFFFFF" w:val="clear"/>
        </w:rPr>
        <w:t>_________%;本项目按最终实际</w:t>
      </w:r>
      <w:r>
        <w:rPr>
          <w:sz w:val="27"/>
          <w:color w:val="222222"/>
          <w:shd w:fill="FFFFFF" w:val="clear"/>
        </w:rPr>
        <w:t>检测</w:t>
      </w:r>
      <w:r>
        <w:rPr>
          <w:sz w:val="27"/>
          <w:color w:val="222222"/>
          <w:shd w:fill="FFFFFF" w:val="clear"/>
        </w:rPr>
        <w:t>数量和合同单价</w:t>
      </w:r>
      <w:r>
        <w:rPr>
          <w:sz w:val="27"/>
          <w:color w:val="222222"/>
          <w:shd w:fill="FFFFFF" w:val="clear"/>
        </w:rPr>
        <w:t>[即单价最高限价x(</w:t>
      </w:r>
      <w:r>
        <w:rPr>
          <w:sz w:val="27"/>
          <w:color w:val="222222"/>
          <w:shd w:fill="FFFFFF" w:val="clear"/>
        </w:rPr>
        <w:t>中标折扣率</w:t>
      </w:r>
      <w:r>
        <w:rPr>
          <w:sz w:val="27"/>
          <w:color w:val="222222"/>
          <w:shd w:fill="FFFFFF" w:val="clear"/>
        </w:rPr>
        <w:t>)](单价保留两位小数)进行结算</w:t>
      </w:r>
      <w:r>
        <w:rPr>
          <w:sz w:val="27"/>
          <w:color w:val="222222"/>
          <w:shd w:fill="FFFFFF" w:val="clear"/>
        </w:rPr>
        <w:t>。</w:t>
      </w:r>
      <w:r>
        <w:rPr>
          <w:sz w:val="27"/>
          <w:color w:val="222222"/>
          <w:shd w:fill="FFFFFF" w:val="clear"/>
        </w:rPr>
        <w:t>实际结算价格</w:t>
      </w:r>
      <w:r>
        <w:rPr>
          <w:sz w:val="27"/>
          <w:color w:val="222222"/>
          <w:shd w:fill="FFFFFF" w:val="clear"/>
        </w:rPr>
        <w:t>=《广州市公立医疗机构基本医疗服务价格》</w:t>
      </w:r>
      <w:r>
        <w:rPr>
          <w:sz w:val="27"/>
          <w:color w:val="222222"/>
          <w:shd w:fill="FFFFFF" w:val="clear"/>
        </w:rPr>
        <w:t>二级价格</w:t>
      </w:r>
      <w:r>
        <w:rPr>
          <w:sz w:val="27"/>
          <w:color w:val="222222"/>
          <w:shd w:fill="FFFFFF" w:val="clear"/>
        </w:rPr>
        <w:t>收费标准</w:t>
      </w:r>
      <w:r>
        <w:rPr>
          <w:sz w:val="27"/>
          <w:color w:val="222222"/>
          <w:shd w:fill="FFFFFF" w:val="clear"/>
        </w:rPr>
        <w:t>×折扣率×每月实际检测次数</w:t>
      </w:r>
      <w:r>
        <w:rPr>
          <w:sz w:val="27"/>
          <w:color w:val="222222"/>
          <w:shd w:fill="FFFFFF" w:val="clear"/>
        </w:rPr>
        <w:t>，如遇政策文件调整，按调整后标准执行</w:t>
      </w:r>
      <w:r>
        <w:rPr>
          <w:sz w:val="27"/>
          <w:color w:val="222222"/>
          <w:shd w:fill="FFFFFF" w:val="clear"/>
        </w:rPr>
        <w:t>；</w:t>
      </w:r>
      <w:r>
        <w:rPr>
          <w:sz w:val="27"/>
          <w:color w:val="222222"/>
          <w:shd w:fill="FFFFFF" w:val="clear"/>
        </w:rPr>
        <w:t>甲方不对实际采购种类、数量、金额等给予任何实质性承诺。</w:t>
      </w:r>
    </w:p>
    <w:p>
      <w:pPr>
        <w:pStyle w:val="null3"/>
        <w:jc w:val="both"/>
      </w:pPr>
      <w:r>
        <w:rPr>
          <w:sz w:val="27"/>
          <w:b/>
          <w:color w:val="222222"/>
          <w:shd w:fill="FFFFFF" w:val="clear"/>
        </w:rPr>
        <w:t>二、服务范围</w:t>
      </w:r>
    </w:p>
    <w:p>
      <w:pPr>
        <w:pStyle w:val="null3"/>
        <w:jc w:val="both"/>
      </w:pPr>
      <w:r>
        <w:rPr>
          <w:sz w:val="27"/>
          <w:color w:val="222222"/>
          <w:shd w:fill="FFFFFF" w:val="clear"/>
        </w:rPr>
        <w:t>　　甲方聘请乙方提供以下服务：</w:t>
      </w:r>
    </w:p>
    <w:p>
      <w:pPr>
        <w:pStyle w:val="null3"/>
        <w:jc w:val="both"/>
      </w:pPr>
      <w:r>
        <w:rPr>
          <w:sz w:val="27"/>
          <w:color w:val="222222"/>
          <w:shd w:fill="FFFFFF" w:val="clear"/>
        </w:rPr>
        <w:t>1．</w:t>
      </w:r>
      <w:r>
        <w:rPr>
          <w:sz w:val="27"/>
          <w:color w:val="222222"/>
          <w:shd w:fill="FFFFFF" w:val="clear"/>
        </w:rPr>
        <w:t>。</w:t>
      </w:r>
    </w:p>
    <w:p>
      <w:pPr>
        <w:pStyle w:val="null3"/>
        <w:jc w:val="both"/>
      </w:pPr>
      <w:r>
        <w:rPr>
          <w:sz w:val="27"/>
          <w:color w:val="222222"/>
          <w:shd w:fill="FFFFFF" w:val="clear"/>
        </w:rPr>
        <w:t>2．</w:t>
      </w:r>
    </w:p>
    <w:p>
      <w:pPr>
        <w:pStyle w:val="null3"/>
        <w:jc w:val="both"/>
      </w:pPr>
      <w:r>
        <w:rPr>
          <w:sz w:val="27"/>
          <w:color w:val="222222"/>
          <w:shd w:fill="FFFFFF" w:val="clear"/>
        </w:rPr>
        <w:t>……</w:t>
      </w:r>
    </w:p>
    <w:p>
      <w:pPr>
        <w:pStyle w:val="null3"/>
        <w:jc w:val="both"/>
      </w:pPr>
      <w:r>
        <w:rPr>
          <w:sz w:val="27"/>
          <w:b/>
          <w:color w:val="222222"/>
          <w:shd w:fill="FFFFFF" w:val="clear"/>
        </w:rPr>
        <w:t>三、甲方乙方的权利和义务</w:t>
      </w:r>
    </w:p>
    <w:p>
      <w:pPr>
        <w:pStyle w:val="null3"/>
        <w:jc w:val="both"/>
      </w:pPr>
      <w:r>
        <w:rPr>
          <w:sz w:val="27"/>
          <w:color w:val="222222"/>
          <w:shd w:fill="FFFFFF" w:val="clear"/>
        </w:rPr>
        <w:t>1.甲方的权利和义务</w:t>
      </w:r>
    </w:p>
    <w:p>
      <w:pPr>
        <w:pStyle w:val="null3"/>
        <w:jc w:val="both"/>
      </w:pPr>
      <w:r>
        <w:rPr>
          <w:sz w:val="27"/>
          <w:color w:val="222222"/>
          <w:shd w:fill="FFFFFF" w:val="clear"/>
        </w:rPr>
        <w:t>2.乙方的权利和义务</w:t>
      </w:r>
    </w:p>
    <w:p>
      <w:pPr>
        <w:pStyle w:val="null3"/>
        <w:jc w:val="both"/>
      </w:pPr>
      <w:r>
        <w:rPr>
          <w:sz w:val="27"/>
          <w:b/>
          <w:color w:val="222222"/>
          <w:shd w:fill="FFFFFF" w:val="clear"/>
        </w:rPr>
        <w:t>四、服务期间（项目完成期限）</w:t>
      </w:r>
    </w:p>
    <w:p>
      <w:pPr>
        <w:pStyle w:val="null3"/>
        <w:jc w:val="both"/>
      </w:pPr>
      <w:r>
        <w:rPr>
          <w:sz w:val="27"/>
          <w:color w:val="222222"/>
          <w:shd w:fill="FFFFFF" w:val="clear"/>
        </w:rPr>
        <w:t>1.委托服务期间自______年______月至______年______月止。</w:t>
      </w:r>
    </w:p>
    <w:p>
      <w:pPr>
        <w:pStyle w:val="null3"/>
        <w:jc w:val="both"/>
      </w:pPr>
      <w:r>
        <w:rPr>
          <w:sz w:val="27"/>
          <w:b/>
          <w:color w:val="222222"/>
          <w:shd w:fill="FFFFFF" w:val="clear"/>
        </w:rPr>
        <w:t>五、付款方式</w:t>
      </w:r>
    </w:p>
    <w:p>
      <w:pPr>
        <w:pStyle w:val="null3"/>
        <w:jc w:val="both"/>
      </w:pPr>
      <w:r>
        <w:rPr>
          <w:sz w:val="27"/>
          <w:shd w:fill="FFFFFF" w:val="clear"/>
        </w:rPr>
        <w:t>支付比例</w:t>
      </w:r>
      <w:r>
        <w:rPr>
          <w:sz w:val="27"/>
          <w:shd w:fill="FFFFFF" w:val="clear"/>
        </w:rPr>
        <w:t>100%</w:t>
      </w:r>
    </w:p>
    <w:p>
      <w:pPr>
        <w:pStyle w:val="null3"/>
        <w:jc w:val="both"/>
      </w:pPr>
      <w:r>
        <w:rPr>
          <w:sz w:val="27"/>
          <w:shd w:fill="FFFFFF" w:val="clear"/>
        </w:rPr>
        <w:t>1)按月结算，</w:t>
      </w:r>
      <w:r>
        <w:rPr>
          <w:sz w:val="27"/>
          <w:shd w:fill="FFFFFF" w:val="clear"/>
        </w:rPr>
        <w:t>乙方</w:t>
      </w:r>
      <w:r>
        <w:rPr>
          <w:sz w:val="27"/>
          <w:shd w:fill="FFFFFF" w:val="clear"/>
        </w:rPr>
        <w:t>于每月</w:t>
      </w:r>
      <w:r>
        <w:rPr>
          <w:sz w:val="27"/>
          <w:shd w:fill="FFFFFF" w:val="clear"/>
        </w:rPr>
        <w:t>5日前将上月服务费用发票交给</w:t>
      </w:r>
      <w:r>
        <w:rPr>
          <w:sz w:val="27"/>
          <w:shd w:fill="FFFFFF" w:val="clear"/>
        </w:rPr>
        <w:t>甲方</w:t>
      </w:r>
      <w:r>
        <w:rPr>
          <w:sz w:val="27"/>
          <w:shd w:fill="FFFFFF" w:val="clear"/>
        </w:rPr>
        <w:t>，</w:t>
      </w:r>
      <w:r>
        <w:rPr>
          <w:sz w:val="27"/>
          <w:shd w:fill="FFFFFF" w:val="clear"/>
        </w:rPr>
        <w:t>甲方</w:t>
      </w:r>
      <w:r>
        <w:rPr>
          <w:sz w:val="27"/>
          <w:shd w:fill="FFFFFF" w:val="clear"/>
        </w:rPr>
        <w:t>每月</w:t>
      </w:r>
      <w:r>
        <w:rPr>
          <w:sz w:val="27"/>
          <w:shd w:fill="FFFFFF" w:val="clear"/>
        </w:rPr>
        <w:t>15日前结算上月服务费。</w:t>
      </w:r>
      <w:r>
        <w:br/>
      </w:r>
      <w:r>
        <w:rPr>
          <w:sz w:val="27"/>
          <w:shd w:fill="FFFFFF" w:val="clear"/>
        </w:rPr>
        <w:t>2)月服务费用=每月实际检测项目费用（物价标准）×中标折扣率。</w:t>
      </w:r>
      <w:r>
        <w:br/>
      </w:r>
      <w:r>
        <w:rPr>
          <w:sz w:val="27"/>
          <w:shd w:fill="FFFFFF" w:val="clear"/>
        </w:rPr>
        <w:t>物价标准：</w:t>
      </w:r>
      <w:r>
        <w:rPr>
          <w:sz w:val="27"/>
          <w:shd w:fill="FFFFFF" w:val="clear"/>
        </w:rPr>
        <w:t>《广州市公立医疗机构基本医疗服务价格》二级医院收费标准说明：实际检测项目费用计算依据为《根据实际收费标准填写》（如遇物价调整，按最新物价标准执行）规定的物价。</w:t>
      </w:r>
      <w:r>
        <w:br/>
      </w:r>
      <w:r>
        <w:rPr>
          <w:sz w:val="27"/>
          <w:b/>
          <w:shd w:fill="FFFFFF" w:val="clear"/>
        </w:rPr>
        <w:t>注：</w:t>
      </w:r>
      <w:r>
        <w:rPr>
          <w:sz w:val="27"/>
          <w:shd w:fill="FFFFFF" w:val="clear"/>
        </w:rPr>
        <w:t>因甲方使用的是财政性资金，甲方的付款时间为向政府采购支付部门提出办理财政支付申请手续的时间</w:t>
      </w:r>
      <w:r>
        <w:rPr>
          <w:sz w:val="27"/>
          <w:shd w:fill="FFFFFF" w:val="clear"/>
        </w:rPr>
        <w:t>(不含政府财政支付部门审核的时间)，在规定时间内提出支付申请手续后即视为甲方人已经按期支付。当支付部门不具备支付条件时，可适当延后支付。</w:t>
      </w:r>
    </w:p>
    <w:p>
      <w:pPr>
        <w:pStyle w:val="null3"/>
        <w:jc w:val="both"/>
      </w:pPr>
      <w:r>
        <w:rPr>
          <w:sz w:val="27"/>
          <w:b/>
          <w:color w:val="222222"/>
          <w:shd w:fill="FFFFFF" w:val="clear"/>
        </w:rPr>
        <w:t>六、知识产权归属</w:t>
      </w:r>
    </w:p>
    <w:p>
      <w:pPr>
        <w:pStyle w:val="null3"/>
        <w:jc w:val="both"/>
      </w:pPr>
      <w:r>
        <w:rPr>
          <w:sz w:val="27"/>
          <w:b/>
          <w:color w:val="222222"/>
          <w:shd w:fill="FFFFFF" w:val="clear"/>
        </w:rPr>
        <w:t>七、保密</w:t>
      </w:r>
    </w:p>
    <w:p>
      <w:pPr>
        <w:pStyle w:val="null3"/>
        <w:jc w:val="both"/>
      </w:pPr>
      <w:r>
        <w:rPr>
          <w:sz w:val="27"/>
          <w:b/>
          <w:color w:val="222222"/>
          <w:shd w:fill="FFFFFF" w:val="clear"/>
        </w:rPr>
        <w:t>八、违约责任与赔偿损失</w:t>
      </w:r>
    </w:p>
    <w:p>
      <w:pPr>
        <w:pStyle w:val="null3"/>
        <w:jc w:val="both"/>
      </w:pPr>
      <w:r>
        <w:rPr>
          <w:sz w:val="27"/>
          <w:color w:val="222222"/>
          <w:shd w:fill="FFFFFF" w:val="clear"/>
        </w:rPr>
        <w:t>1.乙方提供的服务不符合本合同规定的，甲方有权拒收，并且乙方须向甲方方支付本合同总价5%的违约金。</w:t>
      </w:r>
    </w:p>
    <w:p>
      <w:pPr>
        <w:pStyle w:val="null3"/>
        <w:jc w:val="both"/>
      </w:pPr>
      <w:r>
        <w:rPr>
          <w:sz w:val="27"/>
          <w:color w:val="222222"/>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7"/>
          <w:color w:val="222222"/>
          <w:shd w:fill="FFFFFF" w:val="clear"/>
        </w:rPr>
        <w:t>3.甲方无正当理由拒收接受服务，到期拒付服务款项的，甲方向乙方偿付本合同总的5%的违约金。甲方逾期付款，则每日按本合同总价的3‰向乙方偿付违约金。</w:t>
      </w:r>
    </w:p>
    <w:p>
      <w:pPr>
        <w:pStyle w:val="null3"/>
        <w:jc w:val="both"/>
      </w:pPr>
      <w:r>
        <w:rPr>
          <w:sz w:val="27"/>
          <w:color w:val="222222"/>
          <w:shd w:fill="FFFFFF" w:val="clear"/>
        </w:rPr>
        <w:t>4.对于因甲方原因导致变更、中止或者终止政府采购合同的，甲方应当依照以下合同约定对供应商受到的损失予以赔偿或者补偿：</w:t>
      </w:r>
    </w:p>
    <w:p>
      <w:pPr>
        <w:pStyle w:val="null3"/>
        <w:jc w:val="both"/>
      </w:pPr>
      <w:r>
        <w:rPr>
          <w:sz w:val="27"/>
          <w:color w:val="222222"/>
          <w:u w:val="single"/>
          <w:shd w:fill="FFFFFF" w:val="clear"/>
        </w:rPr>
        <w:t xml:space="preserve">                         </w:t>
      </w:r>
    </w:p>
    <w:p>
      <w:pPr>
        <w:pStyle w:val="null3"/>
        <w:jc w:val="both"/>
      </w:pPr>
      <w:r>
        <w:rPr>
          <w:sz w:val="27"/>
          <w:color w:val="222222"/>
          <w:shd w:fill="FFFFFF" w:val="clear"/>
        </w:rPr>
        <w:t>5.其它违约责任按《中华人民共和国民法典(合同编)》处理。</w:t>
      </w:r>
    </w:p>
    <w:p>
      <w:pPr>
        <w:pStyle w:val="null3"/>
        <w:jc w:val="both"/>
      </w:pPr>
      <w:r>
        <w:rPr>
          <w:sz w:val="27"/>
          <w:b/>
          <w:color w:val="222222"/>
          <w:shd w:fill="FFFFFF" w:val="clear"/>
        </w:rPr>
        <w:t>九、争议的解决</w:t>
      </w:r>
    </w:p>
    <w:p>
      <w:pPr>
        <w:pStyle w:val="null3"/>
        <w:ind w:firstLine="400"/>
        <w:jc w:val="both"/>
      </w:pPr>
      <w:r>
        <w:rPr>
          <w:sz w:val="27"/>
          <w:color w:val="222222"/>
          <w:shd w:fill="FFFFFF" w:val="clear"/>
        </w:rPr>
        <w:t>合同执行过程中发生的任何争议，如双方不能通过友好协商解决，按相关法律法规处理。</w:t>
      </w:r>
      <w:r>
        <w:rPr>
          <w:sz w:val="24"/>
          <w:shd w:fill="FFFFFF" w:val="clear"/>
        </w:rPr>
        <w:t xml:space="preserve"> </w:t>
      </w:r>
      <w:r>
        <w:rPr>
          <w:sz w:val="27"/>
          <w:color w:val="222222"/>
          <w:shd w:fill="FFFFFF" w:val="clear"/>
        </w:rPr>
        <w:t xml:space="preserve"> </w:t>
      </w:r>
      <w:r>
        <w:rPr>
          <w:sz w:val="24"/>
          <w:shd w:fill="FFFFFF" w:val="clear"/>
        </w:rPr>
        <w:t xml:space="preserve">    </w:t>
      </w:r>
    </w:p>
    <w:p>
      <w:pPr>
        <w:pStyle w:val="null3"/>
        <w:jc w:val="both"/>
      </w:pPr>
      <w:r>
        <w:rPr>
          <w:sz w:val="27"/>
          <w:b/>
          <w:color w:val="222222"/>
          <w:shd w:fill="FFFFFF" w:val="clear"/>
        </w:rPr>
        <w:t>十、不可抗力</w:t>
      </w:r>
    </w:p>
    <w:p>
      <w:pPr>
        <w:pStyle w:val="null3"/>
        <w:jc w:val="both"/>
      </w:pPr>
      <w:r>
        <w:rPr>
          <w:sz w:val="27"/>
          <w:color w:val="222222"/>
          <w:shd w:fill="FFFFFF" w:val="clear"/>
        </w:rPr>
        <w:t>　　任何一方由于不可抗力原因不能履行合同时，应在不可抗力事件结束后</w:t>
      </w:r>
      <w:r>
        <w:rPr>
          <w:sz w:val="27"/>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color w:val="222222"/>
          <w:shd w:fill="FFFFFF" w:val="clear"/>
        </w:rPr>
        <w:t>十一、税费</w:t>
      </w:r>
    </w:p>
    <w:p>
      <w:pPr>
        <w:pStyle w:val="null3"/>
        <w:jc w:val="both"/>
      </w:pPr>
      <w:r>
        <w:rPr>
          <w:sz w:val="27"/>
          <w:color w:val="222222"/>
          <w:shd w:fill="FFFFFF" w:val="clear"/>
        </w:rPr>
        <w:t>　　在中国境内、外发生的与本合同执行有关的一切税费均由乙方负担。</w:t>
      </w:r>
    </w:p>
    <w:p>
      <w:pPr>
        <w:pStyle w:val="null3"/>
        <w:jc w:val="both"/>
      </w:pPr>
      <w:r>
        <w:rPr>
          <w:sz w:val="27"/>
          <w:b/>
          <w:color w:val="222222"/>
          <w:shd w:fill="FFFFFF" w:val="clear"/>
        </w:rPr>
        <w:t>十二、其它</w:t>
      </w:r>
    </w:p>
    <w:p>
      <w:pPr>
        <w:pStyle w:val="null3"/>
        <w:jc w:val="both"/>
      </w:pPr>
      <w:r>
        <w:rPr>
          <w:sz w:val="27"/>
          <w:color w:val="222222"/>
          <w:shd w:fill="FFFFFF" w:val="clear"/>
        </w:rPr>
        <w:t>1.本合同所有附件、招标文件、投标文件、中标通知书均为合同的有效组成部分，与本合同具有同等法律效力。</w:t>
      </w:r>
    </w:p>
    <w:p>
      <w:pPr>
        <w:pStyle w:val="null3"/>
        <w:jc w:val="both"/>
      </w:pPr>
      <w:r>
        <w:rPr>
          <w:sz w:val="27"/>
          <w:color w:val="222222"/>
          <w:shd w:fill="FFFFFF" w:val="clear"/>
        </w:rPr>
        <w:t>2.在执行本合同的过程中，所有经双方签署确认的文件（包括会议纪要、补充协议、往来信函）即成为本合同的有效组成部分。</w:t>
      </w:r>
    </w:p>
    <w:p>
      <w:pPr>
        <w:pStyle w:val="null3"/>
        <w:jc w:val="both"/>
      </w:pPr>
      <w:r>
        <w:rPr>
          <w:sz w:val="27"/>
          <w:color w:val="222222"/>
          <w:shd w:fill="FFFFFF" w:val="clear"/>
        </w:rPr>
        <w:t>3.如一方地址、电话、传真号码有变更，应在变更当日内书面通知对方，否则，应承担相应责任。</w:t>
      </w:r>
    </w:p>
    <w:p>
      <w:pPr>
        <w:pStyle w:val="null3"/>
        <w:jc w:val="both"/>
      </w:pPr>
      <w:r>
        <w:rPr>
          <w:sz w:val="27"/>
          <w:color w:val="222222"/>
          <w:shd w:fill="FFFFFF" w:val="clear"/>
        </w:rPr>
        <w:t>4.除甲方事先书面同意外，乙方不得部分或全部转让其应履行的合同项下的义务。</w:t>
      </w:r>
    </w:p>
    <w:p>
      <w:pPr>
        <w:pStyle w:val="null3"/>
        <w:jc w:val="both"/>
      </w:pPr>
      <w:r>
        <w:rPr>
          <w:sz w:val="27"/>
          <w:b/>
          <w:color w:val="222222"/>
          <w:shd w:fill="FFFFFF" w:val="clear"/>
        </w:rPr>
        <w:t>十三、合同生效</w:t>
      </w:r>
    </w:p>
    <w:p>
      <w:pPr>
        <w:pStyle w:val="null3"/>
        <w:jc w:val="both"/>
      </w:pPr>
      <w:r>
        <w:rPr>
          <w:sz w:val="27"/>
          <w:color w:val="222222"/>
          <w:shd w:fill="FFFFFF" w:val="clear"/>
        </w:rPr>
        <w:t>1.本合同在甲乙双方法人代表或其授权代表签字盖章后生效。</w:t>
      </w:r>
    </w:p>
    <w:p>
      <w:pPr>
        <w:pStyle w:val="null3"/>
        <w:jc w:val="both"/>
      </w:pPr>
      <w:r>
        <w:rPr>
          <w:sz w:val="27"/>
          <w:color w:val="222222"/>
          <w:shd w:fill="FFFFFF" w:val="clear"/>
        </w:rPr>
        <w:t>2.合同一式</w:t>
      </w:r>
      <w:r>
        <w:rPr>
          <w:sz w:val="27"/>
          <w:color w:val="222222"/>
          <w:u w:val="single"/>
          <w:shd w:fill="FFFFFF" w:val="clear"/>
        </w:rPr>
        <w:t xml:space="preserve">   </w:t>
      </w:r>
      <w:r>
        <w:rPr>
          <w:sz w:val="27"/>
          <w:color w:val="222222"/>
          <w:shd w:fill="FFFFFF" w:val="clear"/>
        </w:rPr>
        <w:t xml:space="preserve"> 份。</w:t>
      </w:r>
    </w:p>
    <w:p>
      <w:pPr>
        <w:pStyle w:val="null3"/>
        <w:spacing w:before="150" w:after="150"/>
        <w:jc w:val="both"/>
      </w:pPr>
      <w:r>
        <w:rPr>
          <w:sz w:val="24"/>
          <w:shd w:fill="FFFFFF" w:val="clear"/>
        </w:rPr>
        <w:t xml:space="preserve"> </w:t>
      </w:r>
    </w:p>
    <w:p>
      <w:pPr>
        <w:pStyle w:val="null3"/>
        <w:jc w:val="both"/>
      </w:pPr>
      <w:r>
        <w:rPr>
          <w:sz w:val="27"/>
          <w:b/>
          <w:color w:val="222222"/>
          <w:shd w:fill="FFFFFF" w:val="clear"/>
        </w:rPr>
        <w:t>甲方（盖章）：</w:t>
      </w:r>
      <w:r>
        <w:rPr>
          <w:sz w:val="27"/>
          <w:b/>
          <w:color w:val="222222"/>
          <w:shd w:fill="FFFFFF" w:val="clear"/>
        </w:rPr>
        <w:t xml:space="preserve">                乙方（盖章）：</w:t>
      </w:r>
    </w:p>
    <w:p>
      <w:pPr>
        <w:pStyle w:val="null3"/>
        <w:jc w:val="both"/>
      </w:pPr>
      <w:r>
        <w:rPr>
          <w:sz w:val="27"/>
          <w:b/>
          <w:color w:val="222222"/>
          <w:shd w:fill="FFFFFF" w:val="clear"/>
        </w:rPr>
        <w:t>代表：</w:t>
      </w:r>
      <w:r>
        <w:rPr>
          <w:sz w:val="27"/>
          <w:b/>
          <w:color w:val="222222"/>
          <w:shd w:fill="FFFFFF" w:val="clear"/>
        </w:rPr>
        <w:t xml:space="preserve">                       代表：</w:t>
      </w:r>
    </w:p>
    <w:p>
      <w:pPr>
        <w:pStyle w:val="null3"/>
        <w:jc w:val="both"/>
      </w:pPr>
      <w:r>
        <w:rPr>
          <w:sz w:val="27"/>
          <w:color w:val="222222"/>
          <w:shd w:fill="FFFFFF" w:val="clear"/>
        </w:rPr>
        <w:t>签订地点：</w:t>
      </w:r>
    </w:p>
    <w:p>
      <w:pPr>
        <w:pStyle w:val="null3"/>
        <w:jc w:val="both"/>
      </w:pPr>
      <w:r>
        <w:rPr>
          <w:sz w:val="27"/>
          <w:color w:val="222222"/>
          <w:shd w:fill="FFFFFF" w:val="clear"/>
        </w:rPr>
        <w:t>签订日期：　　　年　　月　　日</w:t>
      </w:r>
      <w:r>
        <w:rPr>
          <w:sz w:val="27"/>
          <w:color w:val="222222"/>
          <w:shd w:fill="FFFFFF" w:val="clear"/>
        </w:rPr>
        <w:t xml:space="preserve">  签订日期：　　　年　　月　　日</w:t>
      </w:r>
    </w:p>
    <w:p>
      <w:pPr>
        <w:pStyle w:val="null3"/>
        <w:jc w:val="both"/>
      </w:pPr>
      <w:r>
        <w:rPr>
          <w:sz w:val="27"/>
          <w:color w:val="222222"/>
          <w:shd w:fill="FFFFFF" w:val="clear"/>
        </w:rPr>
        <w:t>开户名称：</w:t>
      </w:r>
    </w:p>
    <w:p>
      <w:pPr>
        <w:pStyle w:val="null3"/>
        <w:jc w:val="both"/>
      </w:pPr>
      <w:r>
        <w:rPr>
          <w:sz w:val="27"/>
          <w:color w:val="222222"/>
          <w:shd w:fill="FFFFFF" w:val="clear"/>
        </w:rPr>
        <w:t>银行帐号：</w:t>
      </w:r>
    </w:p>
    <w:p>
      <w:pPr>
        <w:pStyle w:val="null3"/>
        <w:jc w:val="both"/>
      </w:pPr>
      <w:r>
        <w:rPr>
          <w:sz w:val="27"/>
          <w:color w:val="222222"/>
          <w:shd w:fill="FFFFFF" w:val="clear"/>
        </w:rPr>
        <w:t>开</w:t>
      </w:r>
      <w:r>
        <w:rPr>
          <w:sz w:val="27"/>
          <w:color w:val="222222"/>
          <w:shd w:fill="FFFFFF" w:val="clear"/>
        </w:rPr>
        <w:t>户</w:t>
      </w:r>
      <w:r>
        <w:rPr>
          <w:sz w:val="27"/>
          <w:color w:val="222222"/>
          <w:shd w:fill="FFFFFF" w:val="clear"/>
        </w:rPr>
        <w:t>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440118-2025-04226</w:t>
      </w:r>
    </w:p>
    <w:p>
      <w:pPr>
        <w:pStyle w:val="null3"/>
        <w:jc w:val="center"/>
        <w:outlineLvl w:val="3"/>
      </w:pPr>
      <w:r>
        <w:rPr>
          <w:sz w:val="24"/>
          <w:b/>
        </w:rPr>
        <w:t>采购项目编号：</w:t>
      </w:r>
      <w:r>
        <w:rPr>
          <w:sz w:val="24"/>
          <w:b/>
        </w:rPr>
        <w:t>0724-2531Z2555970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广州市增城区新塘镇中心卫生院2025年-2026年部分检验项目外送检测采购项目</w:t>
      </w:r>
      <w:r>
        <w:rPr>
          <w:u w:val="single"/>
        </w:rPr>
        <w:t>”</w:t>
      </w:r>
      <w:r>
        <w:rPr/>
        <w:t>项目的招标[采购项目编号为：</w:t>
      </w:r>
      <w:r>
        <w:rPr>
          <w:u w:val="single"/>
        </w:rPr>
        <w:t>0724-2531Z2555970</w:t>
      </w:r>
      <w:r>
        <w:rPr/>
        <w:t>]，我方愿参与投标。</w:t>
      </w:r>
    </w:p>
    <w:p>
      <w:pPr>
        <w:pStyle w:val="null3"/>
        <w:ind w:firstLine="480"/>
      </w:pPr>
      <w:r>
        <w:rPr/>
        <w:t>我方确认收到贵方提供的</w:t>
      </w:r>
      <w:r>
        <w:rPr>
          <w:u w:val="single"/>
        </w:rPr>
        <w:t>“</w:t>
      </w:r>
      <w:r>
        <w:rPr>
          <w:u w:val="single"/>
        </w:rPr>
        <w:t>广州市增城区新塘镇中心卫生院2025年-2026年部分检验项目外送检测采购项目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广州市增城区新塘镇中心卫生院2025年-2026年部分检验项目外送检测采购项目</w:t>
      </w:r>
      <w:r>
        <w:rPr/>
        <w:t>”项目采购[采购项目编号为</w:t>
      </w:r>
      <w:r>
        <w:rPr/>
        <w:t>0724-2531Z2555970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广州市增城区新塘镇中心卫生院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广州市增城区新塘镇中心卫生院2025年-2026年部分检验项目外送检测采购项目</w:t>
      </w:r>
      <w:r>
        <w:rPr/>
        <w:t>招标中获中标（采购项目编号：</w:t>
      </w:r>
      <w:r>
        <w:rPr/>
        <w:t>0724-2531Z2555970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