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441701-2026-01050</w:t>
      </w:r>
    </w:p>
    <w:p>
      <w:pPr>
        <w:pStyle w:val="null3"/>
        <w:jc w:val="center"/>
        <w:outlineLvl w:val="3"/>
      </w:pPr>
      <w:r>
        <w:rPr>
          <w:sz w:val="24"/>
          <w:b/>
        </w:rPr>
        <w:t>采购项目编号：</w:t>
      </w:r>
      <w:r>
        <w:rPr>
          <w:sz w:val="24"/>
          <w:b/>
        </w:rPr>
        <w:t>0724-2631YJ012891</w:t>
      </w:r>
    </w:p>
    <w:p>
      <w:pPr>
        <w:pStyle w:val="null3"/>
        <w:jc w:val="center"/>
        <w:outlineLvl w:val="3"/>
      </w:pPr>
      <w:r>
        <w:rPr>
          <w:sz w:val="24"/>
          <w:b/>
        </w:rPr>
        <w:t>项目名称：</w:t>
      </w:r>
      <w:r>
        <w:rPr>
          <w:sz w:val="24"/>
          <w:b/>
        </w:rPr>
        <w:t>医院核心业务信息系统驻场运维服务（2026）项目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医院核心业务信息系统驻场运维服务（2026）项目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医院核心业务信息系统驻场运维服务（2026）项目</w:t>
      </w:r>
    </w:p>
    <w:p>
      <w:pPr>
        <w:pStyle w:val="null3"/>
        <w:ind w:firstLine="480"/>
      </w:pPr>
      <w:r>
        <w:rPr/>
        <w:t>采购计划编号：</w:t>
      </w:r>
      <w:r>
        <w:rPr/>
        <w:t>441701-2026-01050</w:t>
      </w:r>
    </w:p>
    <w:p>
      <w:pPr>
        <w:pStyle w:val="null3"/>
        <w:ind w:firstLine="480"/>
      </w:pPr>
      <w:r>
        <w:rPr/>
        <w:t>采购项目编号：</w:t>
      </w:r>
      <w:r>
        <w:rPr/>
        <w:t>0724-2631YJ012891</w:t>
      </w:r>
    </w:p>
    <w:p>
      <w:pPr>
        <w:pStyle w:val="null3"/>
        <w:ind w:firstLine="480"/>
      </w:pPr>
      <w:r>
        <w:rPr/>
        <w:t>采购方式：</w:t>
      </w:r>
      <w:r>
        <w:rPr/>
        <w:t>公开招标</w:t>
      </w:r>
    </w:p>
    <w:p>
      <w:pPr>
        <w:pStyle w:val="null3"/>
        <w:ind w:firstLine="480"/>
      </w:pPr>
      <w:r>
        <w:rPr/>
        <w:t>预算金额：</w:t>
      </w:r>
      <w:r>
        <w:rPr/>
        <w:t>2,850,000.00</w:t>
      </w:r>
      <w:r>
        <w:rPr/>
        <w:t>元</w:t>
      </w:r>
    </w:p>
    <w:p>
      <w:pPr>
        <w:pStyle w:val="null3"/>
        <w:outlineLvl w:val="3"/>
      </w:pPr>
      <w:r>
        <w:rPr>
          <w:sz w:val="24"/>
          <w:b/>
        </w:rPr>
        <w:t>2.项目内容及需求情况（采购项目技术规格、参数及要求）</w:t>
      </w:r>
    </w:p>
    <w:p>
      <w:pPr>
        <w:pStyle w:val="null3"/>
      </w:pPr>
      <w:r>
        <w:rPr/>
        <w:t>采购包1(医院核心业务信息系统驻场运维服务（2026）项目):</w:t>
      </w:r>
    </w:p>
    <w:p>
      <w:pPr>
        <w:pStyle w:val="null3"/>
      </w:pPr>
      <w:r>
        <w:rPr/>
        <w:t>采购包预算金额：2,850,000.00元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医院核心业务信息系统驻场运维服务（2026）项目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合同履行期限：自合同签订生效之日起至2026年12月31日止。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采购包1（医院核心业务信息系统驻场运维服务（2026）项目）：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采购包1（医院核心业务信息系统驻场运维服务（2026）项目）：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 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（一）项目背景</w:t>
      </w:r>
    </w:p>
    <w:p>
      <w:pPr>
        <w:pStyle w:val="null3"/>
        <w:ind w:firstLine="420"/>
        <w:jc w:val="both"/>
      </w:pPr>
      <w:r>
        <w:rPr>
          <w:sz w:val="24"/>
        </w:rPr>
        <w:t>阳江市人民医院从2006开始建设全院信息系统，经过几年对医院信息系统（简称HIS）的实施、功能扩展和系统完善，基本实现了全院信息化。当前医院信息系统已涵盖了门诊、住院、财务、药品、医技、检验、手术、后勤、信息安全等方面，使用的系统包括门诊业务系统（门诊挂号、门诊分诊、门诊收费、门诊药房、门诊医生工作站）、住院业务系统（住院登记、住院收费、住院药房、住院医生工作站、住院电子病历系统、住院护士工作站、住院护理系统、手术系统、手术麻醉系统）、药库系统、医技报告及PACS影像系统（B超、内窥镜、病理、放射、CT等）、检验系统、体检系统、物资材料系统、固定资产，数据集成平台、CDR（临床数据中心）等。通过医院信息化建设，建立起了一套集管理和临床业务的综合性医院信息系统。通过医院信息化建设，规范了患者就医过程，优化了医院业务流程，并提高了医院工作效率和管理水平。</w:t>
      </w:r>
    </w:p>
    <w:p>
      <w:pPr>
        <w:pStyle w:val="null3"/>
        <w:ind w:firstLine="420"/>
        <w:jc w:val="both"/>
      </w:pPr>
      <w:r>
        <w:rPr>
          <w:sz w:val="24"/>
        </w:rPr>
        <w:t>医院信息系统为医院的管理和持续发展做出了巨大贡献，有效优化了患者的就医流程，改善了医院的就医环境，提高了医院医疗质量和服务效率，已经成为医院业务运行的必备基础条件。同时医院信息系统是最复杂的企业级信息系统之一，医院数字化建设的关键在于应用软件的设计和开发。在信息系统的开发和维护方面，阳江市人民医院还须不断完善开发新系统、新模块，不断进行功能扩展，不断进行结构和性能优化，不断依据医院各种需求变化进行相应软件调整。根据医院信息系统的运行现状、新的建设目标，2026年的工作总体策略是保障系统运行正常稳定，在满足互联互通四级评测、电子病历五级、智慧服务三级评测要求的基础上，将继续推进信息化建设，争取达到电子病历六级的要求。</w:t>
      </w:r>
    </w:p>
    <w:p>
      <w:pPr>
        <w:pStyle w:val="null3"/>
        <w:ind w:left="-435" w:firstLine="422"/>
        <w:jc w:val="left"/>
      </w:pPr>
      <w:r>
        <w:rPr>
          <w:sz w:val="24"/>
          <w:b/>
        </w:rPr>
        <w:t>（二）实现目标</w:t>
      </w:r>
    </w:p>
    <w:p>
      <w:pPr>
        <w:pStyle w:val="null3"/>
        <w:ind w:firstLine="420"/>
        <w:jc w:val="both"/>
      </w:pPr>
      <w:r>
        <w:rPr>
          <w:sz w:val="24"/>
        </w:rPr>
        <w:t>本项目的主要目的是保障信息系统正常平稳运行，维护和开发服务范围，包括：在现用HIS模块的基础上提供数据修复、程序升级、个性化需求开发修改等，以适应医院的发展和管理方式，保障信息系统正常平稳运行，并协助医院做好短期、中期的信息化建设计划。</w:t>
      </w:r>
    </w:p>
    <w:p>
      <w:pPr>
        <w:pStyle w:val="null3"/>
        <w:ind w:firstLine="420"/>
        <w:jc w:val="both"/>
      </w:pPr>
      <w:r>
        <w:rPr>
          <w:sz w:val="24"/>
        </w:rPr>
        <w:t>（1）财务，医务，护理，门诊，药剂，统计室，病案，临床科室等业务报表开发，院内及国家、省市上报数据报表统计，涉及临床业务系统为核心的接口，基础HIS系统财务为核心结算，结账系统等维护。</w:t>
      </w:r>
    </w:p>
    <w:p>
      <w:pPr>
        <w:pStyle w:val="null3"/>
        <w:ind w:firstLine="420"/>
        <w:jc w:val="both"/>
      </w:pPr>
      <w:r>
        <w:rPr>
          <w:sz w:val="24"/>
        </w:rPr>
        <w:t>（2）稳定运行保障：保证现用各系统及其功能的完整及正确性，能承受不断增加的业务和数据压力，保证系统运行的高效、稳定。</w:t>
      </w:r>
    </w:p>
    <w:p>
      <w:pPr>
        <w:pStyle w:val="null3"/>
        <w:ind w:firstLine="420"/>
        <w:jc w:val="both"/>
      </w:pPr>
      <w:r>
        <w:rPr>
          <w:sz w:val="24"/>
        </w:rPr>
        <w:t>（3）系统错误修复：信息系统在使用过程中发现的错误及时完成修复。</w:t>
      </w:r>
    </w:p>
    <w:p>
      <w:pPr>
        <w:pStyle w:val="null3"/>
        <w:ind w:firstLine="420"/>
        <w:jc w:val="both"/>
      </w:pPr>
      <w:r>
        <w:rPr>
          <w:sz w:val="24"/>
        </w:rPr>
        <w:t>（4）系统数据修复：系统使用过程中，因用户误操作等原因导致的数据错误，查明原因和进行数据修复。</w:t>
      </w:r>
    </w:p>
    <w:p>
      <w:pPr>
        <w:pStyle w:val="null3"/>
        <w:ind w:firstLine="420"/>
        <w:jc w:val="both"/>
      </w:pPr>
      <w:r>
        <w:rPr>
          <w:sz w:val="24"/>
        </w:rPr>
        <w:t>（5）新增功能需求：为满足政策变化或管理需求而引起的新功能开发，服务团队与医院一起制定新功能的应用场景及业务流程，完成新功能的设计、开发、上线。</w:t>
      </w:r>
    </w:p>
    <w:p>
      <w:pPr>
        <w:pStyle w:val="null3"/>
        <w:ind w:firstLine="420"/>
        <w:jc w:val="both"/>
      </w:pPr>
      <w:r>
        <w:rPr>
          <w:sz w:val="24"/>
        </w:rPr>
        <w:t>（6）实施培训：负责因各种原因变化增加的项目实施和人员培训工作。</w:t>
      </w:r>
    </w:p>
    <w:p>
      <w:pPr>
        <w:pStyle w:val="null3"/>
        <w:ind w:firstLine="420"/>
        <w:jc w:val="both"/>
      </w:pPr>
      <w:r>
        <w:rPr>
          <w:sz w:val="24"/>
        </w:rPr>
        <w:t>（7）信息化规划：协助医院做好短期、中期的信息化建设计划，并按照计划配合医院实施。</w:t>
      </w:r>
    </w:p>
    <w:p>
      <w:pPr>
        <w:pStyle w:val="null3"/>
        <w:ind w:firstLine="420"/>
        <w:jc w:val="both"/>
      </w:pPr>
      <w:r>
        <w:rPr>
          <w:sz w:val="24"/>
          <w:b/>
        </w:rPr>
        <w:t>（三）以下《阳江市政府采购供应商资格信用承诺函》，供应商须在投标文件中的“各类证明材料”或供应商认为合适的其他地方提供。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spacing w:before="240"/>
              <w:ind w:left="645"/>
              <w:jc w:val="left"/>
            </w:pPr>
            <w:r>
              <w:rPr>
                <w:sz w:val="24"/>
              </w:rPr>
              <w:t>1.</w:t>
            </w:r>
            <w:r>
              <w:rPr>
                <w:sz w:val="24"/>
              </w:rPr>
              <w:t>具有良好的商业信誉和健全的财务会计制度；</w:t>
            </w:r>
          </w:p>
          <w:p>
            <w:pPr>
              <w:pStyle w:val="null3"/>
              <w:spacing w:before="195"/>
              <w:ind w:left="645"/>
              <w:jc w:val="left"/>
            </w:pPr>
            <w:r>
              <w:rPr>
                <w:sz w:val="24"/>
              </w:rPr>
              <w:t>2.</w:t>
            </w:r>
            <w:r>
              <w:rPr>
                <w:sz w:val="24"/>
              </w:rPr>
              <w:t>具有履行合同所必需的设备和专业技术能力；</w:t>
            </w:r>
          </w:p>
          <w:p>
            <w:pPr>
              <w:pStyle w:val="null3"/>
              <w:spacing w:before="255"/>
              <w:ind w:left="645"/>
              <w:jc w:val="left"/>
            </w:pPr>
            <w:r>
              <w:rPr>
                <w:sz w:val="24"/>
              </w:rPr>
              <w:t>3.</w:t>
            </w:r>
            <w:r>
              <w:rPr>
                <w:sz w:val="24"/>
              </w:rPr>
              <w:t>具有依法缴纳税收和社会保障资金的良好记录；</w:t>
            </w:r>
          </w:p>
          <w:p>
            <w:pPr>
              <w:pStyle w:val="null3"/>
              <w:spacing w:before="240"/>
              <w:ind w:left="30" w:firstLine="612"/>
              <w:jc w:val="left"/>
            </w:pPr>
            <w:r>
              <w:rPr>
                <w:sz w:val="24"/>
              </w:rPr>
              <w:t>4.</w:t>
            </w:r>
            <w:r>
              <w:rPr>
                <w:sz w:val="24"/>
              </w:rPr>
              <w:t>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w:t>
            </w:r>
            <w:r>
              <w:rPr>
                <w:sz w:val="24"/>
                <w:b/>
              </w:rPr>
              <w:t>公章</w:t>
            </w:r>
            <w:r>
              <w:rPr>
                <w:sz w:val="24"/>
                <w:b/>
              </w:rPr>
              <w:t>)</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w:t>
            </w:r>
            <w:r>
              <w:rPr>
                <w:sz w:val="24"/>
                <w:b/>
              </w:rPr>
              <w:t>签名</w:t>
            </w:r>
            <w:r>
              <w:rPr>
                <w:sz w:val="24"/>
                <w:b/>
              </w:rPr>
              <w:t>)</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jc w:val="left"/>
            </w:pPr>
            <w:r>
              <w:rPr>
                <w:sz w:val="19"/>
              </w:rPr>
              <w:t xml:space="preserve"> </w:t>
            </w:r>
          </w:p>
          <w:p>
            <w:pPr>
              <w:pStyle w:val="null3"/>
              <w:ind w:left="15"/>
              <w:jc w:val="left"/>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ind w:firstLine="420"/>
        <w:jc w:val="both"/>
      </w:pPr>
      <w:r>
        <w:rPr/>
        <w:t>采购包1（医院核心业务信息系统驻场运维服务（2026）项目）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自合同签订生效之日起至2026年12月31日止。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1、合同签订生效之日起10个工作日内，采购人收到中标人对应金额发票后向中标人支付合同总价的35%（如果中标人为中小微企业，合同签订生效之日起5个工作日内，采购人收到中标人对应金额发票后向中标人支付合同总价的35%）；</w:t>
            </w:r>
          </w:p>
          <w:p>
            <w:pPr>
              <w:pStyle w:val="null3"/>
            </w:pPr>
            <w:r>
              <w:rPr/>
              <w:t>2期：支付比例65%,2、服务期到期并验收合格后10个工作日内，采购人收到中标人对应金额发票后向中标人支付合同总价的65%； 3、中标人凭以下有效文件与采购人结算： （1）中标通知书； （2）合同； （3）中标人开具的正式发票； （4）加盖采购人公章的《服务总结报告》（申请预付款时无需提供）。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在收到中标人项目验收申请之日起7个工作日内按照合同的约定对履约情况进行验收。中标人需为验收提供必需的一切条件并负责支付相关费用，并提供本项目的相关文档和验收所需资料，积极配合采购人完成验收工作。 （二）项目验收依次序对照执行标准 1.符合中华人民共和国国家和履约地相关安全质量标准、行业技术规范标准； 2.符合招标文件和投标承诺中各方共同认可的各项要求； 上述各类标准与法规必须是有关官方机构最新发布的现行标准版本。 （三）验收具体要求 1.验收内容：对合同所有项目及其约定内容进行验收。 2.中标人负责将以下验收资料编制成册，包含但不限于以下内容：采购文件，投标文件，中标通知书，合同协议书、变更证明或审批材料，服务文档，驻场人员学历、考勤等记录，日常维护记录（维护日志、周报等），服务总结报告及项目实施过程中的相关记录等。 3.验收结果确认：验收完毕由采购人及验收专家在验收报告上签名确认。 （四）验收工作及收费事项说明 1.本项目的验收工作将由采购人委托第三方机构组织。 2.本项目的所有验收费用均由中标人承担。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投标报价不得高于人民币285万元（超出该上限的投标报价将作为无效投标处理）,投标报价应为人民币含税全包价，包括但不限于系统驻场运维、人工、培训、税费等合同实施过程中可预见和不可预见的全部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采购合同由中标人与采购人双方签订，签订时间为中标通知书发出之日起30天内。</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1.在任何情况下，中标人不得向第三方透露采购人的业务活动情况。 2.中标人须和采购人就项目执行过程中可能涉及的保密内容，单独签订保密协议，对采购提供的基础数据、其他原始资料等信息保密。 3.中标人必须如约承担合同履行时所应该尽的一切保密义务。中标人及其参与本项目的所有工作人员均须对采购人信息、项目实施过程中的资料、数据进行保密，所有资料（包括但不限于文字、图片、声像资料、电子数据等）均属采购人所有，未经采购人书面同意不得泄露给第三方；否则，采购人保留追究中标人法律责任的权利。保密责任不因合同的中止或解除而失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医院核心业务信息系统驻场运维服务（2026）项目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2,850,000.00</w:t>
            </w:r>
          </w:p>
        </w:tc>
        <w:tc>
          <w:tcPr>
            <w:tcW w:type="dxa" w:w="933"/>
          </w:tcPr>
          <w:p>
            <w:pPr>
              <w:pStyle w:val="null3"/>
              <w:jc w:val="right"/>
            </w:pPr>
            <w:r>
              <w:rPr/>
              <w:t>2,850,000.00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医院核心业务信息系统驻场运维服务（2026）项目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35" w:firstLine="422"/>
              <w:jc w:val="left"/>
            </w:pPr>
            <w:r>
              <w:rPr>
                <w:sz w:val="24"/>
                <w:b/>
              </w:rPr>
              <w:t>项目服务内容</w:t>
            </w:r>
          </w:p>
          <w:p>
            <w:pPr>
              <w:pStyle w:val="null3"/>
              <w:ind w:firstLine="420"/>
              <w:jc w:val="both"/>
            </w:pPr>
            <w:r>
              <w:rPr>
                <w:sz w:val="24"/>
              </w:rPr>
              <w:t>1、对在运行的医院信息系统模块进行日常维护和开发，内容如下：</w:t>
            </w:r>
          </w:p>
          <w:tbl>
            <w:tblPr>
              <w:tblInd w:type="dxa" w:w="105"/>
              <w:tblBorders>
                <w:top w:val="none" w:color="000000" w:sz="4"/>
                <w:left w:val="none" w:color="000000" w:sz="4"/>
                <w:bottom w:val="none" w:color="000000" w:sz="4"/>
                <w:right w:val="none" w:color="000000" w:sz="4"/>
                <w:insideH w:val="none"/>
                <w:insideV w:val="none"/>
              </w:tblBorders>
            </w:tblPr>
            <w:tblGrid>
              <w:gridCol w:w="505"/>
              <w:gridCol w:w="1722"/>
              <w:gridCol w:w="3348"/>
            </w:tblGrid>
            <w:tr>
              <w:tc>
                <w:tcPr>
                  <w:tcW w:type="dxa" w:w="5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编号</w:t>
                  </w:r>
                </w:p>
              </w:tc>
              <w:tc>
                <w:tcPr>
                  <w:tcW w:type="dxa" w:w="172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模块类别</w:t>
                  </w:r>
                </w:p>
              </w:tc>
              <w:tc>
                <w:tcPr>
                  <w:tcW w:type="dxa" w:w="334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模块名称</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智慧门诊</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智能导诊</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预约挂号</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智能导航</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综合支付和统一对账</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消息通知及就诊指引</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满意度评价</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健康教育</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自助终端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统计分析</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财务统计报表（住院，门诊）</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医务统计报表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护理统计报表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门诊统计报表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药剂统计报表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统计室统计表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质控及病案室统计表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医保物价科统计表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临床科室统计表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其他有关国家、省、市上报数据报表统计</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经济管理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门急诊挂号管理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门急诊收费管理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出入院管理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医技收费管理系统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药品管理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药品字典与价格管理系统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门急诊药房管理系统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住院中、西药房管理系统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中、西药库管理系统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门急诊管理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门急诊医生站管理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急诊预检管理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门急诊输液管理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门诊排队叫号管理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门诊电子病历系统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抢救室/留观病区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急诊护理病历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门诊分诊台大屏</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门诊医生前屏</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门诊收费报价屏管理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门诊手术管理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护理信息化</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住院护士站</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护理病历-高级版</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护理计划</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护理质量管理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交班管理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健康教育</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移动医护平台</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移动护理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护理大屏</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住院管理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住院医生工作站</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结构化电子病历系统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住院临床路径</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住院手术管理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抗菌药物管理系统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报卡管理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危急值提醒</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围手术期管理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住院收费前屏管理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移动医生查房(31病区）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单病种管理（12个病种）</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康复治疗</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康复治疗管理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治疗管理</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治疗管理系统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输血管理</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输血管理系统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医技预约</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医技预约管理系统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医院报表统计分析</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医院报表统计分析系统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医院信息集成平台总线管理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医院信息集成平台总线管理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闭环管理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危急值闭环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用药闭环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手术闭环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治疗闭环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处方闭环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护理闭环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输血闭环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母乳闭环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检验闭环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检查闭环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病历质控闭环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审方闭环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医技预约闭环</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血透治疗</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血液透析管理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病案管理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病案首页管理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病案统计</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院内感染</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院内感染管理系统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体检</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健康体检管理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LIS系统</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LIS报告管理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LIS标本条码管理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危急值管理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血库系统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微生物系统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PACS影像管理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检查流程管理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检查报告管理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超声影像信息系统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病理影像信息系统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内窥镜影像信息系统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放射科电子胶片和按需打印</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电子胶片服务软件</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设备打印联机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打印管理（打印工作站、按需打印）</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检查排队号系统及报告发放管理</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放射科排队号系统及报告发放管理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超声科排队号系统及报告发放管理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消化内镜科排队号系统及报告发放管理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核医学报告</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核医学报告管理系统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检查预约</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全院检查预约</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住院护士站检查预约</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门诊医生站诊间预约</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智慧审方</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临床合理用药智慧审方</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前置审方中心</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处方点评</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临床药师工作站</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平台</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单点登录</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数据中心</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主数据管理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临床数据中心</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患者360视图</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患者主索引EMPI</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移动BI</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移动BI</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CA签名</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CA签名管理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17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急诊绿色通道</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急诊绿色通道管理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17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接口类</w:t>
                  </w: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与现用社保系统对接接口及更新改造</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广东省医保异地结算接口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国家农合异地结算接口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患者满意度评价系统接口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手术麻醉监护系统接口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心电图系统接口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自动发药机接口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广东省全民健康互联互通平台接口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金域标本外送接口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LIS自动分拣、智能采血接口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重症医嘱信息接口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血库与中心血站系统接口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港澳台居住证接口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自助报告及胶片打印接口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广东省公安厅互联互通数据采集接口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静配中心系统接口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DRG医疗服务监测与医保导入接口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HQMS上报接口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医患服务平台接口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药品配送接口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公立医院绩效考核住院病案首页数据采集接口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成本一体化接口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临床数据采集接口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DRG病种分析接口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流感上报接口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新冠病毒上报接口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高值耗材接口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质控数据外部接口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人事系统接口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门诊发药大屏接口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药品价格大屏接口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医生排班大屏接口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手术通知大屏接口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挂号小屏显示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收费小屏显示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出入院小屏显示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发药小屏显示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Odin接口运维（包含现有服务新系统对接、旧的接口调整）</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摆药机接口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旧用友病历集成展示</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PIVA与住院医生站接口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三级公立医院绩效上报新增数据导出接口</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医务质控报表</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住院电子病历相关质控统计分析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住院临床路径相关质控统计分析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抗菌药物相关质控统计分析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围手术期管理相关质控统计分析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报告卡质控统计分析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住院会诊管理相关质控统计分析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危急值管理相关质控统计分析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互联互通标准化</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TAS工具</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互联互通联调</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互联互通服务</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食源性疾病上报</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食源性疾病上报</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临床信息系统</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门诊孕产专科病历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住院孕产专科病历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护士长管理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护理交接班管理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护理综合运营管理系统</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护理会诊</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护理敏感质量指标</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临床治疗应用</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临床治疗应用及系统升级项目</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营养医嘱系统</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营养医嘱系统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新增</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无纸化病案管理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临床决策支持系统</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eMAR电子用药监控</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闭环管理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运营数据中心</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新增</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微信公众号</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1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新增</w:t>
                  </w: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床旁结算</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诊间结算</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取药配送</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诊间检查预约</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满意度评价管理</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排队查询</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1722"/>
                  <w:vMerge/>
                  <w:tcBorders>
                    <w:top w:val="none" w:color="000000" w:sz="4"/>
                    <w:left w:val="single" w:color="000000" w:sz="4"/>
                    <w:bottom w:val="single" w:color="000000" w:sz="4"/>
                    <w:right w:val="single" w:color="000000" w:sz="4"/>
                  </w:tcBorders>
                </w:tcPr>
                <w:p/>
              </w:tc>
              <w:tc>
                <w:tcPr>
                  <w:tcW w:type="dxa" w:w="3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诊疗信息推送</w:t>
                  </w:r>
                </w:p>
              </w:tc>
            </w:tr>
          </w:tbl>
          <w:p>
            <w:pPr>
              <w:pStyle w:val="null3"/>
              <w:ind w:firstLine="420"/>
              <w:jc w:val="both"/>
            </w:pPr>
            <w:r>
              <w:rPr>
                <w:sz w:val="24"/>
              </w:rPr>
              <w:t>以上维护模块的维护工作内容：</w:t>
            </w:r>
          </w:p>
          <w:p>
            <w:pPr>
              <w:pStyle w:val="null3"/>
              <w:ind w:firstLine="420"/>
              <w:jc w:val="both"/>
            </w:pPr>
            <w:r>
              <w:rPr>
                <w:sz w:val="24"/>
              </w:rPr>
              <w:t>1）改正性维护：对在系统开发阶段已发生而系统测试阶段尚未发现的错误进行修改；</w:t>
            </w:r>
          </w:p>
          <w:p>
            <w:pPr>
              <w:pStyle w:val="null3"/>
              <w:ind w:firstLine="420"/>
              <w:jc w:val="both"/>
            </w:pPr>
            <w:r>
              <w:rPr>
                <w:sz w:val="24"/>
              </w:rPr>
              <w:t>2）适应性维护：对现有系统架构范围内，为适应流程和管理需求变化而进行的修改；</w:t>
            </w:r>
          </w:p>
          <w:p>
            <w:pPr>
              <w:pStyle w:val="null3"/>
              <w:ind w:firstLine="420"/>
              <w:jc w:val="both"/>
            </w:pPr>
            <w:r>
              <w:rPr>
                <w:sz w:val="24"/>
              </w:rPr>
              <w:t>3）完善性维护：为改善性能而进行的修改。</w:t>
            </w:r>
          </w:p>
        </w:tc>
      </w:tr>
      <w:tr>
        <w:tc>
          <w:tcPr>
            <w:tcW w:type="dxa" w:w="2076"/>
          </w:tcPr>
          <w:p/>
        </w:tc>
        <w:tc>
          <w:tcPr>
            <w:tcW w:type="dxa" w:w="415"/>
          </w:tcPr>
          <w:p>
            <w:pPr>
              <w:pStyle w:val="null3"/>
            </w:pPr>
            <w:r>
              <w:rPr/>
              <w:t>2</w:t>
            </w:r>
          </w:p>
        </w:tc>
        <w:tc>
          <w:tcPr>
            <w:tcW w:type="dxa" w:w="5814"/>
          </w:tcPr>
          <w:p>
            <w:pPr>
              <w:pStyle w:val="null3"/>
              <w:ind w:left="-435" w:firstLine="422"/>
              <w:jc w:val="left"/>
            </w:pPr>
            <w:r>
              <w:rPr>
                <w:sz w:val="24"/>
                <w:b/>
              </w:rPr>
              <w:t>服务要求：</w:t>
            </w:r>
          </w:p>
          <w:p>
            <w:pPr>
              <w:pStyle w:val="null3"/>
              <w:ind w:firstLine="420"/>
              <w:jc w:val="both"/>
            </w:pPr>
            <w:r>
              <w:rPr>
                <w:sz w:val="24"/>
              </w:rPr>
              <w:t>1.项目目标：保障信息系统正常平稳运行。</w:t>
            </w:r>
          </w:p>
          <w:p>
            <w:pPr>
              <w:pStyle w:val="null3"/>
              <w:ind w:firstLine="420"/>
              <w:jc w:val="both"/>
            </w:pPr>
            <w:r>
              <w:rPr>
                <w:sz w:val="24"/>
              </w:rPr>
              <w:t>梳理影响系统运转的问题和需求，对现有系统进行监控、整改、优化，保障系统正确、平稳运行，同时满足政策性变化和医院运营管理的要求。</w:t>
            </w:r>
          </w:p>
          <w:p>
            <w:pPr>
              <w:pStyle w:val="null3"/>
              <w:ind w:firstLine="420"/>
              <w:jc w:val="both"/>
            </w:pPr>
            <w:r>
              <w:rPr>
                <w:sz w:val="24"/>
              </w:rPr>
              <w:t>2.项目维护服务要求：</w:t>
            </w:r>
          </w:p>
          <w:p>
            <w:pPr>
              <w:pStyle w:val="null3"/>
              <w:ind w:firstLine="420"/>
              <w:jc w:val="both"/>
            </w:pPr>
            <w:r>
              <w:rPr>
                <w:sz w:val="24"/>
              </w:rPr>
              <w:t xml:space="preserve"> ★（1）响应时间：白天按照采购人院内行政上班时间安排至少5名工程师作为驻场人员（含项目经理1名）在阳江市人民医院工作，即时响应；晚上和节假日1小时响应，晚上和节假日若需中标人技术人员到达现场，中标人技术人员应当2小时内到达阳江市人民医院（需提供承诺函并加盖投标人公章，格式自拟）。</w:t>
            </w:r>
          </w:p>
          <w:p>
            <w:pPr>
              <w:pStyle w:val="null3"/>
              <w:ind w:firstLine="420"/>
              <w:jc w:val="both"/>
            </w:pPr>
            <w:r>
              <w:rPr>
                <w:sz w:val="24"/>
              </w:rPr>
              <w:t>▲（2）服务人员：现场服务团队中，要求项目经理（1名）至少具有5年系统运维经验，其他服务人员（至少4名）至少具有2年系统运维经验（需提供现场服务人员名单、现场服务人员近半年内任1个月在投标单位购买社保证明材料和工作履历说明并加盖投标人公章）。</w:t>
            </w:r>
          </w:p>
          <w:p>
            <w:pPr>
              <w:pStyle w:val="null3"/>
              <w:ind w:firstLine="420"/>
              <w:jc w:val="both"/>
            </w:pPr>
            <w:r>
              <w:rPr>
                <w:sz w:val="24"/>
              </w:rPr>
              <w:t>▲（3）维护和开发地点：对于需求已明确的新功能、系统升级、程序优化等工作量较大的开发工作无地点限制，但测试和实施需在阳江市人民医院完成（需提供承诺函并加盖投标人公章，格式自拟）。</w:t>
            </w:r>
          </w:p>
          <w:p>
            <w:pPr>
              <w:pStyle w:val="null3"/>
              <w:ind w:firstLine="420"/>
              <w:jc w:val="both"/>
            </w:pPr>
            <w:r>
              <w:rPr>
                <w:sz w:val="24"/>
              </w:rPr>
              <w:t>（4）维护和开发期限：合同签订生效之日起至2026年12月31日止。</w:t>
            </w:r>
          </w:p>
          <w:p>
            <w:pPr>
              <w:pStyle w:val="null3"/>
              <w:ind w:firstLine="420"/>
              <w:jc w:val="both"/>
            </w:pPr>
            <w:r>
              <w:rPr>
                <w:sz w:val="24"/>
              </w:rPr>
              <w:t>▲（5）所有经备案的现场人员必须参加医院上下班考勤管理，考勤记录作为验收依据材料（需提供承诺函并加盖投标人公章，格式自拟）。</w:t>
            </w:r>
          </w:p>
          <w:p>
            <w:pPr>
              <w:pStyle w:val="null3"/>
              <w:ind w:firstLine="420"/>
              <w:jc w:val="both"/>
            </w:pPr>
            <w:r>
              <w:rPr>
                <w:sz w:val="24"/>
              </w:rPr>
              <w:t>3、关键要求</w:t>
            </w:r>
          </w:p>
          <w:p>
            <w:pPr>
              <w:pStyle w:val="null3"/>
              <w:ind w:firstLine="420"/>
              <w:jc w:val="both"/>
            </w:pPr>
            <w:r>
              <w:rPr>
                <w:sz w:val="24"/>
              </w:rPr>
              <w:t>▲（1）中标人在系统维护服务和开发服务的时候要保证本院的现用系统所有模块能正常无间断使用，保证数据的安全（需提供承诺函并加盖投标人公章，格式自拟），并提出完善的实施方案和可预见问题的解决方案。</w:t>
            </w:r>
          </w:p>
          <w:p>
            <w:pPr>
              <w:pStyle w:val="null3"/>
              <w:ind w:firstLine="420"/>
              <w:jc w:val="both"/>
            </w:pPr>
            <w:r>
              <w:rPr>
                <w:sz w:val="24"/>
              </w:rPr>
              <w:t>▲（2）中标人在系统维护服务和开发服务的时候要保证相关数据与本院历史数据无缝连接，所有数据（包括历史数据）能在同一平台实时查询和使用（需提供承诺函并加盖投标人公章，格式自拟）。</w:t>
            </w:r>
          </w:p>
        </w:tc>
      </w:tr>
      <w:tr>
        <w:tc>
          <w:tcPr>
            <w:tcW w:type="dxa" w:w="2076"/>
          </w:tcPr>
          <w:p/>
        </w:tc>
        <w:tc>
          <w:tcPr>
            <w:tcW w:type="dxa" w:w="415"/>
          </w:tcPr>
          <w:p>
            <w:pPr>
              <w:pStyle w:val="null3"/>
            </w:pPr>
            <w:r>
              <w:rPr/>
              <w:t>3</w:t>
            </w:r>
          </w:p>
        </w:tc>
        <w:tc>
          <w:tcPr>
            <w:tcW w:type="dxa" w:w="5814"/>
          </w:tcPr>
          <w:p>
            <w:pPr>
              <w:pStyle w:val="null3"/>
              <w:ind w:left="-435" w:firstLine="422"/>
              <w:jc w:val="left"/>
            </w:pPr>
            <w:r>
              <w:rPr>
                <w:sz w:val="24"/>
                <w:b/>
              </w:rPr>
              <w:t>人员管理要求：</w:t>
            </w:r>
          </w:p>
          <w:p>
            <w:pPr>
              <w:pStyle w:val="null3"/>
              <w:ind w:firstLine="420"/>
              <w:jc w:val="both"/>
            </w:pPr>
            <w:r>
              <w:rPr>
                <w:sz w:val="24"/>
              </w:rPr>
              <w:t>1.中标人应按其投标文件中承诺提供的项目组人员按要求投入到本项目中，在服务期内不得擅自更换。中标人如因工作安排或其他原因，确需更换项目组人员的，应事前向采购人书面提出申请。未经采购人同意，不得更换人员。如未经采购人同意擅自更换项目组人员，而由此影响项目运作及业务开展的，由中标人承担相关责任，并赔偿采购人由此造成的损失。</w:t>
            </w:r>
          </w:p>
          <w:p>
            <w:pPr>
              <w:pStyle w:val="null3"/>
              <w:ind w:firstLine="420"/>
              <w:jc w:val="both"/>
            </w:pPr>
            <w:r>
              <w:rPr>
                <w:sz w:val="24"/>
              </w:rPr>
              <w:t>2.采购人有权以书面形式要求中标人更换不能按规定履行合同的项目组人员。</w:t>
            </w:r>
          </w:p>
          <w:p>
            <w:pPr>
              <w:pStyle w:val="null3"/>
              <w:ind w:firstLine="420"/>
              <w:jc w:val="both"/>
            </w:pPr>
            <w:r>
              <w:rPr>
                <w:sz w:val="24"/>
              </w:rPr>
              <w:t>3.采购人要求或同意更换项目人员，其代替人员的资历需得到采购人的认可，其资质能力和经验均不得低于被更换人员。</w:t>
            </w:r>
          </w:p>
          <w:p>
            <w:pPr>
              <w:pStyle w:val="null3"/>
              <w:ind w:firstLine="420"/>
              <w:jc w:val="both"/>
            </w:pPr>
            <w:r>
              <w:rPr>
                <w:sz w:val="24"/>
              </w:rPr>
              <w:t>4.中标人应制定详尽的工作计划，全面落实并完成项目任务及相关工作内容。</w:t>
            </w:r>
          </w:p>
          <w:p>
            <w:pPr>
              <w:pStyle w:val="null3"/>
              <w:ind w:firstLine="420"/>
              <w:jc w:val="both"/>
            </w:pPr>
            <w:r>
              <w:rPr>
                <w:sz w:val="24"/>
              </w:rPr>
              <w:t>5.中标人应制定安全服务管理制度，防范项目组人员在服务过程中出现的信息安全风险，确保项目安全开展。</w:t>
            </w:r>
          </w:p>
          <w:p>
            <w:pPr>
              <w:pStyle w:val="null3"/>
              <w:ind w:firstLine="420"/>
              <w:jc w:val="both"/>
            </w:pPr>
            <w:r>
              <w:rPr>
                <w:sz w:val="24"/>
              </w:rPr>
              <w:t>6.在服务期间，中标人与工作人员发生的一切劳务纠纷，由中标人负责。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 2.对于《阳江市政府采购供应商资格信用承诺函》承诺内容，采购人有权在发放中标通知书前要求中标人提供证明材料，以备核实中标人承诺事项的真实性。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院核心业务信息系统驻场运维服务（2026）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采购包1（医院核心业务信息系统驻场运维服务（2026）项目）：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采购包1（医院核心业务信息系统驻场运维服务（2026）项目）：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 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采购包1（医院核心业务信息系统驻场运维服务（2026）项目）：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采购包1(医院核心业务信息系统驻场运维服务（2026）项目):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技术部分53.0分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对采购需求中带▲号重要技术参数的响应情况 (25.0分)</w:t>
            </w:r>
          </w:p>
        </w:tc>
        <w:tc>
          <w:tcPr>
            <w:tcW w:type="dxa" w:w="5076"/>
          </w:tcPr>
          <w:p>
            <w:pPr>
              <w:pStyle w:val="null3"/>
              <w:jc w:val="left"/>
            </w:pPr>
            <w:r>
              <w:rPr/>
              <w:t>根据各投标人对招标文件“项目维护服务要求”标注“▲”的重要技术参数的响应情况进行评审（共5项）：每满足一条标注“▲”的重要技术参数得5分，最高得25分。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对项目的理解 (10.0分)</w:t>
            </w:r>
          </w:p>
        </w:tc>
        <w:tc>
          <w:tcPr>
            <w:tcW w:type="dxa" w:w="5076"/>
          </w:tcPr>
          <w:p>
            <w:pPr>
              <w:pStyle w:val="null3"/>
              <w:jc w:val="left"/>
            </w:pPr>
            <w:r>
              <w:rPr/>
              <w:t>根据投标人对招标文件“具体技术(参数)要求”提供的项目理解（包括但不限于：项目背景、项目现状、项目目标、项目必要性、运维保障工作模式的理解程度）进行综合评审： 1、投标人对项目的理解透析，包含以上全部内容，整体内容优于项目需求得10分； 2、投标人对项目的理解明了，包含以上全部内容，整体内容满足项目需求的得7分； 3、投标人对项目的理解表面，没有完全包含以上全部内容，整体内容部分满足项目采购需求的得4分； 4、投标人对项目的理解显浅，没有完全包含以上全部内容，整体内容不满足项目采购需求的得1分； 5、其他情况或不响应，得0分。</w:t>
            </w:r>
          </w:p>
        </w:tc>
      </w:tr>
      <w:tr>
        <w:tc>
          <w:tcPr>
            <w:tcW w:type="dxa" w:w="922"/>
            <w:gridSpan w:val="2"/>
            <w:vMerge/>
          </w:tcPr>
          <w:p/>
        </w:tc>
        <w:tc>
          <w:tcPr>
            <w:tcW w:type="dxa" w:w="2307"/>
          </w:tcPr>
          <w:p>
            <w:pPr>
              <w:pStyle w:val="null3"/>
              <w:jc w:val="left"/>
            </w:pPr>
            <w:r>
              <w:rPr/>
              <w:t>运维服务方案 (18.0分)</w:t>
            </w:r>
          </w:p>
        </w:tc>
        <w:tc>
          <w:tcPr>
            <w:tcW w:type="dxa" w:w="5076"/>
          </w:tcPr>
          <w:p>
            <w:pPr>
              <w:pStyle w:val="null3"/>
              <w:jc w:val="left"/>
            </w:pPr>
            <w:r>
              <w:rPr/>
              <w:t>根据各投标人对招标文件“具体技术(参数)要求”提供的运维服务方案（方案内容包括但不限于运维服务人员的安排、运维服务计划安排、故障响应时间、处理办法等）进行评审： 1、投标人提供的运维服务方案完整，包含以上全部内容，方案整体内容优于项目需求得18分； 2、投标人提供的运维服务方案完整，包含以上全部内容，方案整体内容满足项目需求的得12分； 3、投标人提供的运维服务方案有缺漏，没有完全包含以上全部内容，方案整体内容部分满足项目采购需求的得7分； 4、投标人提供的运维服务方案有缺漏，没有完全包含以上全部内容，方案整体内容不满足项目采购需求的得4分；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投标人2024年1月1日至今（以合同签订时间为准）承接过的同类项目业绩，每提供一个同类项目业绩得2分，最高得12分。 注：需提供项目合同扫描件并加盖投标人公章，不提供或无法认定的不得分。</w:t>
            </w:r>
          </w:p>
        </w:tc>
      </w:tr>
      <w:tr>
        <w:tc>
          <w:tcPr>
            <w:tcW w:type="dxa" w:w="922"/>
            <w:gridSpan w:val="2"/>
            <w:vMerge/>
          </w:tcPr>
          <w:p/>
        </w:tc>
        <w:tc>
          <w:tcPr>
            <w:tcW w:type="dxa" w:w="2307"/>
          </w:tcPr>
          <w:p>
            <w:pPr>
              <w:pStyle w:val="null3"/>
              <w:jc w:val="left"/>
            </w:pPr>
            <w:r>
              <w:rPr/>
              <w:t>拟派项目经理 (7.0分)</w:t>
            </w:r>
          </w:p>
        </w:tc>
        <w:tc>
          <w:tcPr>
            <w:tcW w:type="dxa" w:w="5076"/>
          </w:tcPr>
          <w:p>
            <w:pPr>
              <w:pStyle w:val="null3"/>
              <w:jc w:val="left"/>
            </w:pPr>
            <w:r>
              <w:rPr/>
              <w:t>拟投入本项目的项目经理（仅一人）： 1、具有人社部及工信部颁发的计算机技术与软件专业技术资格证书-信息系统项目管理师证书的，得4分。 2、具有人社部及工信部颁发的计算机技术与软件专业技术资格证书-系统分析师或系统架构设计师证书的，得3分。 注：需同时提供上述人员证书扫描件和近六个月内任意一个月在投标人单位购买社保证明材料作为评审依据；不提供或资料提供不全的不得分。</w:t>
            </w:r>
          </w:p>
        </w:tc>
      </w:tr>
      <w:tr>
        <w:tc>
          <w:tcPr>
            <w:tcW w:type="dxa" w:w="922"/>
            <w:gridSpan w:val="2"/>
            <w:vMerge/>
          </w:tcPr>
          <w:p/>
        </w:tc>
        <w:tc>
          <w:tcPr>
            <w:tcW w:type="dxa" w:w="2307"/>
          </w:tcPr>
          <w:p>
            <w:pPr>
              <w:pStyle w:val="null3"/>
              <w:jc w:val="left"/>
            </w:pPr>
            <w:r>
              <w:rPr/>
              <w:t>拟派团队成员 (12.0分)</w:t>
            </w:r>
          </w:p>
        </w:tc>
        <w:tc>
          <w:tcPr>
            <w:tcW w:type="dxa" w:w="5076"/>
          </w:tcPr>
          <w:p>
            <w:pPr>
              <w:pStyle w:val="null3"/>
              <w:jc w:val="left"/>
            </w:pPr>
            <w:r>
              <w:rPr/>
              <w:t>拟投入本项目的项目人员团队（不含项目经理）： 1、具有人社部及工信部颁发的计算机技术与软件专业技术资格证书-系统集成项目管理工程师证书的，每投入一人得2分，本小项最高得4分； 2、具有人社部及工信部颁发的计算机技术与软件专业技术资格证书-数据库系统工程师证书的，每投入一人得2分，本小项最高得4分； 3、具有人社部及工信部颁发的计算机技术与软件专业技术资格证书-软件设计师证书的，每投入一人得2分，本小项最高得4分； 注：需同时提供上述人员证书扫描件和近六个月内任意一个月在投标人单位购买社保证明材料作为评审依据；不提供或资料提供不全的不得分。同一人获得不同证书不重复计分。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根据投标人有效期内的认证体系情况进行评审： 1、具有信息安全管理体系认证证书（ISO27001），得2分； 2、具有信息技术服务管理体系认证证书（ISO20000），得2分； 3、具有质量管理体系认证证书（ISO9001），得2分； 注：本项最高得6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 xml:space="preserve"> </w:t>
      </w:r>
    </w:p>
    <w:p>
      <w:pPr>
        <w:pStyle w:val="null3"/>
        <w:spacing w:before="0" w:after="0"/>
        <w:ind w:left="0" w:right="0"/>
        <w:jc w:val="center"/>
      </w:pPr>
      <w:r>
        <w:rPr>
          <w:sz w:val="24"/>
          <w:b/>
        </w:rPr>
        <w:t xml:space="preserve"> </w:t>
      </w:r>
    </w:p>
    <w:p>
      <w:pPr>
        <w:pStyle w:val="null3"/>
        <w:spacing w:before="0" w:after="0"/>
        <w:ind w:left="0" w:right="0"/>
        <w:jc w:val="center"/>
      </w:pPr>
      <w:r>
        <w:rPr>
          <w:sz w:val="24"/>
          <w:b/>
        </w:rPr>
        <w:t xml:space="preserve"> </w:t>
      </w:r>
    </w:p>
    <w:p>
      <w:pPr>
        <w:pStyle w:val="null3"/>
        <w:spacing w:before="0" w:after="0"/>
        <w:ind w:left="0" w:right="0"/>
        <w:jc w:val="center"/>
      </w:pPr>
      <w:r>
        <w:rPr>
          <w:sz w:val="24"/>
          <w:b/>
        </w:rPr>
        <w:t xml:space="preserve"> </w:t>
      </w:r>
    </w:p>
    <w:p>
      <w:pPr>
        <w:pStyle w:val="null3"/>
        <w:spacing w:before="0" w:after="0"/>
        <w:ind w:left="0" w:right="0"/>
        <w:jc w:val="center"/>
      </w:pPr>
      <w:r>
        <w:rPr>
          <w:sz w:val="30"/>
          <w:b/>
        </w:rPr>
        <w:t>广东省政府采购</w:t>
      </w:r>
    </w:p>
    <w:p>
      <w:pPr>
        <w:pStyle w:val="null3"/>
        <w:spacing w:before="150" w:after="150"/>
        <w:ind w:left="0" w:right="0"/>
        <w:jc w:val="both"/>
      </w:pPr>
      <w:r>
        <w:rPr>
          <w:sz w:val="30"/>
          <w:color w:val="222222"/>
        </w:rPr>
        <w:t xml:space="preserve"> </w:t>
      </w:r>
    </w:p>
    <w:p>
      <w:pPr>
        <w:pStyle w:val="null3"/>
        <w:spacing w:before="0" w:after="0"/>
        <w:ind w:left="0" w:right="0"/>
        <w:jc w:val="center"/>
      </w:pPr>
      <w:r>
        <w:rPr>
          <w:sz w:val="30"/>
          <w:b/>
        </w:rPr>
        <w:t>合　同　书</w:t>
      </w:r>
    </w:p>
    <w:p>
      <w:pPr>
        <w:pStyle w:val="null3"/>
        <w:spacing w:before="0" w:after="0"/>
        <w:ind w:left="0" w:right="0"/>
        <w:jc w:val="center"/>
      </w:pPr>
      <w:r>
        <w:br/>
      </w:r>
      <w:r>
        <w:br/>
      </w:r>
      <w:r>
        <w:br/>
      </w:r>
      <w:r>
        <w:br/>
      </w:r>
      <w:r>
        <w:br/>
      </w:r>
      <w:r>
        <w:br/>
      </w:r>
      <w:r>
        <w:br/>
      </w:r>
      <w:r>
        <w:br/>
      </w:r>
      <w:r>
        <w:rPr>
          <w:sz w:val="24"/>
          <w:color w:val="222222"/>
        </w:rPr>
        <w:t xml:space="preserve"> </w:t>
      </w:r>
    </w:p>
    <w:p>
      <w:pPr>
        <w:pStyle w:val="null3"/>
        <w:spacing w:before="0" w:after="0"/>
        <w:ind w:left="0" w:right="0"/>
        <w:jc w:val="center"/>
      </w:pPr>
      <w:r>
        <w:rPr>
          <w:sz w:val="24"/>
          <w:color w:val="222222"/>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jc w:val="both"/>
      </w:pPr>
      <w:r>
        <w:br/>
      </w:r>
      <w:r>
        <w:rPr>
          <w:sz w:val="24"/>
          <w:color w:val="222222"/>
        </w:rPr>
        <w:t xml:space="preserve"> </w:t>
      </w:r>
    </w:p>
    <w:p>
      <w:pPr>
        <w:pStyle w:val="null3"/>
        <w:spacing w:before="0" w:after="0"/>
        <w:ind w:left="0" w:right="0"/>
        <w:jc w:val="both"/>
      </w:pPr>
      <w:r>
        <w:rPr>
          <w:sz w:val="24"/>
          <w:b/>
        </w:rPr>
        <w:t xml:space="preserve">甲方： </w:t>
      </w:r>
      <w:r>
        <w:rPr>
          <w:sz w:val="24"/>
          <w:u w:val="single"/>
        </w:rPr>
        <w:t>　　　　　</w:t>
      </w:r>
      <w:r>
        <w:rPr>
          <w:sz w:val="24"/>
          <w:u w:val="single"/>
        </w:rPr>
        <w:t xml:space="preserve"> </w:t>
      </w:r>
      <w:r>
        <w:rPr>
          <w:sz w:val="24"/>
          <w:u w:val="single"/>
        </w:rPr>
        <w:t xml:space="preserve"> </w:t>
      </w:r>
    </w:p>
    <w:p>
      <w:pPr>
        <w:pStyle w:val="null3"/>
        <w:spacing w:before="0" w:after="0"/>
        <w:ind w:left="0" w:right="0"/>
        <w:jc w:val="both"/>
      </w:pPr>
      <w:r>
        <w:rPr>
          <w:sz w:val="24"/>
          <w:color w:val="222222"/>
        </w:rPr>
        <w:t>电话：</w:t>
      </w:r>
      <w:r>
        <w:rPr>
          <w:sz w:val="24"/>
          <w:color w:val="222222"/>
        </w:rPr>
        <w:t xml:space="preserve"> </w:t>
      </w:r>
      <w:r>
        <w:rPr>
          <w:sz w:val="24"/>
          <w:u w:val="single"/>
        </w:rPr>
        <w:t>　　　　</w:t>
      </w:r>
      <w:r>
        <w:rPr>
          <w:sz w:val="24"/>
          <w:u w:val="single"/>
        </w:rPr>
        <w:t xml:space="preserve"> </w:t>
      </w:r>
      <w:r>
        <w:rPr>
          <w:sz w:val="24"/>
          <w:u w:val="single"/>
        </w:rPr>
        <w:t xml:space="preserve"> </w:t>
      </w:r>
      <w:r>
        <w:rPr>
          <w:sz w:val="24"/>
          <w:color w:val="222222"/>
        </w:rPr>
        <w:t>传真</w:t>
      </w:r>
      <w:r>
        <w:rPr>
          <w:sz w:val="24"/>
          <w:color w:val="222222"/>
        </w:rPr>
        <w:t xml:space="preserve"> </w:t>
      </w:r>
      <w:r>
        <w:rPr>
          <w:sz w:val="24"/>
          <w:color w:val="222222"/>
        </w:rPr>
        <w:t>：</w:t>
      </w:r>
      <w:r>
        <w:rPr>
          <w:sz w:val="24"/>
          <w:color w:val="222222"/>
        </w:rPr>
        <w:t xml:space="preserve"> </w:t>
      </w:r>
      <w:r>
        <w:rPr>
          <w:sz w:val="24"/>
          <w:u w:val="single"/>
        </w:rPr>
        <w:t>　　　</w:t>
      </w:r>
      <w:r>
        <w:rPr>
          <w:sz w:val="24"/>
          <w:u w:val="single"/>
        </w:rPr>
        <w:t xml:space="preserve"> </w:t>
      </w:r>
      <w:r>
        <w:rPr>
          <w:sz w:val="24"/>
          <w:u w:val="single"/>
        </w:rPr>
        <w:t xml:space="preserve"> </w:t>
      </w:r>
      <w:r>
        <w:rPr>
          <w:sz w:val="24"/>
          <w:color w:val="222222"/>
        </w:rPr>
        <w:t>地址：</w:t>
      </w:r>
      <w:r>
        <w:rPr>
          <w:sz w:val="24"/>
          <w:color w:val="222222"/>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0" w:after="0"/>
        <w:ind w:left="0" w:right="0"/>
        <w:jc w:val="both"/>
      </w:pPr>
      <w:r>
        <w:rPr>
          <w:sz w:val="24"/>
          <w:b/>
        </w:rPr>
        <w:t xml:space="preserve">乙方： </w:t>
      </w:r>
      <w:r>
        <w:rPr>
          <w:sz w:val="24"/>
          <w:u w:val="single"/>
        </w:rPr>
        <w:t>　　　　　</w:t>
      </w:r>
      <w:r>
        <w:rPr>
          <w:sz w:val="24"/>
          <w:u w:val="single"/>
        </w:rPr>
        <w:t xml:space="preserve"> </w:t>
      </w:r>
      <w:r>
        <w:rPr>
          <w:sz w:val="24"/>
          <w:u w:val="single"/>
        </w:rPr>
        <w:t xml:space="preserve"> </w:t>
      </w:r>
    </w:p>
    <w:p>
      <w:pPr>
        <w:pStyle w:val="null3"/>
        <w:spacing w:before="0" w:after="0"/>
        <w:ind w:left="0" w:right="0"/>
        <w:jc w:val="both"/>
      </w:pPr>
      <w:r>
        <w:rPr>
          <w:sz w:val="24"/>
          <w:color w:val="222222"/>
        </w:rPr>
        <w:t>电话：</w:t>
      </w:r>
      <w:r>
        <w:rPr>
          <w:sz w:val="24"/>
          <w:color w:val="222222"/>
        </w:rPr>
        <w:t xml:space="preserve"> </w:t>
      </w:r>
      <w:r>
        <w:rPr>
          <w:sz w:val="24"/>
          <w:u w:val="single"/>
        </w:rPr>
        <w:t>　　　　</w:t>
      </w:r>
      <w:r>
        <w:rPr>
          <w:sz w:val="24"/>
          <w:u w:val="single"/>
        </w:rPr>
        <w:t xml:space="preserve"> </w:t>
      </w:r>
      <w:r>
        <w:rPr>
          <w:sz w:val="24"/>
          <w:u w:val="single"/>
        </w:rPr>
        <w:t xml:space="preserve"> </w:t>
      </w:r>
      <w:r>
        <w:rPr>
          <w:sz w:val="24"/>
          <w:u w:val="single"/>
        </w:rPr>
        <w:t xml:space="preserve"> </w:t>
      </w:r>
      <w:r>
        <w:rPr>
          <w:sz w:val="24"/>
          <w:color w:val="222222"/>
        </w:rPr>
        <w:t>传真：</w:t>
      </w:r>
      <w:r>
        <w:rPr>
          <w:sz w:val="24"/>
          <w:u w:val="single"/>
        </w:rPr>
        <w:t>　　　</w:t>
      </w:r>
      <w:r>
        <w:rPr>
          <w:sz w:val="24"/>
          <w:u w:val="single"/>
        </w:rPr>
        <w:t xml:space="preserve"> </w:t>
      </w:r>
      <w:r>
        <w:rPr>
          <w:sz w:val="24"/>
          <w:u w:val="single"/>
        </w:rPr>
        <w:t xml:space="preserve"> </w:t>
      </w:r>
      <w:r>
        <w:rPr>
          <w:sz w:val="24"/>
          <w:u w:val="single"/>
        </w:rPr>
        <w:t xml:space="preserve"> </w:t>
      </w:r>
      <w:r>
        <w:rPr>
          <w:sz w:val="24"/>
          <w:color w:val="222222"/>
        </w:rPr>
        <w:t>地址：</w:t>
      </w:r>
      <w:r>
        <w:rPr>
          <w:sz w:val="24"/>
          <w:color w:val="222222"/>
        </w:rPr>
        <w:t xml:space="preserve"> </w:t>
      </w:r>
      <w:r>
        <w:rPr>
          <w:sz w:val="24"/>
          <w:u w:val="single"/>
        </w:rPr>
        <w:t>　　　</w:t>
      </w:r>
      <w:r>
        <w:rPr>
          <w:sz w:val="24"/>
          <w:u w:val="single"/>
        </w:rPr>
        <w:t xml:space="preserve"> </w:t>
      </w:r>
      <w:r>
        <w:rPr>
          <w:sz w:val="24"/>
          <w:u w:val="single"/>
        </w:rPr>
        <w:t xml:space="preserve">  </w:t>
      </w:r>
    </w:p>
    <w:p>
      <w:pPr>
        <w:pStyle w:val="null3"/>
        <w:ind w:firstLine="480"/>
        <w:jc w:val="both"/>
      </w:pPr>
      <w:r>
        <w:rPr>
          <w:sz w:val="24"/>
        </w:rPr>
        <w:t>根据医院核心业务信息系统驻场运维服务（2026）项目的采购结果，按照《中华人民共和国政府采购法》，《中华人民共和国民法典(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合同金额为（大写）：_____________元（￥_________元）人民币。</w:t>
      </w:r>
    </w:p>
    <w:p>
      <w:pPr>
        <w:pStyle w:val="null3"/>
        <w:jc w:val="both"/>
      </w:pPr>
      <w:r>
        <w:rPr>
          <w:sz w:val="24"/>
          <w:b/>
        </w:rPr>
        <w:t>二、服务期间（项目完成期限）：</w:t>
      </w:r>
    </w:p>
    <w:p>
      <w:pPr>
        <w:pStyle w:val="null3"/>
        <w:ind w:firstLine="480"/>
        <w:jc w:val="both"/>
      </w:pPr>
      <w:r>
        <w:rPr>
          <w:sz w:val="24"/>
        </w:rPr>
        <w:t>委托服务期间自合同签订生效之日起至2026年12月31日止。</w:t>
      </w:r>
    </w:p>
    <w:p>
      <w:pPr>
        <w:pStyle w:val="null3"/>
        <w:jc w:val="both"/>
      </w:pPr>
      <w:r>
        <w:rPr>
          <w:sz w:val="24"/>
          <w:b/>
        </w:rPr>
        <w:t>三、服务地点：甲方指定地点。</w:t>
      </w:r>
    </w:p>
    <w:p>
      <w:pPr>
        <w:pStyle w:val="null3"/>
        <w:jc w:val="both"/>
      </w:pPr>
      <w:r>
        <w:rPr>
          <w:sz w:val="24"/>
          <w:b/>
        </w:rPr>
        <w:t>四、付款方式：</w:t>
      </w:r>
    </w:p>
    <w:p>
      <w:pPr>
        <w:pStyle w:val="null3"/>
        <w:ind w:firstLine="480"/>
        <w:jc w:val="both"/>
      </w:pPr>
      <w:r>
        <w:rPr>
          <w:sz w:val="24"/>
        </w:rPr>
        <w:t>由甲方按下列程序付款：</w:t>
      </w:r>
    </w:p>
    <w:p>
      <w:pPr>
        <w:pStyle w:val="null3"/>
        <w:ind w:firstLine="480"/>
        <w:jc w:val="both"/>
      </w:pPr>
      <w:r>
        <w:rPr>
          <w:sz w:val="24"/>
        </w:rPr>
        <w:t>1.预付款：合同签订生效之日起10个工作日内，甲方收到乙方对应金额发票后向乙方支付合同总价的35%（如果乙方为中小微企业，合同签订生效之日起5个工作日内，甲方收到乙方对应金额发票后向乙方支付合同总价的35%）；</w:t>
      </w:r>
    </w:p>
    <w:p>
      <w:pPr>
        <w:pStyle w:val="null3"/>
        <w:ind w:firstLine="480"/>
        <w:jc w:val="both"/>
      </w:pPr>
      <w:r>
        <w:rPr>
          <w:sz w:val="24"/>
        </w:rPr>
        <w:t>2.验收款：服务期到期并验收合格后10个工作日内，甲方收到乙方对应金额发票后向乙方支付合同总价的65%；</w:t>
      </w:r>
    </w:p>
    <w:p>
      <w:pPr>
        <w:pStyle w:val="null3"/>
        <w:ind w:firstLine="480"/>
        <w:jc w:val="both"/>
      </w:pPr>
      <w:r>
        <w:rPr>
          <w:sz w:val="24"/>
        </w:rPr>
        <w:t>3.乙方凭以下有效文件与甲方结算：</w:t>
      </w:r>
    </w:p>
    <w:p>
      <w:pPr>
        <w:pStyle w:val="null3"/>
        <w:ind w:firstLine="480"/>
        <w:jc w:val="both"/>
      </w:pPr>
      <w:r>
        <w:rPr>
          <w:sz w:val="24"/>
        </w:rPr>
        <w:t>（1）中标通知书；</w:t>
      </w:r>
    </w:p>
    <w:p>
      <w:pPr>
        <w:pStyle w:val="null3"/>
        <w:ind w:firstLine="480"/>
        <w:jc w:val="both"/>
      </w:pPr>
      <w:r>
        <w:rPr>
          <w:sz w:val="24"/>
        </w:rPr>
        <w:t>（2）合同；</w:t>
      </w:r>
    </w:p>
    <w:p>
      <w:pPr>
        <w:pStyle w:val="null3"/>
        <w:ind w:firstLine="480"/>
        <w:jc w:val="both"/>
      </w:pPr>
      <w:r>
        <w:rPr>
          <w:sz w:val="24"/>
        </w:rPr>
        <w:t>（3）乙方开具的正式发票；</w:t>
      </w:r>
    </w:p>
    <w:p>
      <w:pPr>
        <w:pStyle w:val="null3"/>
        <w:ind w:firstLine="480"/>
        <w:jc w:val="both"/>
      </w:pPr>
      <w:r>
        <w:rPr>
          <w:sz w:val="24"/>
        </w:rPr>
        <w:t>（4）加盖甲方公章的《服务总结报告》（申请预付款时无需提供）。</w:t>
      </w:r>
    </w:p>
    <w:p>
      <w:pPr>
        <w:pStyle w:val="null3"/>
        <w:jc w:val="both"/>
      </w:pPr>
      <w:r>
        <w:rPr>
          <w:sz w:val="24"/>
          <w:b/>
        </w:rPr>
        <w:t>五、验收要求：</w:t>
      </w:r>
    </w:p>
    <w:p>
      <w:pPr>
        <w:pStyle w:val="null3"/>
        <w:ind w:firstLine="480"/>
        <w:jc w:val="both"/>
      </w:pPr>
      <w:r>
        <w:rPr>
          <w:sz w:val="24"/>
        </w:rPr>
        <w:t>（一）甲方在收到乙方项目验收申请之日起7个工作日内按照合同的约定对履约情况进行验收。乙方需为验收提供必需的一切条件并负责支付相关费用，并提供本项目的相关文档和验收所需资料，积极配合甲方完成验收工作。</w:t>
      </w:r>
    </w:p>
    <w:p>
      <w:pPr>
        <w:pStyle w:val="null3"/>
        <w:ind w:firstLine="480"/>
        <w:jc w:val="both"/>
      </w:pPr>
      <w:r>
        <w:rPr>
          <w:sz w:val="24"/>
        </w:rPr>
        <w:t>（二）项目验收依次序对照执行标准</w:t>
      </w:r>
    </w:p>
    <w:p>
      <w:pPr>
        <w:pStyle w:val="null3"/>
        <w:ind w:firstLine="480"/>
        <w:jc w:val="both"/>
      </w:pPr>
      <w:r>
        <w:rPr>
          <w:sz w:val="24"/>
        </w:rPr>
        <w:t>1.符合中华人民共和国国家和履约地相关安全质量标准、行业技术规范标准；</w:t>
      </w:r>
    </w:p>
    <w:p>
      <w:pPr>
        <w:pStyle w:val="null3"/>
        <w:ind w:firstLine="480"/>
        <w:jc w:val="both"/>
      </w:pPr>
      <w:r>
        <w:rPr>
          <w:sz w:val="24"/>
        </w:rPr>
        <w:t>2.符合招标文件和投标承诺中各方共同认可的各项要求；</w:t>
      </w:r>
    </w:p>
    <w:p>
      <w:pPr>
        <w:pStyle w:val="null3"/>
        <w:ind w:firstLine="480"/>
        <w:jc w:val="both"/>
      </w:pPr>
      <w:r>
        <w:rPr>
          <w:sz w:val="24"/>
        </w:rPr>
        <w:t>上述各类标准与法规必须是有关官方机构最新发布的现行标准版本。</w:t>
      </w:r>
    </w:p>
    <w:p>
      <w:pPr>
        <w:pStyle w:val="null3"/>
        <w:ind w:firstLine="480"/>
        <w:jc w:val="both"/>
      </w:pPr>
      <w:r>
        <w:rPr>
          <w:sz w:val="24"/>
        </w:rPr>
        <w:t>（三）验收具体要求</w:t>
      </w:r>
    </w:p>
    <w:p>
      <w:pPr>
        <w:pStyle w:val="null3"/>
        <w:ind w:firstLine="480"/>
        <w:jc w:val="both"/>
      </w:pPr>
      <w:r>
        <w:rPr>
          <w:sz w:val="24"/>
        </w:rPr>
        <w:t>1.验收内容：对合同所有项目及其约定内容进行验收。</w:t>
      </w:r>
    </w:p>
    <w:p>
      <w:pPr>
        <w:pStyle w:val="null3"/>
        <w:ind w:firstLine="480"/>
        <w:jc w:val="both"/>
      </w:pPr>
      <w:r>
        <w:rPr>
          <w:sz w:val="24"/>
        </w:rPr>
        <w:t>2.乙方负责将以下验收资料编制成册，包含但不限于以下内容：采购文件，投标文件，中标通知书，合同协议书、变更证明或审批材料，服务文档，驻场人员学历、考勤等记录，日常维护记录（维护日志、周报等），服务总结报告及项目实施过程中的相关记录等。</w:t>
      </w:r>
    </w:p>
    <w:p>
      <w:pPr>
        <w:pStyle w:val="null3"/>
        <w:ind w:firstLine="480"/>
        <w:jc w:val="both"/>
      </w:pPr>
      <w:r>
        <w:rPr>
          <w:sz w:val="24"/>
        </w:rPr>
        <w:t>3.验收结果确认：验收完毕由甲方及验收专家在验收报告上签名确认。</w:t>
      </w:r>
    </w:p>
    <w:p>
      <w:pPr>
        <w:pStyle w:val="null3"/>
        <w:ind w:firstLine="480"/>
        <w:jc w:val="both"/>
      </w:pPr>
      <w:r>
        <w:rPr>
          <w:sz w:val="24"/>
        </w:rPr>
        <w:t>（四）验收工作及收费事项说明</w:t>
      </w:r>
    </w:p>
    <w:p>
      <w:pPr>
        <w:pStyle w:val="null3"/>
        <w:ind w:firstLine="480"/>
        <w:jc w:val="both"/>
      </w:pPr>
      <w:r>
        <w:rPr>
          <w:sz w:val="24"/>
        </w:rPr>
        <w:t>1.本项目的验收工作将由甲方委托第三方机构组织。</w:t>
      </w:r>
    </w:p>
    <w:p>
      <w:pPr>
        <w:pStyle w:val="null3"/>
        <w:ind w:firstLine="480"/>
        <w:jc w:val="both"/>
      </w:pPr>
      <w:r>
        <w:rPr>
          <w:sz w:val="24"/>
        </w:rPr>
        <w:t>2.本项目的所有验收费用均由乙方承担。</w:t>
      </w:r>
    </w:p>
    <w:p>
      <w:pPr>
        <w:pStyle w:val="null3"/>
        <w:jc w:val="both"/>
      </w:pPr>
      <w:r>
        <w:rPr>
          <w:sz w:val="24"/>
          <w:b/>
        </w:rPr>
        <w:t>六、保密要求：</w:t>
      </w:r>
    </w:p>
    <w:p>
      <w:pPr>
        <w:pStyle w:val="null3"/>
        <w:ind w:firstLine="480"/>
        <w:jc w:val="both"/>
      </w:pPr>
      <w:r>
        <w:rPr>
          <w:sz w:val="24"/>
        </w:rPr>
        <w:t>1.在任何情况下，乙方不得向第三方透露甲方的业务活动情况。</w:t>
      </w:r>
    </w:p>
    <w:p>
      <w:pPr>
        <w:pStyle w:val="null3"/>
        <w:ind w:firstLine="480"/>
        <w:jc w:val="both"/>
      </w:pPr>
      <w:r>
        <w:rPr>
          <w:sz w:val="24"/>
        </w:rPr>
        <w:t>2.乙方须和甲方就项目执行过程中可能涉及的保密内容，单独签订保密协议，对采购提供的基础数据、其他原始资料等信息保密。</w:t>
      </w:r>
    </w:p>
    <w:p>
      <w:pPr>
        <w:pStyle w:val="null3"/>
        <w:ind w:firstLine="480"/>
        <w:jc w:val="both"/>
      </w:pPr>
      <w:r>
        <w:rPr>
          <w:sz w:val="24"/>
        </w:rPr>
        <w:t>3.乙方必须如约承担合同履行时所应该尽的一切保密义务。乙方及其参与本项目的所有工作人员均须对甲方信息、项目实施过程中的资料、数据进行保密，所有资料（包括但不限于文字、图片、声像资料、电子数据等）均属甲方所有，未经甲方书面同意不得泄露给第三方；否则，甲方保留追究乙方法律责任的权利。保密责任不因合同的中止或解除而失效。</w:t>
      </w:r>
    </w:p>
    <w:p>
      <w:pPr>
        <w:pStyle w:val="null3"/>
        <w:jc w:val="both"/>
      </w:pPr>
      <w:r>
        <w:rPr>
          <w:sz w:val="24"/>
          <w:b/>
        </w:rPr>
        <w:t>七、项目服务内容：</w:t>
      </w:r>
    </w:p>
    <w:p>
      <w:pPr>
        <w:pStyle w:val="null3"/>
        <w:ind w:firstLine="480"/>
        <w:jc w:val="both"/>
      </w:pPr>
      <w:r>
        <w:rPr>
          <w:sz w:val="24"/>
        </w:rPr>
        <w:t>1、对在运行的医院信息系统模块进行日常维护和开发，内容如下：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05"/>
        <w:gridCol w:w="2400"/>
        <w:gridCol w:w="4665"/>
      </w:tblGrid>
      <w:tr>
        <w:tc>
          <w:tcPr>
            <w:tcW w:type="dxa" w:w="7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4"/>
              </w:rPr>
              <w:t>编号</w:t>
            </w:r>
          </w:p>
        </w:tc>
        <w:tc>
          <w:tcPr>
            <w:tcW w:type="dxa" w:w="240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4"/>
              </w:rPr>
              <w:t>模块类别</w:t>
            </w:r>
          </w:p>
        </w:tc>
        <w:tc>
          <w:tcPr>
            <w:tcW w:type="dxa" w:w="466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4"/>
              </w:rPr>
              <w:t>模块名称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智慧门诊</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智能导诊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预约挂号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智能导航</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综合支付和统一对账</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消息通知及就诊指引</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满意度评价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健康教育</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自助终端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统计分析</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财务统计报表（住院，门诊）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医务统计报表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护理统计报表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门诊统计报表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药剂统计报表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统计室统计表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质控及病案室统计表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医保物价科统计表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临床科室统计表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其他有关国家、省、市上报数据报表统计</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19</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经济管理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门急诊挂号管理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门急诊收费管理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出入院管理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医技收费管理系统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药品管理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药品字典与价格管理系统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门急诊药房管理系统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住院中、西药房管理系统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中、西药库管理系统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门急诊医生站管理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急诊预检管理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门急诊输液管理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门诊排队叫号管理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门诊电子病历系统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抢救室/留观病区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急诊护理病历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门诊分诊台大屏</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门诊医生前屏</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门诊收费报价屏管理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门诊手术管理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38</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护理信息化</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住院护士站</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护理病历-高级版</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护理计划</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护理质量管理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交班管理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健康教育</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移动医护平台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移动护理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护理大屏</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47</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住院医生工作站</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结构化电子病历系统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住院临床路径</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住院手术管理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抗菌药物管理系统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报卡管理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危急值提醒</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围手术期管理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住院收费前屏管理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移动医生查房(31病区）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单病种管理（12个病种）</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58</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康复治疗</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康复治疗管理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59</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治疗管理</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治疗管理系统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60</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输血管理</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输血管理系统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61</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医技预约</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医技预约管理系统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62</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医院报表统计分析</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医院报表统计分析系统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63</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医院信息集成平台总线管理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医院信息集成平台总线管理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64</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闭环管理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危急值闭环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用药闭环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手术闭环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治疗闭环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处方闭环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护理闭环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输血闭环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母乳闭环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检验闭环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病历质控闭环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审方闭环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医技预约闭环</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77</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血透治疗</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血液透析管理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病案管理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病案首页管理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病案统计</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80</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院内感染</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院内感染管理系统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81</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体检</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健康体检管理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82</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LIS系统</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LIS报告管理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LIS标本条码管理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危急值管理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血库系统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87</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PACS影像管理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检查流程管理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检查报告管理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超声影像信息系统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病理影像信息系统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内窥镜影像信息系统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92</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放射科电子胶片和按需打印</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电子胶片服务软件</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设备打印联机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打印管理（打印工作站、按需打印）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95</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检查排队号系统及报告发放管理</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放射科排队号系统及报告发放管理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超声科排队号系统及报告发放管理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消化内镜科排队号系统及报告发放管理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98</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核医学报告</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核医学报告管理系统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99</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检查预约</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全院检查预约</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住院护士站检查预约</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门诊医生站诊间预约</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102</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智慧审方</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临床合理用药智慧审方</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前置审方中心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处方点评</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临床药师工作站</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106</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平台</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单点登录</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107</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数据中心</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主数据管理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临床数据中心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患者360视图</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患者主索引EMPI</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111</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移动BI</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移动BI</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112</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CA签名</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CA签名管理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113</w:t>
            </w:r>
          </w:p>
        </w:tc>
        <w:tc>
          <w:tcPr>
            <w:tcW w:type="dxa" w:w="24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急诊绿色通道</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急诊绿色通道管理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114</w:t>
            </w:r>
          </w:p>
        </w:tc>
        <w:tc>
          <w:tcPr>
            <w:tcW w:type="dxa" w:w="24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接口类</w:t>
            </w: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与现用社保系统对接接口及更新改造</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广东省医保异地结算接口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国家农合异地结算接口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患者满意度评价系统接口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手术麻醉监护系统接口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心电图系统接口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自动发药机接口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广东省全民健康互联互通平台接口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金域标本外送接口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LIS自动分拣、智能采血接口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重症医嘱信息接口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血库与中心血站系统接口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港澳台居住证接口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自助报告及胶片打印接口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广东省公安厅互联互通数据采集接口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静配中心系统接口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DRG医疗服务监测与医保导入接口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HQMS上报接口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医患服务平台接口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药品配送接口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公立医院绩效考核住院病案首页数据采集接口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成本一体化接口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临床数据采集接口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DRG病种分析接口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流感上报接口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新冠病毒上报接口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高值耗材接口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质控数据外部接口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人事系统接口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门诊发药大屏接口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药品价格大屏接口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医生排班大屏接口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手术通知大屏接口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挂号小屏显示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收费小屏显示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出入院小屏显示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发药小屏显示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Odin接口运维（包含现有服务新系统对接、旧的接口调整）</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摆药机接口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旧用友病历集成展示</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PIVA与住院医生站接口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三级公立医院绩效上报新增数据导出接口</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156</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医务质控报表</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住院电子病历相关质控统计分析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住院临床路径相关质控统计分析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抗菌药物相关质控统计分析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围手术期管理相关质控统计分析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报告卡质控统计分析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161</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住院会诊管理相关质控统计分析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危急值管理相关质控统计分析</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163</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互联互通标准化</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TAS工具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互联互通联调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互联互通服务</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166</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食源性疾病上报</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食源性疾病上报</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167</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临床信息系统</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门诊孕产专科病历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住院孕产专科病历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护士长管理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170</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护理交接班管理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171</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护理综合运营管理系统</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护理会诊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护理敏感质量指标</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173</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临床治疗应用</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临床治疗应用及系统升级项目</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174</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营养医嘱系统</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营养医嘱系统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175</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新增</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无纸化病案管理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临床决策支持系统</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eMAR电子用药监控</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178</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闭环管理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179</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运营数据中心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180</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新增</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微信公众号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181</w:t>
            </w:r>
          </w:p>
        </w:tc>
        <w:tc>
          <w:tcPr>
            <w:tcW w:type="dxa" w:w="2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新增</w:t>
            </w: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床旁结算</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182</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诊间结算</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183</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取药配送</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184</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诊间检查预约</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185</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满意度评价管理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186</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排队查询</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187</w:t>
            </w:r>
          </w:p>
        </w:tc>
        <w:tc>
          <w:tcPr>
            <w:tcW w:type="dxa" w:w="2400"/>
            <w:vMerge/>
            <w:tcBorders>
              <w:top w:val="none" w:color="000000" w:sz="4"/>
              <w:left w:val="single" w:color="000000" w:sz="4"/>
              <w:bottom w:val="single" w:color="000000" w:sz="4"/>
              <w:right w:val="single" w:color="000000" w:sz="4"/>
            </w:tcBorders>
          </w:tcPr>
          <w:p/>
        </w:tc>
        <w:tc>
          <w:tcPr>
            <w:tcW w:type="dxa" w:w="4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诊疗信息推送</w:t>
            </w:r>
          </w:p>
        </w:tc>
      </w:tr>
    </w:tbl>
    <w:p>
      <w:pPr>
        <w:pStyle w:val="null3"/>
        <w:ind w:firstLine="480"/>
        <w:jc w:val="both"/>
      </w:pPr>
      <w:r>
        <w:rPr>
          <w:sz w:val="24"/>
        </w:rPr>
        <w:t>以上维护模块的维护工作内容：</w:t>
      </w:r>
    </w:p>
    <w:p>
      <w:pPr>
        <w:pStyle w:val="null3"/>
        <w:ind w:firstLine="480"/>
        <w:jc w:val="both"/>
      </w:pPr>
      <w:r>
        <w:rPr>
          <w:sz w:val="24"/>
        </w:rPr>
        <w:t>1）改正性维护：对在系统开发阶段已发生而系统测试阶段尚未发现的错误进行修改；</w:t>
      </w:r>
    </w:p>
    <w:p>
      <w:pPr>
        <w:pStyle w:val="null3"/>
        <w:ind w:firstLine="480"/>
        <w:jc w:val="both"/>
      </w:pPr>
      <w:r>
        <w:rPr>
          <w:sz w:val="24"/>
        </w:rPr>
        <w:t>2）适应性维护：对现有系统架构范围内，为适应流程和管理需求变化而进行的修改；</w:t>
      </w:r>
    </w:p>
    <w:p>
      <w:pPr>
        <w:pStyle w:val="null3"/>
        <w:ind w:firstLine="480"/>
        <w:jc w:val="both"/>
      </w:pPr>
      <w:r>
        <w:rPr>
          <w:sz w:val="24"/>
        </w:rPr>
        <w:t>3）完善性维护：为改善性能而进行的修改。</w:t>
      </w:r>
    </w:p>
    <w:p>
      <w:pPr>
        <w:pStyle w:val="null3"/>
        <w:jc w:val="both"/>
      </w:pPr>
      <w:r>
        <w:rPr>
          <w:sz w:val="24"/>
          <w:b/>
        </w:rPr>
        <w:t>八、服务要求：</w:t>
      </w:r>
    </w:p>
    <w:p>
      <w:pPr>
        <w:pStyle w:val="null3"/>
        <w:ind w:firstLine="480"/>
        <w:jc w:val="both"/>
      </w:pPr>
      <w:r>
        <w:rPr>
          <w:sz w:val="24"/>
        </w:rPr>
        <w:t>1.项目目标：保障信息系统正常平稳运行。</w:t>
      </w:r>
    </w:p>
    <w:p>
      <w:pPr>
        <w:pStyle w:val="null3"/>
        <w:ind w:firstLine="480"/>
        <w:jc w:val="both"/>
      </w:pPr>
      <w:r>
        <w:rPr>
          <w:sz w:val="24"/>
        </w:rPr>
        <w:t>梳理影响系统运转的问题和需求，对现有系统进行监控、整改、优化，保障系统正确、平稳运行，同时满足政策性变化和医院运营管理的要求。</w:t>
      </w:r>
    </w:p>
    <w:p>
      <w:pPr>
        <w:pStyle w:val="null3"/>
        <w:ind w:firstLine="480"/>
        <w:jc w:val="both"/>
      </w:pPr>
      <w:r>
        <w:rPr>
          <w:sz w:val="24"/>
        </w:rPr>
        <w:t>2.项目维护服务要求：</w:t>
      </w:r>
    </w:p>
    <w:p>
      <w:pPr>
        <w:pStyle w:val="null3"/>
        <w:ind w:firstLine="480"/>
        <w:jc w:val="both"/>
      </w:pPr>
      <w:r>
        <w:rPr>
          <w:sz w:val="24"/>
        </w:rPr>
        <w:t>（1）响应时间：白天按照甲方院内行政上班时间安排至少5名工程师作为驻场人员（含项目经理1名）在阳江市人民医院工作，即时响应；晚上和节假日1小时响应，晚上和节假日若需乙方技术人员到达现场，乙方技术人员应当2小时内到达阳江市人民医院。</w:t>
      </w:r>
    </w:p>
    <w:p>
      <w:pPr>
        <w:pStyle w:val="null3"/>
        <w:ind w:firstLine="480"/>
        <w:jc w:val="both"/>
      </w:pPr>
      <w:r>
        <w:rPr>
          <w:sz w:val="24"/>
        </w:rPr>
        <w:t>（2）服务人员：现场服务团队中，要求项目经理（1名）至少具有5年系统运维经验，其他服务人员（至少4名）至少具有2年系统运维经验。</w:t>
      </w:r>
    </w:p>
    <w:p>
      <w:pPr>
        <w:pStyle w:val="null3"/>
        <w:ind w:firstLine="480"/>
        <w:jc w:val="both"/>
      </w:pPr>
      <w:r>
        <w:rPr>
          <w:sz w:val="24"/>
        </w:rPr>
        <w:t>（3）维护和开发地点：对于需求已明确的新功能、系统升级、程序优化等工作量较大的开发工作无地点限制，但测试和实施需在阳江市人民医院完成。</w:t>
      </w:r>
    </w:p>
    <w:p>
      <w:pPr>
        <w:pStyle w:val="null3"/>
        <w:ind w:firstLine="480"/>
        <w:jc w:val="both"/>
      </w:pPr>
      <w:r>
        <w:rPr>
          <w:sz w:val="24"/>
        </w:rPr>
        <w:t>（4）维护和开发期限：合同签订生效之日起至2026年12月31日止。</w:t>
      </w:r>
    </w:p>
    <w:p>
      <w:pPr>
        <w:pStyle w:val="null3"/>
        <w:ind w:firstLine="480"/>
        <w:jc w:val="both"/>
      </w:pPr>
      <w:r>
        <w:rPr>
          <w:sz w:val="24"/>
        </w:rPr>
        <w:t>（5）所有经备案的现场人员必须参加医院上下班考勤管理，考勤记录作为验收依据材料。</w:t>
      </w:r>
    </w:p>
    <w:p>
      <w:pPr>
        <w:pStyle w:val="null3"/>
        <w:ind w:firstLine="480"/>
        <w:jc w:val="both"/>
      </w:pPr>
      <w:r>
        <w:rPr>
          <w:sz w:val="24"/>
        </w:rPr>
        <w:t>3、关键要求</w:t>
      </w:r>
    </w:p>
    <w:p>
      <w:pPr>
        <w:pStyle w:val="null3"/>
        <w:ind w:firstLine="480"/>
        <w:jc w:val="both"/>
      </w:pPr>
      <w:r>
        <w:rPr>
          <w:sz w:val="24"/>
        </w:rPr>
        <w:t>（1）乙方在系统维护服务和开发服务的时候要保证本院的现用系统所有模块能正常无间断使用，保证数据的安全，并提出完善的实施方案和可预见问题的解决方案。</w:t>
      </w:r>
    </w:p>
    <w:p>
      <w:pPr>
        <w:pStyle w:val="null3"/>
        <w:ind w:firstLine="480"/>
        <w:jc w:val="both"/>
      </w:pPr>
      <w:r>
        <w:rPr>
          <w:sz w:val="24"/>
        </w:rPr>
        <w:t>（2）乙方在系统维护服务和开发服务的时候要保证相关数据与本院历史数据无缝连接，所有数据（包括历史数据）能在同一平台实时查询和使用。</w:t>
      </w:r>
    </w:p>
    <w:p>
      <w:pPr>
        <w:pStyle w:val="null3"/>
        <w:jc w:val="both"/>
      </w:pPr>
      <w:r>
        <w:rPr>
          <w:sz w:val="24"/>
          <w:b/>
        </w:rPr>
        <w:t>九、人员管理要求：</w:t>
      </w:r>
    </w:p>
    <w:p>
      <w:pPr>
        <w:pStyle w:val="null3"/>
        <w:ind w:firstLine="480"/>
        <w:jc w:val="both"/>
      </w:pPr>
      <w:r>
        <w:rPr>
          <w:sz w:val="24"/>
        </w:rPr>
        <w:t>1.乙方应按其投标文件中承诺提供的项目组人员按要求投入到本项目中，在服务期内不得擅自更换。乙方如因工作安排或其他原因，确需更换项目组人员的，应事前向甲方书面提出申请。未经甲方同意，不得更换人员。如未经甲方同意擅自更换项目组人员，而由此影响项目运作及业务开展的，由乙方承担相关责任，并赔偿甲方由此造成的损失。</w:t>
      </w:r>
    </w:p>
    <w:p>
      <w:pPr>
        <w:pStyle w:val="null3"/>
        <w:ind w:firstLine="480"/>
        <w:jc w:val="both"/>
      </w:pPr>
      <w:r>
        <w:rPr>
          <w:sz w:val="24"/>
        </w:rPr>
        <w:t>2.甲方有权以书面形式要求乙方更换不能按规定履行合同的项目组人员。</w:t>
      </w:r>
    </w:p>
    <w:p>
      <w:pPr>
        <w:pStyle w:val="null3"/>
        <w:ind w:firstLine="480"/>
        <w:jc w:val="both"/>
      </w:pPr>
      <w:r>
        <w:rPr>
          <w:sz w:val="24"/>
        </w:rPr>
        <w:t>3.甲方要求或同意更换项目人员，其代替人员的资历需得到甲方的认可，其资质能力和经验均不得低于被更换人员。</w:t>
      </w:r>
    </w:p>
    <w:p>
      <w:pPr>
        <w:pStyle w:val="null3"/>
        <w:ind w:firstLine="480"/>
        <w:jc w:val="both"/>
      </w:pPr>
      <w:r>
        <w:rPr>
          <w:sz w:val="24"/>
        </w:rPr>
        <w:t>4.乙方应制定详尽的工作计划，全面落实并完成项目任务及相关工作内容。</w:t>
      </w:r>
    </w:p>
    <w:p>
      <w:pPr>
        <w:pStyle w:val="null3"/>
        <w:ind w:firstLine="480"/>
        <w:jc w:val="both"/>
      </w:pPr>
      <w:r>
        <w:rPr>
          <w:sz w:val="24"/>
        </w:rPr>
        <w:t>5.乙方应制定安全服务管理制度，防范项目组人员在服务过程中出现的信息安全风险，确保项目安全开展。</w:t>
      </w:r>
    </w:p>
    <w:p>
      <w:pPr>
        <w:pStyle w:val="null3"/>
        <w:ind w:firstLine="480"/>
        <w:jc w:val="both"/>
      </w:pPr>
      <w:r>
        <w:rPr>
          <w:sz w:val="24"/>
        </w:rPr>
        <w:t>6.在服务期间，乙方与工作人员发生的一切劳务纠纷，由乙方负责。</w:t>
      </w:r>
    </w:p>
    <w:p>
      <w:pPr>
        <w:pStyle w:val="null3"/>
        <w:jc w:val="both"/>
      </w:pPr>
      <w:r>
        <w:rPr>
          <w:sz w:val="24"/>
          <w:b/>
        </w:rPr>
        <w:t>十、违约责任与赔偿损失：</w:t>
      </w:r>
    </w:p>
    <w:p>
      <w:pPr>
        <w:pStyle w:val="null3"/>
        <w:ind w:firstLine="480"/>
        <w:jc w:val="both"/>
      </w:pPr>
      <w:r>
        <w:rPr>
          <w:sz w:val="24"/>
        </w:rPr>
        <w:t>1.乙方提供的服务不符合本合同规定的，甲方有权拒收，并且乙方须向甲方方支付本合同总价   %的违约金。</w:t>
      </w:r>
    </w:p>
    <w:p>
      <w:pPr>
        <w:pStyle w:val="null3"/>
        <w:ind w:firstLine="480"/>
        <w:jc w:val="both"/>
      </w:pPr>
      <w:r>
        <w:rPr>
          <w:sz w:val="24"/>
        </w:rPr>
        <w:t>2.乙方未能按本合同规定的交货时间提供服务，从逾期之日起每日按本合同总价   ‰的数额向甲方支付违约金；逾期半个月以上的，甲方有权终止合同，由此造成的甲方经济损失由乙方承担。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   %的违约金。甲方逾期付款，则每日按应付未付款的万分之一向乙方偿付违约金。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r>
        <w:rPr>
          <w:sz w:val="24"/>
          <w:u w:val="single"/>
        </w:rPr>
        <w:t xml:space="preserve">    </w:t>
      </w:r>
    </w:p>
    <w:p>
      <w:pPr>
        <w:pStyle w:val="null3"/>
        <w:ind w:firstLine="480"/>
        <w:jc w:val="both"/>
      </w:pPr>
      <w:r>
        <w:rPr>
          <w:sz w:val="24"/>
        </w:rPr>
        <w:t>5.其它违约责任按《中华人民共和国民法典(合同编)》处理。</w:t>
      </w:r>
    </w:p>
    <w:p>
      <w:pPr>
        <w:pStyle w:val="null3"/>
        <w:jc w:val="both"/>
      </w:pPr>
      <w:r>
        <w:rPr>
          <w:sz w:val="24"/>
          <w:b/>
        </w:rPr>
        <w:t>十一、争议的解决：</w:t>
      </w:r>
    </w:p>
    <w:p>
      <w:pPr>
        <w:pStyle w:val="null3"/>
        <w:ind w:firstLine="480"/>
        <w:jc w:val="both"/>
      </w:pPr>
      <w:r>
        <w:rPr>
          <w:sz w:val="24"/>
        </w:rPr>
        <w:t>合同执行过程中发生的任何争议，如双方不能通过友好协商解决，按相关法律法规处理。</w:t>
      </w:r>
    </w:p>
    <w:p>
      <w:pPr>
        <w:pStyle w:val="null3"/>
        <w:jc w:val="both"/>
      </w:pPr>
      <w:r>
        <w:rPr>
          <w:sz w:val="24"/>
          <w:b/>
        </w:rPr>
        <w:t>十二、不可抗力：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十三、税费：</w:t>
      </w:r>
    </w:p>
    <w:p>
      <w:pPr>
        <w:pStyle w:val="null3"/>
        <w:ind w:firstLine="480"/>
        <w:jc w:val="both"/>
      </w:pPr>
      <w:r>
        <w:rPr>
          <w:sz w:val="24"/>
        </w:rPr>
        <w:t>在中国境内、外发生的与本合同执行有关的一切税费均由乙方负担。</w:t>
      </w:r>
    </w:p>
    <w:p>
      <w:pPr>
        <w:pStyle w:val="null3"/>
        <w:jc w:val="both"/>
      </w:pPr>
      <w:r>
        <w:rPr>
          <w:sz w:val="24"/>
          <w:b/>
        </w:rPr>
        <w:t>十四、其它：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十五、合同生效：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4"/>
          <w:u w:val="single"/>
        </w:rPr>
        <w:t xml:space="preserve">    </w:t>
      </w:r>
      <w:r>
        <w:rPr>
          <w:sz w:val="24"/>
        </w:rPr>
        <w:t>份。</w:t>
      </w:r>
    </w:p>
    <w:p>
      <w:pPr>
        <w:pStyle w:val="null3"/>
        <w:spacing w:before="0" w:after="0"/>
        <w:ind w:left="0" w:right="0"/>
        <w:jc w:val="both"/>
      </w:pPr>
      <w:r>
        <w:rPr>
          <w:sz w:val="24"/>
          <w:color w:val="222222"/>
        </w:rPr>
        <w:t xml:space="preserve"> </w:t>
      </w:r>
    </w:p>
    <w:p>
      <w:pPr>
        <w:pStyle w:val="null3"/>
        <w:spacing w:before="0" w:after="0"/>
        <w:ind w:left="0" w:right="0"/>
        <w:jc w:val="both"/>
      </w:pPr>
      <w:r>
        <w:rPr>
          <w:sz w:val="24"/>
          <w:b/>
        </w:rPr>
        <w:t xml:space="preserve">甲方（盖章）：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乙方（盖章）：</w:t>
      </w:r>
    </w:p>
    <w:p>
      <w:pPr>
        <w:pStyle w:val="null3"/>
        <w:spacing w:before="0" w:after="0"/>
        <w:ind w:left="0" w:right="0"/>
        <w:jc w:val="both"/>
      </w:pPr>
      <w:r>
        <w:rPr>
          <w:sz w:val="24"/>
          <w:b/>
        </w:rPr>
        <w:t xml:space="preserve">代表：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代表：</w:t>
      </w:r>
    </w:p>
    <w:p>
      <w:pPr>
        <w:pStyle w:val="null3"/>
        <w:spacing w:before="0" w:after="0"/>
        <w:ind w:left="0" w:right="0"/>
        <w:jc w:val="both"/>
      </w:pPr>
      <w:r>
        <w:rPr>
          <w:sz w:val="24"/>
          <w:color w:val="222222"/>
        </w:rPr>
        <w:t>签订地点：</w:t>
      </w:r>
    </w:p>
    <w:p>
      <w:pPr>
        <w:pStyle w:val="null3"/>
        <w:spacing w:before="0" w:after="0"/>
        <w:ind w:left="0" w:right="0"/>
        <w:jc w:val="both"/>
      </w:pPr>
      <w:r>
        <w:rPr>
          <w:sz w:val="24"/>
          <w:color w:val="222222"/>
        </w:rPr>
        <w:t xml:space="preserve">签订日期：　　　年　　月　　日  </w:t>
      </w:r>
      <w:r>
        <w:rPr>
          <w:sz w:val="24"/>
          <w:color w:val="222222"/>
        </w:rPr>
        <w:t xml:space="preserve"> </w:t>
      </w:r>
      <w:r>
        <w:rPr>
          <w:sz w:val="24"/>
          <w:color w:val="222222"/>
        </w:rPr>
        <w:t xml:space="preserve"> 签订日期：　　　年　　月　　日</w:t>
      </w:r>
    </w:p>
    <w:p>
      <w:pPr>
        <w:pStyle w:val="null3"/>
        <w:spacing w:before="0" w:after="0"/>
        <w:ind w:left="0" w:right="0"/>
        <w:jc w:val="both"/>
      </w:pPr>
      <w:r>
        <w:rPr>
          <w:sz w:val="24"/>
          <w:color w:val="222222"/>
        </w:rPr>
        <w:t>开户名称：</w:t>
      </w:r>
    </w:p>
    <w:p>
      <w:pPr>
        <w:pStyle w:val="null3"/>
        <w:spacing w:before="0" w:after="0"/>
        <w:ind w:left="0" w:right="0"/>
        <w:jc w:val="both"/>
      </w:pPr>
      <w:r>
        <w:rPr>
          <w:sz w:val="24"/>
          <w:color w:val="222222"/>
        </w:rPr>
        <w:t>银行帐号：</w:t>
      </w:r>
    </w:p>
    <w:p>
      <w:pPr>
        <w:pStyle w:val="null3"/>
        <w:spacing w:before="0" w:after="0"/>
        <w:ind w:left="0" w:right="0"/>
        <w:jc w:val="both"/>
      </w:pPr>
      <w:r>
        <w:rPr>
          <w:sz w:val="24"/>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441701-2026-01050</w:t>
      </w:r>
    </w:p>
    <w:p>
      <w:pPr>
        <w:pStyle w:val="null3"/>
        <w:jc w:val="center"/>
        <w:outlineLvl w:val="3"/>
      </w:pPr>
      <w:r>
        <w:rPr>
          <w:sz w:val="24"/>
          <w:b/>
        </w:rPr>
        <w:t>采购项目编号：</w:t>
      </w:r>
      <w:r>
        <w:rPr>
          <w:sz w:val="24"/>
          <w:b/>
        </w:rPr>
        <w:t>0724-2631YJ012891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医院核心业务信息系统驻场运维服务（2026）项目</w:t>
      </w:r>
      <w:r>
        <w:rPr>
          <w:u w:val="single"/>
        </w:rPr>
        <w:t>”</w:t>
      </w:r>
      <w:r>
        <w:rPr/>
        <w:t>项目的招标[采购项目编号为：</w:t>
      </w:r>
      <w:r>
        <w:rPr>
          <w:u w:val="single"/>
        </w:rPr>
        <w:t>0724-2631YJ012891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医院核心业务信息系统驻场运维服务（2026）项目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医院核心业务信息系统驻场运维服务（2026）项目</w:t>
      </w:r>
      <w:r>
        <w:rPr/>
        <w:t>”项目采购[采购项目编号为</w:t>
      </w:r>
      <w:r>
        <w:rPr/>
        <w:t>0724-2631YJ012891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医院核心业务信息系统驻场运维服务（2026）项目</w:t>
      </w:r>
      <w:r>
        <w:rPr/>
        <w:t>招标中获中标（采购项目编号：</w:t>
      </w:r>
      <w:r>
        <w:rPr/>
        <w:t>0724-2631YJ012891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医院核心业务信息系统驻场运维服务（2026）项目</w:t>
      </w:r>
      <w:r>
        <w:rPr/>
        <w:t>”项目（采购项目编号：</w:t>
      </w:r>
      <w:r>
        <w:rPr/>
        <w:t>0724-2631YJ012891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