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sz w:val="28"/>
          <w:szCs w:val="18"/>
          <w:lang w:eastAsia="zh-CN"/>
        </w:rPr>
      </w:pPr>
      <w:r>
        <w:rPr>
          <w:rFonts w:hint="eastAsia" w:ascii="宋体" w:hAnsi="宋体"/>
          <w:sz w:val="24"/>
          <w:szCs w:val="24"/>
          <w:lang w:val="en-US" w:eastAsia="zh-CN"/>
        </w:rPr>
        <w:t>一般</w:t>
      </w:r>
      <w:r>
        <w:rPr>
          <w:rFonts w:hint="eastAsia" w:ascii="宋体" w:hAnsi="宋体"/>
          <w:sz w:val="24"/>
          <w:szCs w:val="24"/>
        </w:rPr>
        <w:t>性</w:t>
      </w:r>
      <w:r>
        <w:rPr>
          <w:rFonts w:hint="eastAsia" w:ascii="宋体" w:hAnsi="宋体"/>
          <w:sz w:val="24"/>
          <w:szCs w:val="24"/>
          <w:lang w:val="en-US" w:eastAsia="zh-CN"/>
        </w:rPr>
        <w:t>技术要求</w:t>
      </w:r>
      <w:r>
        <w:rPr>
          <w:rFonts w:hint="eastAsia" w:ascii="宋体" w:hAnsi="宋体"/>
          <w:sz w:val="24"/>
          <w:szCs w:val="24"/>
        </w:rPr>
        <w:t>响应一览表</w:t>
      </w:r>
      <w:r>
        <w:rPr>
          <w:rFonts w:hint="eastAsia" w:ascii="宋体" w:hAnsi="宋体"/>
          <w:sz w:val="24"/>
          <w:szCs w:val="24"/>
          <w:lang w:eastAsia="zh-CN"/>
        </w:rPr>
        <w:t>（</w:t>
      </w:r>
      <w:r>
        <w:rPr>
          <w:rFonts w:hint="eastAsia" w:ascii="宋体" w:hAnsi="宋体"/>
          <w:sz w:val="24"/>
          <w:szCs w:val="24"/>
          <w:lang w:val="en-US" w:eastAsia="zh-CN"/>
        </w:rPr>
        <w:t>按采购文件为准</w:t>
      </w:r>
      <w:r>
        <w:rPr>
          <w:rFonts w:hint="eastAsia" w:ascii="宋体" w:hAnsi="宋体"/>
          <w:sz w:val="24"/>
          <w:szCs w:val="24"/>
          <w:lang w:eastAsia="zh-CN"/>
        </w:rPr>
        <w:t>）</w:t>
      </w:r>
    </w:p>
    <w:tbl>
      <w:tblPr>
        <w:tblStyle w:val="11"/>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017"/>
        <w:gridCol w:w="126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序号</w:t>
            </w:r>
          </w:p>
        </w:tc>
        <w:tc>
          <w:tcPr>
            <w:tcW w:w="701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lang w:val="en-US" w:eastAsia="zh-CN"/>
              </w:rPr>
              <w:t>一般</w:t>
            </w:r>
            <w:r>
              <w:rPr>
                <w:rFonts w:hint="eastAsia" w:ascii="宋体" w:hAnsi="宋体"/>
                <w:sz w:val="24"/>
                <w:szCs w:val="24"/>
              </w:rPr>
              <w:t>性</w:t>
            </w:r>
            <w:r>
              <w:rPr>
                <w:rFonts w:hint="eastAsia" w:ascii="宋体" w:hAnsi="宋体"/>
                <w:sz w:val="24"/>
                <w:szCs w:val="24"/>
                <w:lang w:val="en-US" w:eastAsia="zh-CN"/>
              </w:rPr>
              <w:t>技术要求</w:t>
            </w:r>
            <w:r>
              <w:rPr>
                <w:rFonts w:hint="eastAsia" w:ascii="宋体" w:hAnsi="宋体"/>
                <w:sz w:val="24"/>
                <w:szCs w:val="24"/>
              </w:rPr>
              <w:t>响应条款</w:t>
            </w:r>
          </w:p>
        </w:tc>
        <w:tc>
          <w:tcPr>
            <w:tcW w:w="12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投标人响应情况</w:t>
            </w:r>
          </w:p>
        </w:tc>
        <w:tc>
          <w:tcPr>
            <w:tcW w:w="11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sz w:val="24"/>
                <w:szCs w:val="24"/>
              </w:rPr>
            </w:pPr>
            <w:r>
              <w:rPr>
                <w:rFonts w:hint="eastAsia" w:ascii="宋体" w:hAnsi="宋体" w:cs="宋体"/>
                <w:i w:val="0"/>
                <w:iCs w:val="0"/>
                <w:color w:val="000000"/>
                <w:kern w:val="0"/>
                <w:sz w:val="22"/>
                <w:szCs w:val="22"/>
                <w:u w:val="none"/>
                <w:lang w:val="en-US" w:eastAsia="zh-CN" w:bidi="ar"/>
              </w:rPr>
              <w:t>1</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（一）服务范围</w:t>
            </w:r>
          </w:p>
          <w:p>
            <w:pPr>
              <w:pStyle w:val="20"/>
              <w:jc w:val="left"/>
              <w:rPr>
                <w:rFonts w:hint="default"/>
                <w:b/>
                <w:sz w:val="21"/>
                <w:u w:val="single"/>
                <w:lang w:val="en-US" w:eastAsia="zh-CN"/>
              </w:rPr>
            </w:pPr>
            <w:r>
              <w:rPr>
                <w:rFonts w:hint="default"/>
                <w:b/>
                <w:lang w:val="en-US" w:eastAsia="zh-CN"/>
              </w:rPr>
              <w:t>服务范围：全院临床科室，包括但不限于：老年科一区、老年科二区、神经内科、临床心理科、精神障碍科男区、精神障碍科女区、情感障碍科男区、情感障碍科女区、救助病区等临床科室或有需要的部门。</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sz w:val="24"/>
                <w:szCs w:val="24"/>
                <w:lang w:val="en-US" w:eastAsia="zh-CN"/>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eastAsia"/>
                <w:b/>
                <w:lang w:val="en-US" w:eastAsia="zh-CN"/>
              </w:rPr>
            </w:pPr>
            <w:r>
              <w:rPr>
                <w:rFonts w:hint="eastAsia"/>
                <w:b/>
                <w:lang w:val="en-US" w:eastAsia="zh-CN"/>
              </w:rPr>
              <w:t>（二）服务内容及要求</w:t>
            </w:r>
          </w:p>
          <w:p>
            <w:pPr>
              <w:pStyle w:val="20"/>
              <w:jc w:val="left"/>
              <w:rPr>
                <w:rFonts w:hint="eastAsia"/>
                <w:b/>
                <w:lang w:val="en-US" w:eastAsia="zh-CN"/>
              </w:rPr>
            </w:pPr>
            <w:r>
              <w:rPr>
                <w:rFonts w:hint="eastAsia"/>
                <w:b/>
                <w:lang w:val="en-US" w:eastAsia="zh-CN"/>
              </w:rPr>
              <w:t>1.住院患者陪护服务：医院范围内中标供应商承担采购人的住院患者的非医疗技术性生活护理服务，为患者提供24小时陪护服务。陪护服务包括以下两部分：</w:t>
            </w:r>
          </w:p>
          <w:p>
            <w:pPr>
              <w:pStyle w:val="20"/>
              <w:jc w:val="left"/>
              <w:rPr>
                <w:rFonts w:hint="eastAsia"/>
                <w:b/>
                <w:lang w:val="en-US" w:eastAsia="zh-CN"/>
              </w:rPr>
            </w:pPr>
            <w:r>
              <w:rPr>
                <w:rFonts w:hint="eastAsia"/>
                <w:b/>
                <w:lang w:val="en-US" w:eastAsia="zh-CN"/>
              </w:rPr>
              <w:t>（1）医院付费部分</w:t>
            </w:r>
          </w:p>
          <w:p>
            <w:pPr>
              <w:pStyle w:val="20"/>
              <w:jc w:val="left"/>
              <w:rPr>
                <w:rFonts w:hint="eastAsia"/>
                <w:b/>
                <w:lang w:val="en-US" w:eastAsia="zh-CN"/>
              </w:rPr>
            </w:pPr>
            <w:r>
              <w:rPr>
                <w:rFonts w:hint="eastAsia"/>
                <w:b/>
                <w:lang w:val="en-US" w:eastAsia="zh-CN"/>
              </w:rPr>
              <w:t>1）中标供应商根据采购人的需求，为有需要的科室配置固定护工，按采购人的排班及岗位职责完成基础服务以及患者陪护服务工作，提供24小时服务，由医院按实际护工出勤天数支付费用。</w:t>
            </w:r>
          </w:p>
          <w:p>
            <w:pPr>
              <w:pStyle w:val="20"/>
              <w:jc w:val="left"/>
              <w:rPr>
                <w:rFonts w:hint="eastAsia"/>
                <w:b/>
                <w:lang w:val="en-US" w:eastAsia="zh-CN"/>
              </w:rPr>
            </w:pPr>
            <w:r>
              <w:rPr>
                <w:rFonts w:hint="eastAsia"/>
                <w:b/>
                <w:lang w:val="en-US" w:eastAsia="zh-CN"/>
              </w:rPr>
              <w:t>2）在临床各科室包括神经内科在内的救助、托养或特困患者，由陪护公司安排护工协助照护，产生的陪护费（按相关收费标准及实际陪护天数）每月由医院代收代支方式支付。</w:t>
            </w:r>
          </w:p>
          <w:p>
            <w:pPr>
              <w:pStyle w:val="20"/>
              <w:jc w:val="left"/>
              <w:rPr>
                <w:rFonts w:hint="eastAsia"/>
                <w:b/>
                <w:lang w:val="en-US" w:eastAsia="zh-CN"/>
              </w:rPr>
            </w:pPr>
            <w:r>
              <w:rPr>
                <w:rFonts w:hint="eastAsia"/>
                <w:b/>
                <w:lang w:val="en-US" w:eastAsia="zh-CN"/>
              </w:rPr>
              <w:t>（2）患者付费部分：根据患者或家属的需要，在平等自愿、诚实信用的基础上，中标供应商与有需要的患者签订协议，以“一对一”或“一对N”的模式开展陪护服务，提供24小时服务。</w:t>
            </w:r>
          </w:p>
          <w:p>
            <w:pPr>
              <w:pStyle w:val="20"/>
              <w:jc w:val="left"/>
              <w:rPr>
                <w:rFonts w:hint="eastAsia"/>
                <w:b/>
                <w:lang w:val="en-US" w:eastAsia="zh-CN"/>
              </w:rPr>
            </w:pPr>
            <w:r>
              <w:rPr>
                <w:rFonts w:hint="eastAsia"/>
                <w:b/>
                <w:lang w:val="en-US" w:eastAsia="zh-CN"/>
              </w:rPr>
              <w:t>2.科室基础服务：</w:t>
            </w:r>
          </w:p>
          <w:p>
            <w:pPr>
              <w:pStyle w:val="20"/>
              <w:jc w:val="left"/>
              <w:rPr>
                <w:rFonts w:hint="eastAsia"/>
                <w:b/>
                <w:lang w:val="en-US" w:eastAsia="zh-CN"/>
              </w:rPr>
            </w:pPr>
            <w:r>
              <w:rPr>
                <w:rFonts w:hint="eastAsia"/>
                <w:b/>
                <w:lang w:val="en-US" w:eastAsia="zh-CN"/>
              </w:rPr>
              <w:t>（1）中标供应商根据医院需要，配置固定护工，按科室排班及岗位职责完成科室基础服务工作。</w:t>
            </w:r>
          </w:p>
          <w:p>
            <w:pPr>
              <w:pStyle w:val="20"/>
              <w:jc w:val="left"/>
              <w:rPr>
                <w:rFonts w:hint="eastAsia"/>
                <w:b/>
                <w:lang w:val="en-US" w:eastAsia="zh-CN"/>
              </w:rPr>
            </w:pPr>
            <w:r>
              <w:rPr>
                <w:rFonts w:hint="eastAsia"/>
                <w:b/>
                <w:lang w:val="en-US" w:eastAsia="zh-CN"/>
              </w:rPr>
              <w:t>（2）服务内容不限于协助护士执行晨晚间护理、保持床单及病房整洁、及时更换处理污湿床单被服，协助病区患者带检、送标本、派餐、协助病区做好探视管理、患者出入门口管理、被服管理、床单位清洁消毒、协助护士进行尸体料理等工作。</w:t>
            </w:r>
          </w:p>
          <w:p>
            <w:pPr>
              <w:pStyle w:val="20"/>
              <w:jc w:val="left"/>
              <w:rPr>
                <w:rFonts w:hint="eastAsia"/>
                <w:b/>
                <w:lang w:val="en-US" w:eastAsia="zh-CN"/>
              </w:rPr>
            </w:pPr>
            <w:r>
              <w:rPr>
                <w:rFonts w:hint="eastAsia"/>
                <w:b/>
                <w:lang w:val="en-US" w:eastAsia="zh-CN"/>
              </w:rPr>
              <w:t>3.陪人床租赁服务：中标供应商在科室投放陪人床，供有需要的住院患者家属租赁使用，陪人床的日常维保及清洁消毒等工作由中标供应商负责。陪人床租赁服务所产生的投放成本及日常各项管理费用全部由中标供应商承担。</w:t>
            </w:r>
          </w:p>
          <w:p>
            <w:pPr>
              <w:pStyle w:val="20"/>
              <w:jc w:val="left"/>
              <w:rPr>
                <w:rFonts w:hint="eastAsia"/>
                <w:b/>
                <w:lang w:val="en-US" w:eastAsia="zh-CN"/>
              </w:rPr>
            </w:pPr>
            <w:r>
              <w:rPr>
                <w:rFonts w:hint="eastAsia"/>
                <w:b/>
                <w:lang w:val="en-US" w:eastAsia="zh-CN"/>
              </w:rPr>
              <w:t>4.遗体转运服务：在采购单位太平间主管部门的管理下，承担逝者（亡者）遗体转运及太平间尸体转运后清洁、消毒工作。与我院太平间管理职能部门签署遗体转运服务协议书，按主管部门的质量要求履行遗体转运服务。</w:t>
            </w:r>
          </w:p>
          <w:p>
            <w:pPr>
              <w:pStyle w:val="20"/>
              <w:jc w:val="left"/>
              <w:rPr>
                <w:rFonts w:hint="eastAsia"/>
                <w:b/>
                <w:lang w:val="en-US" w:eastAsia="zh-CN"/>
              </w:rPr>
            </w:pPr>
            <w:r>
              <w:rPr>
                <w:rFonts w:hint="eastAsia"/>
                <w:b/>
                <w:lang w:val="en-US" w:eastAsia="zh-CN"/>
              </w:rPr>
              <w:t>5.本项目服务不包含任何医疗技术性的工作。</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b/>
                <w:sz w:val="21"/>
                <w:u w:val="singl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（三）整体服务要求</w:t>
            </w:r>
          </w:p>
          <w:p>
            <w:pPr>
              <w:pStyle w:val="20"/>
              <w:jc w:val="left"/>
              <w:rPr>
                <w:rFonts w:hint="default"/>
                <w:b/>
                <w:lang w:val="en-US" w:eastAsia="zh-CN"/>
              </w:rPr>
            </w:pPr>
            <w:r>
              <w:rPr>
                <w:rFonts w:hint="default"/>
                <w:b/>
                <w:lang w:val="en-US" w:eastAsia="zh-CN"/>
              </w:rPr>
              <w:t>2.中标供应商应积极组织服务人员参加岗前培训考核和岗位培训考核，服务人员提供服务时应佩戴中标供应商统一证件，并着统一工作服。</w:t>
            </w:r>
          </w:p>
          <w:p>
            <w:pPr>
              <w:pStyle w:val="20"/>
              <w:jc w:val="left"/>
              <w:rPr>
                <w:rFonts w:hint="default"/>
                <w:b/>
                <w:lang w:val="en-US" w:eastAsia="zh-CN"/>
              </w:rPr>
            </w:pPr>
            <w:r>
              <w:rPr>
                <w:rFonts w:hint="default"/>
                <w:b/>
                <w:lang w:val="en-US" w:eastAsia="zh-CN"/>
              </w:rPr>
              <w:t>3.中标供应商应根据采购人的实际工作需要配备相应数量的具有相关管理经验的专职管理人员，对在采购人医疗服务区域内提供陪护服务的人员和服务内容实行管理，保证服务人员工作有序规范地稳健运行。</w:t>
            </w:r>
          </w:p>
          <w:p>
            <w:pPr>
              <w:pStyle w:val="20"/>
              <w:jc w:val="left"/>
              <w:rPr>
                <w:rFonts w:hint="default"/>
                <w:b/>
                <w:lang w:val="en-US" w:eastAsia="zh-CN"/>
              </w:rPr>
            </w:pPr>
            <w:r>
              <w:rPr>
                <w:rFonts w:hint="default"/>
                <w:b/>
                <w:lang w:val="en-US" w:eastAsia="zh-CN"/>
              </w:rPr>
              <w:t>4.中标供应商在采购人的医疗服务区域范围内开展陪护项目管理活动时，其使用的印章、标识、标牌、各种宣传资料不得以采购人的名义，不得向患者和家属做出与采购人有隶属、代理等关系的误导宣传，中标供应商人员着装配饰也应当明显区别于采购人员工所使用的服装及配饰，以免患者及家属产生混淆。</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（四）护工/陪护人员的行为要求</w:t>
            </w:r>
          </w:p>
          <w:p>
            <w:pPr>
              <w:pStyle w:val="20"/>
              <w:jc w:val="left"/>
              <w:rPr>
                <w:rFonts w:hint="default"/>
                <w:b/>
                <w:lang w:val="en-US" w:eastAsia="zh-CN"/>
              </w:rPr>
            </w:pPr>
            <w:r>
              <w:rPr>
                <w:rFonts w:hint="default"/>
                <w:b/>
                <w:lang w:val="en-US" w:eastAsia="zh-CN"/>
              </w:rPr>
              <w:t>1.统一着装，佩戴工牌，衣服合身，鞋袜洁净，工作服的领口、袖口、裤脚口不能暴露个人着装。</w:t>
            </w:r>
          </w:p>
          <w:p>
            <w:pPr>
              <w:pStyle w:val="20"/>
              <w:jc w:val="left"/>
              <w:rPr>
                <w:rFonts w:hint="default"/>
                <w:b/>
                <w:lang w:val="en-US" w:eastAsia="zh-CN"/>
              </w:rPr>
            </w:pPr>
            <w:r>
              <w:rPr>
                <w:rFonts w:hint="default"/>
                <w:b/>
                <w:lang w:val="en-US" w:eastAsia="zh-CN"/>
              </w:rPr>
              <w:t>2.仪表端庄，不佩戴饰品，如手链、戒指等；不穿高跟鞋、拖鞋；头发、手部清洁，不留长指甲、不做美甲，长发挽起。</w:t>
            </w:r>
          </w:p>
          <w:p>
            <w:pPr>
              <w:pStyle w:val="20"/>
              <w:jc w:val="left"/>
              <w:rPr>
                <w:rFonts w:hint="default"/>
                <w:b/>
                <w:lang w:val="en-US" w:eastAsia="zh-CN"/>
              </w:rPr>
            </w:pPr>
            <w:r>
              <w:rPr>
                <w:rFonts w:hint="default"/>
                <w:b/>
                <w:lang w:val="en-US" w:eastAsia="zh-CN"/>
              </w:rPr>
              <w:t>3.言行举止端庄、大方，表情自然、亲切，使用文明礼貌语言，走路、说话、开关门动作要轻。</w:t>
            </w:r>
          </w:p>
          <w:p>
            <w:pPr>
              <w:pStyle w:val="20"/>
              <w:jc w:val="left"/>
              <w:rPr>
                <w:rFonts w:hint="default"/>
                <w:b/>
                <w:lang w:val="en-US" w:eastAsia="zh-CN"/>
              </w:rPr>
            </w:pPr>
            <w:r>
              <w:rPr>
                <w:rFonts w:hint="default"/>
                <w:b/>
                <w:lang w:val="en-US" w:eastAsia="zh-CN"/>
              </w:rPr>
              <w:t>4.工作期间不得离岗、串岗、玩手机、聚众聊天，不得从事与工作无关的活动。</w:t>
            </w:r>
          </w:p>
          <w:p>
            <w:pPr>
              <w:pStyle w:val="20"/>
              <w:jc w:val="left"/>
              <w:rPr>
                <w:rFonts w:hint="default"/>
                <w:b/>
                <w:lang w:val="en-US" w:eastAsia="zh-CN"/>
              </w:rPr>
            </w:pPr>
            <w:r>
              <w:rPr>
                <w:rFonts w:hint="default"/>
                <w:b/>
                <w:lang w:val="en-US" w:eastAsia="zh-CN"/>
              </w:rPr>
              <w:t>5.对患者有爱心、细心和耐心，避免过激语言和动作粗鲁；对于冲动行为患者，不要单独接触，要做好自我保护；严禁打骂患者。</w:t>
            </w:r>
          </w:p>
          <w:p>
            <w:pPr>
              <w:pStyle w:val="20"/>
              <w:jc w:val="left"/>
              <w:rPr>
                <w:rFonts w:hint="default"/>
                <w:b/>
                <w:lang w:val="en-US" w:eastAsia="zh-CN"/>
              </w:rPr>
            </w:pPr>
            <w:r>
              <w:rPr>
                <w:rFonts w:hint="default"/>
                <w:b/>
                <w:lang w:val="en-US" w:eastAsia="zh-CN"/>
              </w:rPr>
              <w:t>6.加强安全意识。注意巡视和观察，发现患者有异常行为要及时报告医务人员并协同 处理；经常检查患者身上和床铺以及周围环境有无不安全因素，如刀、剪、绳、针、 烟、火机、筷子、玻璃、金属器具、清洁用具、消毒液等，如有发现应及时清理并 上交医务人员；严禁把病区锁匙交给患者，出入要锁好门；陪伴患者院内检查或散步时更要时刻贴身陪护，不能坐在医院大门附近、路边及车道两旁。</w:t>
            </w:r>
          </w:p>
          <w:p>
            <w:pPr>
              <w:pStyle w:val="20"/>
              <w:jc w:val="left"/>
              <w:rPr>
                <w:rFonts w:hint="default"/>
                <w:b/>
                <w:lang w:val="en-US" w:eastAsia="zh-CN"/>
              </w:rPr>
            </w:pPr>
            <w:r>
              <w:rPr>
                <w:rFonts w:hint="default"/>
                <w:b/>
                <w:lang w:val="en-US" w:eastAsia="zh-CN"/>
              </w:rPr>
              <w:t>7.严禁为患者购买烟、火机、酒、食物以及生活用品；不得在病房内煮食、会客、吸烟、喝酒、赌博、打闹 ；不坐、卧病床，不得躺在病房地上睡觉；夜间应按时关灯、关电视。</w:t>
            </w:r>
          </w:p>
          <w:p>
            <w:pPr>
              <w:pStyle w:val="20"/>
              <w:jc w:val="left"/>
              <w:rPr>
                <w:rFonts w:hint="default"/>
                <w:b/>
                <w:lang w:val="en-US" w:eastAsia="zh-CN"/>
              </w:rPr>
            </w:pPr>
            <w:r>
              <w:rPr>
                <w:rFonts w:hint="default"/>
                <w:b/>
                <w:lang w:val="en-US" w:eastAsia="zh-CN"/>
              </w:rPr>
              <w:t>8.不得翻阅病历及其他医疗文件，不私自给患者解释病情。</w:t>
            </w:r>
          </w:p>
          <w:p>
            <w:pPr>
              <w:pStyle w:val="20"/>
              <w:jc w:val="left"/>
              <w:rPr>
                <w:rFonts w:hint="default"/>
                <w:b/>
                <w:lang w:val="en-US" w:eastAsia="zh-CN"/>
              </w:rPr>
            </w:pPr>
            <w:r>
              <w:rPr>
                <w:rFonts w:hint="default"/>
                <w:b/>
                <w:lang w:val="en-US" w:eastAsia="zh-CN"/>
              </w:rPr>
              <w:t>9.工作期间不得擅自离开患者，如遇特殊情况必须外出时，须征得医护人员或患者家属同意，采取好安全措施后方可离开。离开患者超过30分钟，除向医护人员请假外还须向中标供应商的项目经理请假，必要时由中标供应商派人临时替岗。</w:t>
            </w:r>
          </w:p>
          <w:p>
            <w:pPr>
              <w:pStyle w:val="20"/>
              <w:jc w:val="left"/>
              <w:rPr>
                <w:rFonts w:hint="default"/>
                <w:b/>
                <w:lang w:val="en-US" w:eastAsia="zh-CN"/>
              </w:rPr>
            </w:pPr>
            <w:r>
              <w:rPr>
                <w:rFonts w:hint="default"/>
                <w:b/>
                <w:lang w:val="en-US" w:eastAsia="zh-CN"/>
              </w:rPr>
              <w:t>10.护工及24小时陪护人员除自用的餐具和洗漱用品外，不能将个人生活用品及危险品 （如水果刀）带入病房内；上岗期间物品摆放整齐，不要随处乱放，下岗后必须及时离开病房并带走个人用品。</w:t>
            </w:r>
          </w:p>
          <w:p>
            <w:pPr>
              <w:pStyle w:val="20"/>
              <w:jc w:val="left"/>
              <w:rPr>
                <w:rFonts w:hint="default"/>
                <w:b/>
                <w:lang w:val="en-US" w:eastAsia="zh-CN"/>
              </w:rPr>
            </w:pPr>
            <w:r>
              <w:rPr>
                <w:rFonts w:hint="default"/>
                <w:b/>
                <w:lang w:val="en-US" w:eastAsia="zh-CN"/>
              </w:rPr>
              <w:t>11.爱护医院各项设施，不准私拿、外卖医院的任何物品。</w:t>
            </w:r>
          </w:p>
          <w:p>
            <w:pPr>
              <w:pStyle w:val="20"/>
              <w:jc w:val="left"/>
              <w:rPr>
                <w:rFonts w:hint="default"/>
                <w:b/>
                <w:lang w:val="en-US" w:eastAsia="zh-CN"/>
              </w:rPr>
            </w:pPr>
            <w:r>
              <w:rPr>
                <w:rFonts w:hint="default"/>
                <w:b/>
                <w:lang w:val="en-US" w:eastAsia="zh-CN"/>
              </w:rPr>
              <w:t>12.备岗人员应在指定地点备岗，服从派岗，并按规定时间上岗。不允许私自进入病房找工作，不得私自介绍熟人进入病房做护工及陪护员。不得私自接陪其他患者和收患者陪护费。</w:t>
            </w:r>
          </w:p>
          <w:p>
            <w:pPr>
              <w:pStyle w:val="20"/>
              <w:jc w:val="left"/>
              <w:rPr>
                <w:rFonts w:hint="default"/>
                <w:b/>
                <w:lang w:val="en-US" w:eastAsia="zh-CN"/>
              </w:rPr>
            </w:pPr>
            <w:r>
              <w:rPr>
                <w:rFonts w:hint="default"/>
                <w:b/>
                <w:lang w:val="en-US" w:eastAsia="zh-CN"/>
              </w:rPr>
              <w:t>13.严禁向患者、家属索取红包和增加陪护费，不准接受患者财物，不吃患者的食物。</w:t>
            </w:r>
          </w:p>
          <w:p>
            <w:pPr>
              <w:pStyle w:val="20"/>
              <w:jc w:val="left"/>
              <w:rPr>
                <w:rFonts w:hint="default"/>
                <w:b/>
                <w:lang w:val="en-US" w:eastAsia="zh-CN"/>
              </w:rPr>
            </w:pPr>
            <w:r>
              <w:rPr>
                <w:rFonts w:hint="default"/>
                <w:b/>
                <w:lang w:val="en-US" w:eastAsia="zh-CN"/>
              </w:rPr>
              <w:t>14.严格遵守做好患者相关信息保密。陪护工作人员因执行本职工作而获取、掌握的患者相关信息（包括姓名、住址、联系电话等一切可以联系到患者家属的信息和途径）不得利用此保密信息从事与工作无关的事情，不得披露给第三人。陪护工作人员非因执行本职工作而获取、掌握的患者信息，同样不得利用此保密信息从事与工作无关的事情，不得披露给第三人。</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（五）照护服务质量标准</w:t>
            </w:r>
          </w:p>
          <w:p>
            <w:pPr>
              <w:pStyle w:val="20"/>
              <w:jc w:val="left"/>
              <w:rPr>
                <w:rFonts w:hint="default"/>
                <w:b/>
                <w:lang w:val="en-US" w:eastAsia="zh-CN"/>
              </w:rPr>
            </w:pPr>
            <w:r>
              <w:rPr>
                <w:rFonts w:hint="default"/>
                <w:b/>
                <w:lang w:val="en-US" w:eastAsia="zh-CN"/>
              </w:rPr>
              <w:t>一）生活照护</w:t>
            </w:r>
          </w:p>
          <w:p>
            <w:pPr>
              <w:pStyle w:val="20"/>
              <w:jc w:val="left"/>
              <w:rPr>
                <w:rFonts w:hint="default"/>
                <w:b/>
                <w:lang w:val="en-US" w:eastAsia="zh-CN"/>
              </w:rPr>
            </w:pPr>
            <w:r>
              <w:rPr>
                <w:rFonts w:hint="default"/>
                <w:b/>
                <w:lang w:val="en-US" w:eastAsia="zh-CN"/>
              </w:rPr>
              <w:t>1.清洁照护</w:t>
            </w:r>
          </w:p>
          <w:p>
            <w:pPr>
              <w:pStyle w:val="20"/>
              <w:jc w:val="left"/>
              <w:rPr>
                <w:rFonts w:hint="default"/>
                <w:b/>
                <w:lang w:val="en-US" w:eastAsia="zh-CN"/>
              </w:rPr>
            </w:pPr>
            <w:r>
              <w:rPr>
                <w:rFonts w:hint="default"/>
                <w:b/>
                <w:lang w:val="en-US" w:eastAsia="zh-CN"/>
              </w:rPr>
              <w:t xml:space="preserve">（1）患者身体清洁，无异味。 </w:t>
            </w:r>
          </w:p>
          <w:p>
            <w:pPr>
              <w:pStyle w:val="20"/>
              <w:jc w:val="left"/>
              <w:rPr>
                <w:rFonts w:hint="default"/>
                <w:b/>
                <w:lang w:val="en-US" w:eastAsia="zh-CN"/>
              </w:rPr>
            </w:pPr>
            <w:r>
              <w:rPr>
                <w:rFonts w:hint="default"/>
                <w:b/>
                <w:lang w:val="en-US" w:eastAsia="zh-CN"/>
              </w:rPr>
              <w:t>1）每日协助患者完成晨晚间护理，保持患者衣服、头发、面部、口腔、会阴部、手足清洁。</w:t>
            </w:r>
          </w:p>
          <w:p>
            <w:pPr>
              <w:pStyle w:val="20"/>
              <w:jc w:val="left"/>
              <w:rPr>
                <w:rFonts w:hint="default"/>
                <w:b/>
                <w:lang w:val="en-US" w:eastAsia="zh-CN"/>
              </w:rPr>
            </w:pPr>
            <w:r>
              <w:rPr>
                <w:rFonts w:hint="default"/>
                <w:b/>
                <w:lang w:val="en-US" w:eastAsia="zh-CN"/>
              </w:rPr>
              <w:t>2）男性及时剃须，未刮伤患者皮肤。</w:t>
            </w:r>
          </w:p>
          <w:p>
            <w:pPr>
              <w:pStyle w:val="20"/>
              <w:jc w:val="left"/>
              <w:rPr>
                <w:rFonts w:hint="default"/>
                <w:b/>
                <w:lang w:val="en-US" w:eastAsia="zh-CN"/>
              </w:rPr>
            </w:pPr>
            <w:r>
              <w:rPr>
                <w:rFonts w:hint="default"/>
                <w:b/>
                <w:lang w:val="en-US" w:eastAsia="zh-CN"/>
              </w:rPr>
              <w:t>3）指甲修剪整齐，无过长或过短。</w:t>
            </w:r>
          </w:p>
          <w:p>
            <w:pPr>
              <w:pStyle w:val="20"/>
              <w:jc w:val="left"/>
              <w:rPr>
                <w:rFonts w:hint="default"/>
                <w:b/>
                <w:lang w:val="en-US" w:eastAsia="zh-CN"/>
              </w:rPr>
            </w:pPr>
            <w:r>
              <w:rPr>
                <w:rFonts w:hint="default"/>
                <w:b/>
                <w:lang w:val="en-US" w:eastAsia="zh-CN"/>
              </w:rPr>
              <w:t>4）佩戴义齿的患者，不佩戴时能及时浸泡在冷水中，并每日换水。</w:t>
            </w:r>
          </w:p>
          <w:p>
            <w:pPr>
              <w:pStyle w:val="20"/>
              <w:jc w:val="left"/>
              <w:rPr>
                <w:rFonts w:hint="default"/>
                <w:b/>
                <w:lang w:val="en-US" w:eastAsia="zh-CN"/>
              </w:rPr>
            </w:pPr>
            <w:r>
              <w:rPr>
                <w:rFonts w:hint="default"/>
                <w:b/>
                <w:lang w:val="en-US" w:eastAsia="zh-CN"/>
              </w:rPr>
              <w:t>5）患者衣服/鞋袜整洁、干燥、合适，鞋子防滑。</w:t>
            </w:r>
          </w:p>
          <w:p>
            <w:pPr>
              <w:pStyle w:val="20"/>
              <w:jc w:val="left"/>
              <w:rPr>
                <w:rFonts w:hint="default"/>
                <w:b/>
                <w:lang w:val="en-US" w:eastAsia="zh-CN"/>
              </w:rPr>
            </w:pPr>
            <w:r>
              <w:rPr>
                <w:rFonts w:hint="default"/>
                <w:b/>
                <w:lang w:val="en-US" w:eastAsia="zh-CN"/>
              </w:rPr>
              <w:t>（2）床单位整洁、平整、干燥、无碎屑，尿垫平整干燥、无皱褶。</w:t>
            </w:r>
          </w:p>
          <w:p>
            <w:pPr>
              <w:pStyle w:val="20"/>
              <w:jc w:val="left"/>
              <w:rPr>
                <w:rFonts w:hint="default"/>
                <w:b/>
                <w:lang w:val="en-US" w:eastAsia="zh-CN"/>
              </w:rPr>
            </w:pPr>
            <w:r>
              <w:rPr>
                <w:rFonts w:hint="default"/>
                <w:b/>
                <w:lang w:val="en-US" w:eastAsia="zh-CN"/>
              </w:rPr>
              <w:t>（3）病室环境整洁。</w:t>
            </w:r>
          </w:p>
          <w:p>
            <w:pPr>
              <w:pStyle w:val="20"/>
              <w:jc w:val="left"/>
              <w:rPr>
                <w:rFonts w:hint="default"/>
                <w:b/>
                <w:lang w:val="en-US" w:eastAsia="zh-CN"/>
              </w:rPr>
            </w:pPr>
            <w:r>
              <w:rPr>
                <w:rFonts w:hint="default"/>
                <w:b/>
                <w:lang w:val="en-US" w:eastAsia="zh-CN"/>
              </w:rPr>
              <w:t>1）病室物品摆放整齐，床头柜、床底下无堆放杂物。</w:t>
            </w:r>
          </w:p>
          <w:p>
            <w:pPr>
              <w:pStyle w:val="20"/>
              <w:jc w:val="left"/>
              <w:rPr>
                <w:rFonts w:hint="default"/>
                <w:b/>
                <w:lang w:val="en-US" w:eastAsia="zh-CN"/>
              </w:rPr>
            </w:pPr>
            <w:r>
              <w:rPr>
                <w:rFonts w:hint="default"/>
                <w:b/>
                <w:lang w:val="en-US" w:eastAsia="zh-CN"/>
              </w:rPr>
              <w:t>2）保持室内空气流通，温度和光线适宜。</w:t>
            </w:r>
          </w:p>
          <w:p>
            <w:pPr>
              <w:pStyle w:val="20"/>
              <w:jc w:val="left"/>
              <w:rPr>
                <w:rFonts w:hint="default"/>
                <w:b/>
                <w:lang w:val="en-US" w:eastAsia="zh-CN"/>
              </w:rPr>
            </w:pPr>
            <w:r>
              <w:rPr>
                <w:rFonts w:hint="default"/>
                <w:b/>
                <w:lang w:val="en-US" w:eastAsia="zh-CN"/>
              </w:rPr>
              <w:t>2.饮食、饮水照护</w:t>
            </w:r>
          </w:p>
          <w:p>
            <w:pPr>
              <w:pStyle w:val="20"/>
              <w:jc w:val="left"/>
              <w:rPr>
                <w:rFonts w:hint="default"/>
                <w:b/>
                <w:lang w:val="en-US" w:eastAsia="zh-CN"/>
              </w:rPr>
            </w:pPr>
            <w:r>
              <w:rPr>
                <w:rFonts w:hint="default"/>
                <w:b/>
                <w:lang w:val="en-US" w:eastAsia="zh-CN"/>
              </w:rPr>
              <w:t>（1）餐前协助患者洗手，餐具备齐且清洁，患者进食体位正确。</w:t>
            </w:r>
          </w:p>
          <w:p>
            <w:pPr>
              <w:pStyle w:val="20"/>
              <w:jc w:val="left"/>
              <w:rPr>
                <w:rFonts w:hint="default"/>
                <w:b/>
                <w:lang w:val="en-US" w:eastAsia="zh-CN"/>
              </w:rPr>
            </w:pPr>
            <w:r>
              <w:rPr>
                <w:rFonts w:hint="default"/>
                <w:b/>
                <w:lang w:val="en-US" w:eastAsia="zh-CN"/>
              </w:rPr>
              <w:t>（2）患者用餐环境安静、舒适、卫生，进餐过程中不与患者频繁讲话。</w:t>
            </w:r>
          </w:p>
          <w:p>
            <w:pPr>
              <w:pStyle w:val="20"/>
              <w:jc w:val="left"/>
              <w:rPr>
                <w:rFonts w:hint="default"/>
                <w:b/>
                <w:lang w:val="en-US" w:eastAsia="zh-CN"/>
              </w:rPr>
            </w:pPr>
            <w:r>
              <w:rPr>
                <w:rFonts w:hint="default"/>
                <w:b/>
                <w:lang w:val="en-US" w:eastAsia="zh-CN"/>
              </w:rPr>
              <w:t>（3）患者的进食类别与医生医嘱相符，如患者自带食物与医嘱不相符时需咨询医护人员。</w:t>
            </w:r>
          </w:p>
          <w:p>
            <w:pPr>
              <w:pStyle w:val="20"/>
              <w:jc w:val="left"/>
              <w:rPr>
                <w:rFonts w:hint="default"/>
                <w:b/>
                <w:lang w:val="en-US" w:eastAsia="zh-CN"/>
              </w:rPr>
            </w:pPr>
            <w:r>
              <w:rPr>
                <w:rFonts w:hint="default"/>
                <w:b/>
                <w:lang w:val="en-US" w:eastAsia="zh-CN"/>
              </w:rPr>
              <w:t>（4）喂食/水前确认食物/水的温度适宜，必要时加热食物，喂食/水的速度适中，避免呛噎。</w:t>
            </w:r>
          </w:p>
          <w:p>
            <w:pPr>
              <w:pStyle w:val="20"/>
              <w:jc w:val="left"/>
              <w:rPr>
                <w:rFonts w:hint="default"/>
                <w:b/>
                <w:lang w:val="en-US" w:eastAsia="zh-CN"/>
              </w:rPr>
            </w:pPr>
            <w:r>
              <w:rPr>
                <w:rFonts w:hint="default"/>
                <w:b/>
                <w:lang w:val="en-US" w:eastAsia="zh-CN"/>
              </w:rPr>
              <w:t>（5）进食过程中能关注到患者有无吞咽困难、呛咳、恶心、呕吐等异常情况。</w:t>
            </w:r>
          </w:p>
          <w:p>
            <w:pPr>
              <w:pStyle w:val="20"/>
              <w:jc w:val="left"/>
              <w:rPr>
                <w:rFonts w:hint="default"/>
                <w:b/>
                <w:lang w:val="en-US" w:eastAsia="zh-CN"/>
              </w:rPr>
            </w:pPr>
            <w:r>
              <w:rPr>
                <w:rFonts w:hint="default"/>
                <w:b/>
                <w:lang w:val="en-US" w:eastAsia="zh-CN"/>
              </w:rPr>
              <w:t>（6）餐后协助患者清洁口腔，口腔内无异物残留。</w:t>
            </w:r>
          </w:p>
          <w:p>
            <w:pPr>
              <w:pStyle w:val="20"/>
              <w:jc w:val="left"/>
              <w:rPr>
                <w:rFonts w:hint="default"/>
                <w:b/>
                <w:lang w:val="en-US" w:eastAsia="zh-CN"/>
              </w:rPr>
            </w:pPr>
            <w:r>
              <w:rPr>
                <w:rFonts w:hint="default"/>
                <w:b/>
                <w:lang w:val="en-US" w:eastAsia="zh-CN"/>
              </w:rPr>
              <w:t>（7）餐具使用后及时洗净，处于清洁备用状态。</w:t>
            </w:r>
          </w:p>
          <w:p>
            <w:pPr>
              <w:pStyle w:val="20"/>
              <w:jc w:val="left"/>
              <w:rPr>
                <w:rFonts w:hint="default"/>
                <w:b/>
                <w:lang w:val="en-US" w:eastAsia="zh-CN"/>
              </w:rPr>
            </w:pPr>
            <w:r>
              <w:rPr>
                <w:rFonts w:hint="default"/>
                <w:b/>
                <w:lang w:val="en-US" w:eastAsia="zh-CN"/>
              </w:rPr>
              <w:t>（8）根据病情协助正确记录患者进食/饮水情况及出入量。</w:t>
            </w:r>
          </w:p>
          <w:p>
            <w:pPr>
              <w:pStyle w:val="20"/>
              <w:jc w:val="left"/>
              <w:rPr>
                <w:rFonts w:hint="default"/>
                <w:b/>
                <w:lang w:val="en-US" w:eastAsia="zh-CN"/>
              </w:rPr>
            </w:pPr>
            <w:r>
              <w:rPr>
                <w:rFonts w:hint="default"/>
                <w:b/>
                <w:lang w:val="en-US" w:eastAsia="zh-CN"/>
              </w:rPr>
              <w:t>3.睡眠照护</w:t>
            </w:r>
          </w:p>
          <w:p>
            <w:pPr>
              <w:pStyle w:val="20"/>
              <w:jc w:val="left"/>
              <w:rPr>
                <w:rFonts w:hint="default"/>
                <w:b/>
                <w:lang w:val="en-US" w:eastAsia="zh-CN"/>
              </w:rPr>
            </w:pPr>
            <w:r>
              <w:rPr>
                <w:rFonts w:hint="default"/>
                <w:b/>
                <w:lang w:val="en-US" w:eastAsia="zh-CN"/>
              </w:rPr>
              <w:t>（1）根据患者个人睡眠习惯和需求，布置适宜的睡眠环境，如调节病房光线、温湿度和噪声等。</w:t>
            </w:r>
          </w:p>
          <w:p>
            <w:pPr>
              <w:pStyle w:val="20"/>
              <w:jc w:val="left"/>
              <w:rPr>
                <w:rFonts w:hint="default"/>
                <w:b/>
                <w:lang w:val="en-US" w:eastAsia="zh-CN"/>
              </w:rPr>
            </w:pPr>
            <w:r>
              <w:rPr>
                <w:rFonts w:hint="default"/>
                <w:b/>
                <w:lang w:val="en-US" w:eastAsia="zh-CN"/>
              </w:rPr>
              <w:t>（2）能在医护人员指导下为特殊患者（如老年人）提供温水泡脚，泡脚时水温适宜，未造成患者皮肤烫伤。</w:t>
            </w:r>
          </w:p>
          <w:p>
            <w:pPr>
              <w:pStyle w:val="20"/>
              <w:jc w:val="left"/>
              <w:rPr>
                <w:rFonts w:hint="default"/>
                <w:b/>
                <w:lang w:val="en-US" w:eastAsia="zh-CN"/>
              </w:rPr>
            </w:pPr>
            <w:r>
              <w:rPr>
                <w:rFonts w:hint="default"/>
                <w:b/>
                <w:lang w:val="en-US" w:eastAsia="zh-CN"/>
              </w:rPr>
              <w:t>（3）肢体活动受限的患者，能定时协助更换体位，减轻肢体压迫。</w:t>
            </w:r>
          </w:p>
          <w:p>
            <w:pPr>
              <w:pStyle w:val="20"/>
              <w:jc w:val="left"/>
              <w:rPr>
                <w:rFonts w:hint="default"/>
                <w:b/>
                <w:lang w:val="en-US" w:eastAsia="zh-CN"/>
              </w:rPr>
            </w:pPr>
            <w:r>
              <w:rPr>
                <w:rFonts w:hint="default"/>
                <w:b/>
                <w:lang w:val="en-US" w:eastAsia="zh-CN"/>
              </w:rPr>
              <w:t>（4）夜间根据护理级别按时查看患者的睡眠情况，观察患者有无失眠、易醒、多梦、多尿等。</w:t>
            </w:r>
          </w:p>
          <w:p>
            <w:pPr>
              <w:pStyle w:val="20"/>
              <w:jc w:val="left"/>
              <w:rPr>
                <w:rFonts w:hint="default"/>
                <w:b/>
                <w:lang w:val="en-US" w:eastAsia="zh-CN"/>
              </w:rPr>
            </w:pPr>
            <w:r>
              <w:rPr>
                <w:rFonts w:hint="default"/>
                <w:b/>
                <w:lang w:val="en-US" w:eastAsia="zh-CN"/>
              </w:rPr>
              <w:t>（5）发现患者管道受压，失眠、疼痛、呼吸不畅等异常情况能及时报告。</w:t>
            </w:r>
          </w:p>
          <w:p>
            <w:pPr>
              <w:pStyle w:val="20"/>
              <w:jc w:val="left"/>
              <w:rPr>
                <w:rFonts w:hint="default"/>
                <w:b/>
                <w:lang w:val="en-US" w:eastAsia="zh-CN"/>
              </w:rPr>
            </w:pPr>
            <w:r>
              <w:rPr>
                <w:rFonts w:hint="default"/>
                <w:b/>
                <w:lang w:val="en-US" w:eastAsia="zh-CN"/>
              </w:rPr>
              <w:t>4.排泄照护</w:t>
            </w:r>
          </w:p>
          <w:p>
            <w:pPr>
              <w:pStyle w:val="20"/>
              <w:jc w:val="left"/>
              <w:rPr>
                <w:rFonts w:hint="default"/>
                <w:b/>
                <w:lang w:val="en-US" w:eastAsia="zh-CN"/>
              </w:rPr>
            </w:pPr>
            <w:r>
              <w:rPr>
                <w:rFonts w:hint="default"/>
                <w:b/>
                <w:lang w:val="en-US" w:eastAsia="zh-CN"/>
              </w:rPr>
              <w:t>（1）鼓励患者晨起或餐后进行排便，刺激肠道蠕动。</w:t>
            </w:r>
          </w:p>
          <w:p>
            <w:pPr>
              <w:pStyle w:val="20"/>
              <w:jc w:val="left"/>
              <w:rPr>
                <w:rFonts w:hint="default"/>
                <w:b/>
                <w:lang w:val="en-US" w:eastAsia="zh-CN"/>
              </w:rPr>
            </w:pPr>
            <w:r>
              <w:rPr>
                <w:rFonts w:hint="default"/>
                <w:b/>
                <w:lang w:val="en-US" w:eastAsia="zh-CN"/>
              </w:rPr>
              <w:t>（2）协助患者安全如厕的过程中，能遮挡患者，保护患者隐私。</w:t>
            </w:r>
          </w:p>
          <w:p>
            <w:pPr>
              <w:pStyle w:val="20"/>
              <w:jc w:val="left"/>
              <w:rPr>
                <w:rFonts w:hint="default"/>
                <w:b/>
                <w:lang w:val="en-US" w:eastAsia="zh-CN"/>
              </w:rPr>
            </w:pPr>
            <w:r>
              <w:rPr>
                <w:rFonts w:hint="default"/>
                <w:b/>
                <w:lang w:val="en-US" w:eastAsia="zh-CN"/>
              </w:rPr>
              <w:t>（3）为患者便后清洁时，动作轻柔，未出现皮肤损伤。</w:t>
            </w:r>
          </w:p>
          <w:p>
            <w:pPr>
              <w:pStyle w:val="20"/>
              <w:jc w:val="left"/>
              <w:rPr>
                <w:rFonts w:hint="default"/>
                <w:b/>
                <w:lang w:val="en-US" w:eastAsia="zh-CN"/>
              </w:rPr>
            </w:pPr>
            <w:r>
              <w:rPr>
                <w:rFonts w:hint="default"/>
                <w:b/>
                <w:lang w:val="en-US" w:eastAsia="zh-CN"/>
              </w:rPr>
              <w:t>（4）床上排便的患者，及时取出并清理便盆，避免局部皮肤长期受压。</w:t>
            </w:r>
          </w:p>
          <w:p>
            <w:pPr>
              <w:pStyle w:val="20"/>
              <w:jc w:val="left"/>
              <w:rPr>
                <w:rFonts w:hint="default"/>
                <w:b/>
                <w:lang w:val="en-US" w:eastAsia="zh-CN"/>
              </w:rPr>
            </w:pPr>
            <w:r>
              <w:rPr>
                <w:rFonts w:hint="default"/>
                <w:b/>
                <w:lang w:val="en-US" w:eastAsia="zh-CN"/>
              </w:rPr>
              <w:t>（5）便盆或尿壶使用后，及时清理使其处于清洁备用状态。</w:t>
            </w:r>
          </w:p>
          <w:p>
            <w:pPr>
              <w:pStyle w:val="20"/>
              <w:jc w:val="left"/>
              <w:rPr>
                <w:rFonts w:hint="default"/>
                <w:b/>
                <w:lang w:val="en-US" w:eastAsia="zh-CN"/>
              </w:rPr>
            </w:pPr>
            <w:r>
              <w:rPr>
                <w:rFonts w:hint="default"/>
                <w:b/>
                <w:lang w:val="en-US" w:eastAsia="zh-CN"/>
              </w:rPr>
              <w:t>（6）便秘的患者，必要时协助人工取便。</w:t>
            </w:r>
          </w:p>
          <w:p>
            <w:pPr>
              <w:pStyle w:val="20"/>
              <w:jc w:val="left"/>
              <w:rPr>
                <w:rFonts w:hint="default"/>
                <w:b/>
                <w:lang w:val="en-US" w:eastAsia="zh-CN"/>
              </w:rPr>
            </w:pPr>
            <w:r>
              <w:rPr>
                <w:rFonts w:hint="default"/>
                <w:b/>
                <w:lang w:val="en-US" w:eastAsia="zh-CN"/>
              </w:rPr>
              <w:t>（7）腹泻的患者，在医护人员的指导下落实皮肤保护措施。</w:t>
            </w:r>
          </w:p>
          <w:p>
            <w:pPr>
              <w:pStyle w:val="20"/>
              <w:jc w:val="left"/>
              <w:rPr>
                <w:rFonts w:hint="default"/>
                <w:b/>
                <w:lang w:val="en-US" w:eastAsia="zh-CN"/>
              </w:rPr>
            </w:pPr>
            <w:r>
              <w:rPr>
                <w:rFonts w:hint="default"/>
                <w:b/>
                <w:lang w:val="en-US" w:eastAsia="zh-CN"/>
              </w:rPr>
              <w:t>（8）能指导心脏病、颅内压增高等患者避免用力排便，必要时报告医护人员。</w:t>
            </w:r>
          </w:p>
          <w:p>
            <w:pPr>
              <w:pStyle w:val="20"/>
              <w:jc w:val="left"/>
              <w:rPr>
                <w:rFonts w:hint="default"/>
                <w:b/>
                <w:lang w:val="en-US" w:eastAsia="zh-CN"/>
              </w:rPr>
            </w:pPr>
            <w:r>
              <w:rPr>
                <w:rFonts w:hint="default"/>
                <w:b/>
                <w:lang w:val="en-US" w:eastAsia="zh-CN"/>
              </w:rPr>
              <w:t>5.观察与测量</w:t>
            </w:r>
          </w:p>
          <w:p>
            <w:pPr>
              <w:pStyle w:val="20"/>
              <w:jc w:val="left"/>
              <w:rPr>
                <w:rFonts w:hint="default"/>
                <w:b/>
                <w:lang w:val="en-US" w:eastAsia="zh-CN"/>
              </w:rPr>
            </w:pPr>
            <w:r>
              <w:rPr>
                <w:rFonts w:hint="default"/>
                <w:b/>
                <w:lang w:val="en-US" w:eastAsia="zh-CN"/>
              </w:rPr>
              <w:t>（1）在医护人员指导下能准确观察并记录大小便的颜色、性状、量。</w:t>
            </w:r>
          </w:p>
          <w:p>
            <w:pPr>
              <w:pStyle w:val="20"/>
              <w:jc w:val="left"/>
              <w:rPr>
                <w:rFonts w:hint="default"/>
                <w:b/>
                <w:lang w:val="en-US" w:eastAsia="zh-CN"/>
              </w:rPr>
            </w:pPr>
            <w:r>
              <w:rPr>
                <w:rFonts w:hint="default"/>
                <w:b/>
                <w:lang w:val="en-US" w:eastAsia="zh-CN"/>
              </w:rPr>
              <w:t>（2）准确测量身高、体重并记录。</w:t>
            </w:r>
          </w:p>
          <w:p>
            <w:pPr>
              <w:pStyle w:val="20"/>
              <w:jc w:val="left"/>
              <w:rPr>
                <w:rFonts w:hint="default"/>
                <w:b/>
                <w:lang w:val="en-US" w:eastAsia="zh-CN"/>
              </w:rPr>
            </w:pPr>
            <w:r>
              <w:rPr>
                <w:rFonts w:hint="default"/>
                <w:b/>
                <w:lang w:val="en-US" w:eastAsia="zh-CN"/>
              </w:rPr>
              <w:t>二）临床照护</w:t>
            </w:r>
          </w:p>
          <w:p>
            <w:pPr>
              <w:pStyle w:val="20"/>
              <w:jc w:val="left"/>
              <w:rPr>
                <w:rFonts w:hint="default"/>
                <w:b/>
                <w:lang w:val="en-US" w:eastAsia="zh-CN"/>
              </w:rPr>
            </w:pPr>
            <w:r>
              <w:rPr>
                <w:rFonts w:hint="default"/>
                <w:b/>
                <w:lang w:val="en-US" w:eastAsia="zh-CN"/>
              </w:rPr>
              <w:t>1.移动照护</w:t>
            </w:r>
          </w:p>
          <w:p>
            <w:pPr>
              <w:pStyle w:val="20"/>
              <w:jc w:val="left"/>
              <w:rPr>
                <w:rFonts w:hint="default"/>
                <w:b/>
                <w:lang w:val="en-US" w:eastAsia="zh-CN"/>
              </w:rPr>
            </w:pPr>
            <w:r>
              <w:rPr>
                <w:rFonts w:hint="default"/>
                <w:b/>
                <w:lang w:val="en-US" w:eastAsia="zh-CN"/>
              </w:rPr>
              <w:t>（1）能协助活动受限的患者完成体位变换，特殊患者能在医务人员的指导下完成。</w:t>
            </w:r>
          </w:p>
          <w:p>
            <w:pPr>
              <w:pStyle w:val="20"/>
              <w:jc w:val="left"/>
              <w:rPr>
                <w:rFonts w:hint="default"/>
                <w:b/>
                <w:lang w:val="en-US" w:eastAsia="zh-CN"/>
              </w:rPr>
            </w:pPr>
            <w:r>
              <w:rPr>
                <w:rFonts w:hint="default"/>
                <w:b/>
                <w:lang w:val="en-US" w:eastAsia="zh-CN"/>
              </w:rPr>
              <w:t>（2）患者外出检查时，能选择合适的辅助工具如轮椅、车床等移动患者。</w:t>
            </w:r>
          </w:p>
          <w:p>
            <w:pPr>
              <w:pStyle w:val="20"/>
              <w:jc w:val="left"/>
              <w:rPr>
                <w:rFonts w:hint="default"/>
                <w:b/>
                <w:lang w:val="en-US" w:eastAsia="zh-CN"/>
              </w:rPr>
            </w:pPr>
            <w:r>
              <w:rPr>
                <w:rFonts w:hint="default"/>
                <w:b/>
                <w:lang w:val="en-US" w:eastAsia="zh-CN"/>
              </w:rPr>
              <w:t>（3）移动患者时，动作轻柔，避免拖拉拽，能落实防跌倒、防坠床、防脱管、防碰伤等措施，避免意外发生。</w:t>
            </w:r>
          </w:p>
          <w:p>
            <w:pPr>
              <w:pStyle w:val="20"/>
              <w:jc w:val="left"/>
              <w:rPr>
                <w:rFonts w:hint="default"/>
                <w:b/>
                <w:lang w:val="en-US" w:eastAsia="zh-CN"/>
              </w:rPr>
            </w:pPr>
            <w:r>
              <w:rPr>
                <w:rFonts w:hint="default"/>
                <w:b/>
                <w:lang w:val="en-US" w:eastAsia="zh-CN"/>
              </w:rPr>
              <w:t>2.冷热疗法</w:t>
            </w:r>
          </w:p>
          <w:p>
            <w:pPr>
              <w:pStyle w:val="20"/>
              <w:jc w:val="left"/>
              <w:rPr>
                <w:rFonts w:hint="default"/>
                <w:b/>
                <w:lang w:val="en-US" w:eastAsia="zh-CN"/>
              </w:rPr>
            </w:pPr>
            <w:r>
              <w:rPr>
                <w:rFonts w:hint="default"/>
                <w:b/>
                <w:lang w:val="en-US" w:eastAsia="zh-CN"/>
              </w:rPr>
              <w:t>（1）温水擦浴过程中，能做好患者隐私保护和保暖，避免受凉。</w:t>
            </w:r>
          </w:p>
          <w:p>
            <w:pPr>
              <w:pStyle w:val="20"/>
              <w:jc w:val="left"/>
              <w:rPr>
                <w:rFonts w:hint="default"/>
                <w:b/>
                <w:lang w:val="en-US" w:eastAsia="zh-CN"/>
              </w:rPr>
            </w:pPr>
            <w:r>
              <w:rPr>
                <w:rFonts w:hint="default"/>
                <w:b/>
                <w:lang w:val="en-US" w:eastAsia="zh-CN"/>
              </w:rPr>
              <w:t>（2）冷敷、热敷期间能及时观察局部皮肤情况，出现色泽或感觉异常时，立即停止使用，并报告医护人员。</w:t>
            </w:r>
          </w:p>
          <w:p>
            <w:pPr>
              <w:pStyle w:val="20"/>
              <w:jc w:val="left"/>
              <w:rPr>
                <w:rFonts w:hint="default"/>
                <w:b/>
                <w:lang w:val="en-US" w:eastAsia="zh-CN"/>
              </w:rPr>
            </w:pPr>
            <w:r>
              <w:rPr>
                <w:rFonts w:hint="default"/>
                <w:b/>
                <w:lang w:val="en-US" w:eastAsia="zh-CN"/>
              </w:rPr>
              <w:t>（3）冷热疗法未出现患者皮肤冻伤、烫伤。</w:t>
            </w:r>
          </w:p>
          <w:p>
            <w:pPr>
              <w:pStyle w:val="20"/>
              <w:jc w:val="left"/>
              <w:rPr>
                <w:rFonts w:hint="default"/>
                <w:b/>
                <w:lang w:val="en-US" w:eastAsia="zh-CN"/>
              </w:rPr>
            </w:pPr>
            <w:r>
              <w:rPr>
                <w:rFonts w:hint="default"/>
                <w:b/>
                <w:lang w:val="en-US" w:eastAsia="zh-CN"/>
              </w:rPr>
              <w:t>3.清洁消毒</w:t>
            </w:r>
          </w:p>
          <w:p>
            <w:pPr>
              <w:pStyle w:val="20"/>
              <w:jc w:val="left"/>
              <w:rPr>
                <w:rFonts w:hint="default"/>
                <w:b/>
                <w:lang w:val="en-US" w:eastAsia="zh-CN"/>
              </w:rPr>
            </w:pPr>
            <w:r>
              <w:rPr>
                <w:rFonts w:hint="default"/>
                <w:b/>
                <w:lang w:val="en-US" w:eastAsia="zh-CN"/>
              </w:rPr>
              <w:t>（1）掌握手卫生、戴手套的时机，落实手卫生，规范佩戴手套。</w:t>
            </w:r>
          </w:p>
          <w:p>
            <w:pPr>
              <w:pStyle w:val="20"/>
              <w:jc w:val="left"/>
              <w:rPr>
                <w:rFonts w:hint="default"/>
                <w:b/>
                <w:lang w:val="en-US" w:eastAsia="zh-CN"/>
              </w:rPr>
            </w:pPr>
            <w:r>
              <w:rPr>
                <w:rFonts w:hint="default"/>
                <w:b/>
                <w:lang w:val="en-US" w:eastAsia="zh-CN"/>
              </w:rPr>
              <w:t>（2）能正确佩戴口罩、帽子、穿脱隔离衣，必要时戴口罩、帽子，穿隔离衣。</w:t>
            </w:r>
          </w:p>
          <w:p>
            <w:pPr>
              <w:pStyle w:val="20"/>
              <w:jc w:val="left"/>
              <w:rPr>
                <w:rFonts w:hint="default"/>
                <w:b/>
                <w:lang w:val="en-US" w:eastAsia="zh-CN"/>
              </w:rPr>
            </w:pPr>
            <w:r>
              <w:rPr>
                <w:rFonts w:hint="default"/>
                <w:b/>
                <w:lang w:val="en-US" w:eastAsia="zh-CN"/>
              </w:rPr>
              <w:t>（3）能对物体表面及环境消毒，医疗废物、生活垃圾分类符合规范。</w:t>
            </w:r>
          </w:p>
          <w:p>
            <w:pPr>
              <w:pStyle w:val="20"/>
              <w:jc w:val="left"/>
              <w:rPr>
                <w:rFonts w:hint="default"/>
                <w:b/>
                <w:lang w:val="en-US" w:eastAsia="zh-CN"/>
              </w:rPr>
            </w:pPr>
            <w:r>
              <w:rPr>
                <w:rFonts w:hint="default"/>
                <w:b/>
                <w:lang w:val="en-US" w:eastAsia="zh-CN"/>
              </w:rPr>
              <w:t>4.标本采集</w:t>
            </w:r>
          </w:p>
          <w:p>
            <w:pPr>
              <w:pStyle w:val="20"/>
              <w:jc w:val="left"/>
              <w:rPr>
                <w:rFonts w:hint="default"/>
                <w:b/>
                <w:lang w:val="en-US" w:eastAsia="zh-CN"/>
              </w:rPr>
            </w:pPr>
            <w:r>
              <w:rPr>
                <w:rFonts w:hint="default"/>
                <w:b/>
                <w:lang w:val="en-US" w:eastAsia="zh-CN"/>
              </w:rPr>
              <w:t>大小便标本采集正确，采集后及时放到指定地点，并报告医护人员。</w:t>
            </w:r>
          </w:p>
          <w:p>
            <w:pPr>
              <w:pStyle w:val="20"/>
              <w:jc w:val="left"/>
              <w:rPr>
                <w:rFonts w:hint="default"/>
                <w:b/>
                <w:lang w:val="en-US" w:eastAsia="zh-CN"/>
              </w:rPr>
            </w:pPr>
            <w:r>
              <w:rPr>
                <w:rFonts w:hint="default"/>
                <w:b/>
                <w:lang w:val="en-US" w:eastAsia="zh-CN"/>
              </w:rPr>
              <w:t>5.功能锻炼</w:t>
            </w:r>
          </w:p>
          <w:p>
            <w:pPr>
              <w:pStyle w:val="20"/>
              <w:jc w:val="left"/>
              <w:rPr>
                <w:rFonts w:hint="default"/>
                <w:b/>
                <w:lang w:val="en-US" w:eastAsia="zh-CN"/>
              </w:rPr>
            </w:pPr>
            <w:r>
              <w:rPr>
                <w:rFonts w:hint="default"/>
                <w:b/>
                <w:lang w:val="en-US" w:eastAsia="zh-CN"/>
              </w:rPr>
              <w:t>（1）卧床患者在医护人员的指导下，定时下床活动，避免长时间卧床。</w:t>
            </w:r>
          </w:p>
          <w:p>
            <w:pPr>
              <w:pStyle w:val="20"/>
              <w:jc w:val="left"/>
              <w:rPr>
                <w:rFonts w:hint="default"/>
                <w:b/>
                <w:lang w:val="en-US" w:eastAsia="zh-CN"/>
              </w:rPr>
            </w:pPr>
            <w:r>
              <w:rPr>
                <w:rFonts w:hint="default"/>
                <w:b/>
                <w:lang w:val="en-US" w:eastAsia="zh-CN"/>
              </w:rPr>
              <w:t>（2）叩背在患者空腹状态下进行，避免患者呕吐。</w:t>
            </w:r>
          </w:p>
          <w:p>
            <w:pPr>
              <w:pStyle w:val="20"/>
              <w:jc w:val="left"/>
              <w:rPr>
                <w:rFonts w:hint="default"/>
                <w:b/>
                <w:lang w:val="en-US" w:eastAsia="zh-CN"/>
              </w:rPr>
            </w:pPr>
            <w:r>
              <w:rPr>
                <w:rFonts w:hint="default"/>
                <w:b/>
                <w:lang w:val="en-US" w:eastAsia="zh-CN"/>
              </w:rPr>
              <w:t>（3）正确使用拐杖、轮椅、助行器等辅助工具，协助患者进行锻炼。</w:t>
            </w:r>
          </w:p>
          <w:p>
            <w:pPr>
              <w:pStyle w:val="20"/>
              <w:jc w:val="left"/>
              <w:rPr>
                <w:rFonts w:hint="default"/>
                <w:b/>
                <w:lang w:val="en-US" w:eastAsia="zh-CN"/>
              </w:rPr>
            </w:pPr>
            <w:r>
              <w:rPr>
                <w:rFonts w:hint="default"/>
                <w:b/>
                <w:lang w:val="en-US" w:eastAsia="zh-CN"/>
              </w:rPr>
              <w:t>（4）患者康复训练时，能做好安全防护，避免出现跌倒、坠床、脱管、外伤等意外事件。</w:t>
            </w:r>
          </w:p>
          <w:p>
            <w:pPr>
              <w:pStyle w:val="20"/>
              <w:jc w:val="left"/>
              <w:rPr>
                <w:rFonts w:hint="default"/>
                <w:b/>
                <w:lang w:val="en-US" w:eastAsia="zh-CN"/>
              </w:rPr>
            </w:pPr>
            <w:r>
              <w:rPr>
                <w:rFonts w:hint="default"/>
                <w:b/>
                <w:lang w:val="en-US" w:eastAsia="zh-CN"/>
              </w:rPr>
              <w:t>（5）康复训练过程中，能观察患者的耐受情况，当患者不耐受时，及时停止并告知医护人员。</w:t>
            </w:r>
          </w:p>
          <w:p>
            <w:pPr>
              <w:pStyle w:val="20"/>
              <w:jc w:val="left"/>
              <w:rPr>
                <w:rFonts w:hint="default"/>
                <w:b/>
                <w:lang w:val="en-US" w:eastAsia="zh-CN"/>
              </w:rPr>
            </w:pPr>
            <w:r>
              <w:rPr>
                <w:rFonts w:hint="default"/>
                <w:b/>
                <w:lang w:val="en-US" w:eastAsia="zh-CN"/>
              </w:rPr>
              <w:t>6.给药照护</w:t>
            </w:r>
          </w:p>
          <w:p>
            <w:pPr>
              <w:pStyle w:val="20"/>
              <w:jc w:val="left"/>
              <w:rPr>
                <w:rFonts w:hint="default"/>
                <w:b/>
                <w:lang w:val="en-US" w:eastAsia="zh-CN"/>
              </w:rPr>
            </w:pPr>
            <w:r>
              <w:rPr>
                <w:rFonts w:hint="default"/>
                <w:b/>
                <w:lang w:val="en-US" w:eastAsia="zh-CN"/>
              </w:rPr>
              <w:t>（1）能协助患者准备杯子、水等口服药所需物品，并在护士的指导下协助患者服药。</w:t>
            </w:r>
          </w:p>
          <w:p>
            <w:pPr>
              <w:pStyle w:val="20"/>
              <w:jc w:val="left"/>
              <w:rPr>
                <w:rFonts w:hint="default"/>
                <w:b/>
                <w:lang w:val="en-US" w:eastAsia="zh-CN"/>
              </w:rPr>
            </w:pPr>
            <w:r>
              <w:rPr>
                <w:rFonts w:hint="default"/>
                <w:b/>
                <w:lang w:val="en-US" w:eastAsia="zh-CN"/>
              </w:rPr>
              <w:t>（2）能正确为患者佩戴、固定、摘取、清洗雾化吸入面罩/口含嘴等。</w:t>
            </w:r>
          </w:p>
          <w:p>
            <w:pPr>
              <w:pStyle w:val="20"/>
              <w:jc w:val="left"/>
              <w:rPr>
                <w:rFonts w:hint="default"/>
                <w:b/>
                <w:lang w:val="en-US" w:eastAsia="zh-CN"/>
              </w:rPr>
            </w:pPr>
            <w:r>
              <w:rPr>
                <w:rFonts w:hint="default"/>
                <w:b/>
                <w:lang w:val="en-US" w:eastAsia="zh-CN"/>
              </w:rPr>
              <w:t>（3）能按要求加热中药饮片，知晓加热方法及注意事项。</w:t>
            </w:r>
          </w:p>
          <w:p>
            <w:pPr>
              <w:pStyle w:val="20"/>
              <w:jc w:val="left"/>
              <w:rPr>
                <w:rFonts w:hint="default"/>
                <w:b/>
                <w:lang w:val="en-US" w:eastAsia="zh-CN"/>
              </w:rPr>
            </w:pPr>
            <w:r>
              <w:rPr>
                <w:rFonts w:hint="default"/>
                <w:b/>
                <w:lang w:val="en-US" w:eastAsia="zh-CN"/>
              </w:rPr>
              <w:t>（4）在医护人员的指导下正确使用皮肤外用药的涂抹、贴敷等。</w:t>
            </w:r>
          </w:p>
          <w:p>
            <w:pPr>
              <w:pStyle w:val="20"/>
              <w:jc w:val="left"/>
              <w:rPr>
                <w:rFonts w:hint="default"/>
                <w:b/>
                <w:lang w:val="en-US" w:eastAsia="zh-CN"/>
              </w:rPr>
            </w:pPr>
            <w:r>
              <w:rPr>
                <w:rFonts w:hint="default"/>
                <w:b/>
                <w:lang w:val="en-US" w:eastAsia="zh-CN"/>
              </w:rPr>
              <w:t>（5）发现用药异常及时上报。</w:t>
            </w:r>
          </w:p>
          <w:p>
            <w:pPr>
              <w:pStyle w:val="20"/>
              <w:jc w:val="left"/>
              <w:rPr>
                <w:rFonts w:hint="default"/>
                <w:b/>
                <w:lang w:val="en-US" w:eastAsia="zh-CN"/>
              </w:rPr>
            </w:pPr>
            <w:r>
              <w:rPr>
                <w:rFonts w:hint="default"/>
                <w:b/>
                <w:lang w:val="en-US" w:eastAsia="zh-CN"/>
              </w:rPr>
              <w:t>7.预防压力性损伤</w:t>
            </w:r>
          </w:p>
          <w:p>
            <w:pPr>
              <w:pStyle w:val="20"/>
              <w:jc w:val="left"/>
              <w:rPr>
                <w:rFonts w:hint="default"/>
                <w:b/>
                <w:lang w:val="en-US" w:eastAsia="zh-CN"/>
              </w:rPr>
            </w:pPr>
            <w:r>
              <w:rPr>
                <w:rFonts w:hint="default"/>
                <w:b/>
                <w:lang w:val="en-US" w:eastAsia="zh-CN"/>
              </w:rPr>
              <w:t>（1）能力活动受限的患者定时变换体位，未出现压力性损伤，特殊患者如术后、病情危重等协助护士完成。</w:t>
            </w:r>
          </w:p>
          <w:p>
            <w:pPr>
              <w:pStyle w:val="20"/>
              <w:jc w:val="left"/>
              <w:rPr>
                <w:rFonts w:hint="default"/>
                <w:b/>
                <w:lang w:val="en-US" w:eastAsia="zh-CN"/>
              </w:rPr>
            </w:pPr>
            <w:r>
              <w:rPr>
                <w:rFonts w:hint="default"/>
                <w:b/>
                <w:lang w:val="en-US" w:eastAsia="zh-CN"/>
              </w:rPr>
              <w:t>（2）在医护人员指导下，能采取减压措施，如气垫床、翻身枕等。</w:t>
            </w:r>
          </w:p>
          <w:p>
            <w:pPr>
              <w:pStyle w:val="20"/>
              <w:jc w:val="left"/>
              <w:rPr>
                <w:rFonts w:hint="default"/>
                <w:b/>
                <w:lang w:val="en-US" w:eastAsia="zh-CN"/>
              </w:rPr>
            </w:pPr>
            <w:r>
              <w:rPr>
                <w:rFonts w:hint="default"/>
                <w:b/>
                <w:lang w:val="en-US" w:eastAsia="zh-CN"/>
              </w:rPr>
              <w:t>（3）能观察患者受压部位皮肤情况并交接，发现异常能及时上报。</w:t>
            </w:r>
          </w:p>
          <w:p>
            <w:pPr>
              <w:pStyle w:val="20"/>
              <w:jc w:val="left"/>
              <w:rPr>
                <w:rFonts w:hint="default"/>
                <w:b/>
                <w:lang w:val="en-US" w:eastAsia="zh-CN"/>
              </w:rPr>
            </w:pPr>
            <w:r>
              <w:rPr>
                <w:rFonts w:hint="default"/>
                <w:b/>
                <w:lang w:val="en-US" w:eastAsia="zh-CN"/>
              </w:rPr>
              <w:t>三）安全照护</w:t>
            </w:r>
          </w:p>
          <w:p>
            <w:pPr>
              <w:pStyle w:val="20"/>
              <w:jc w:val="left"/>
              <w:rPr>
                <w:rFonts w:hint="default"/>
                <w:b/>
                <w:lang w:val="en-US" w:eastAsia="zh-CN"/>
              </w:rPr>
            </w:pPr>
            <w:r>
              <w:rPr>
                <w:rFonts w:hint="default"/>
                <w:b/>
                <w:lang w:val="en-US" w:eastAsia="zh-CN"/>
              </w:rPr>
              <w:t>1.能识别生命体征如体温、脉搏、呼吸、血压等异常情况，及时报告医护人员。</w:t>
            </w:r>
          </w:p>
          <w:p>
            <w:pPr>
              <w:pStyle w:val="20"/>
              <w:jc w:val="left"/>
              <w:rPr>
                <w:rFonts w:hint="default"/>
                <w:b/>
                <w:lang w:val="en-US" w:eastAsia="zh-CN"/>
              </w:rPr>
            </w:pPr>
            <w:r>
              <w:rPr>
                <w:rFonts w:hint="default"/>
                <w:b/>
                <w:lang w:val="en-US" w:eastAsia="zh-CN"/>
              </w:rPr>
              <w:t>2.知晓患者高危标识，如防跌倒、防压力性损伤、防误吸、防脱管、防走失、防血栓、防自杀、防自伤等标识。</w:t>
            </w:r>
          </w:p>
          <w:p>
            <w:pPr>
              <w:pStyle w:val="20"/>
              <w:jc w:val="left"/>
              <w:rPr>
                <w:rFonts w:hint="default"/>
                <w:b/>
                <w:lang w:val="en-US" w:eastAsia="zh-CN"/>
              </w:rPr>
            </w:pPr>
            <w:r>
              <w:rPr>
                <w:rFonts w:hint="default"/>
                <w:b/>
                <w:lang w:val="en-US" w:eastAsia="zh-CN"/>
              </w:rPr>
              <w:t>3.能够按照医护人员的要求，落实防跌倒、防压力性损伤、防误吸、防走失、防脱管、防血栓、防自杀、防自伤等措施，避免意外发生。</w:t>
            </w:r>
          </w:p>
          <w:p>
            <w:pPr>
              <w:pStyle w:val="20"/>
              <w:jc w:val="left"/>
              <w:rPr>
                <w:rFonts w:hint="default"/>
                <w:b/>
                <w:lang w:val="en-US" w:eastAsia="zh-CN"/>
              </w:rPr>
            </w:pPr>
            <w:r>
              <w:rPr>
                <w:rFonts w:hint="default"/>
                <w:b/>
                <w:lang w:val="en-US" w:eastAsia="zh-CN"/>
              </w:rPr>
              <w:t>4.发现病情变化、仪器故障或仪器报警、输液滴速异常能及时报告医护人员，必要时协助初步应急处理（如心肺复苏）。</w:t>
            </w:r>
          </w:p>
          <w:p>
            <w:pPr>
              <w:pStyle w:val="20"/>
              <w:jc w:val="left"/>
              <w:rPr>
                <w:rFonts w:hint="default"/>
                <w:b/>
                <w:lang w:val="en-US" w:eastAsia="zh-CN"/>
              </w:rPr>
            </w:pPr>
            <w:r>
              <w:rPr>
                <w:rFonts w:hint="default"/>
                <w:b/>
                <w:lang w:val="en-US" w:eastAsia="zh-CN"/>
              </w:rPr>
              <w:t>5.协助护士做好保护性约束患者的护理，如协助巡视观察约束患者情况，发现约束部位的皮肤异常或约束带松脱，及时报告医护人员，严禁随意约束患者或解除患者的约束。</w:t>
            </w:r>
          </w:p>
          <w:p>
            <w:pPr>
              <w:pStyle w:val="20"/>
              <w:jc w:val="left"/>
              <w:rPr>
                <w:rFonts w:hint="default"/>
                <w:b/>
                <w:lang w:val="en-US" w:eastAsia="zh-CN"/>
              </w:rPr>
            </w:pPr>
            <w:r>
              <w:rPr>
                <w:rFonts w:hint="default"/>
                <w:b/>
                <w:lang w:val="en-US" w:eastAsia="zh-CN"/>
              </w:rPr>
              <w:t>6.患者出现跌倒、压力性损伤、烫伤、脱管、走失等意外，立即报告医护人员。</w:t>
            </w:r>
          </w:p>
          <w:p>
            <w:pPr>
              <w:pStyle w:val="20"/>
              <w:jc w:val="left"/>
              <w:rPr>
                <w:rFonts w:hint="default"/>
                <w:b/>
                <w:lang w:val="en-US" w:eastAsia="zh-CN"/>
              </w:rPr>
            </w:pPr>
            <w:r>
              <w:rPr>
                <w:rFonts w:hint="default"/>
                <w:b/>
                <w:lang w:val="en-US" w:eastAsia="zh-CN"/>
              </w:rPr>
              <w:t>7.禁止医疗护理操作，如调节输液滴速、拔针、调节氧流量、使用医疗设备等。</w:t>
            </w:r>
          </w:p>
          <w:p>
            <w:pPr>
              <w:pStyle w:val="20"/>
              <w:jc w:val="left"/>
              <w:rPr>
                <w:rFonts w:hint="default"/>
                <w:b/>
                <w:lang w:val="en-US" w:eastAsia="zh-CN"/>
              </w:rPr>
            </w:pPr>
            <w:r>
              <w:rPr>
                <w:rFonts w:hint="default"/>
                <w:b/>
                <w:lang w:val="en-US" w:eastAsia="zh-CN"/>
              </w:rPr>
              <w:t>8.知晓病房安全通道，能使用灭火器等消防器材灭火。</w:t>
            </w:r>
          </w:p>
          <w:p>
            <w:pPr>
              <w:pStyle w:val="20"/>
              <w:jc w:val="left"/>
              <w:rPr>
                <w:rFonts w:hint="default"/>
                <w:b/>
                <w:lang w:val="en-US" w:eastAsia="zh-CN"/>
              </w:rPr>
            </w:pPr>
            <w:r>
              <w:rPr>
                <w:rFonts w:hint="default"/>
                <w:b/>
                <w:lang w:val="en-US" w:eastAsia="zh-CN"/>
              </w:rPr>
              <w:t>四）心理支持与沟通</w:t>
            </w:r>
          </w:p>
          <w:p>
            <w:pPr>
              <w:pStyle w:val="20"/>
              <w:jc w:val="left"/>
              <w:rPr>
                <w:rFonts w:hint="default"/>
                <w:b/>
                <w:lang w:val="en-US" w:eastAsia="zh-CN"/>
              </w:rPr>
            </w:pPr>
            <w:r>
              <w:rPr>
                <w:rFonts w:hint="default"/>
                <w:b/>
                <w:lang w:val="en-US" w:eastAsia="zh-CN"/>
              </w:rPr>
              <w:t>1.能为患者做环境介绍，使患者尽快熟悉住院环境。</w:t>
            </w:r>
          </w:p>
          <w:p>
            <w:pPr>
              <w:pStyle w:val="20"/>
              <w:jc w:val="left"/>
              <w:rPr>
                <w:rFonts w:hint="default"/>
                <w:b/>
                <w:lang w:val="en-US" w:eastAsia="zh-CN"/>
              </w:rPr>
            </w:pPr>
            <w:r>
              <w:rPr>
                <w:rFonts w:hint="default"/>
                <w:b/>
                <w:lang w:val="en-US" w:eastAsia="zh-CN"/>
              </w:rPr>
              <w:t>2.尊重患者及家属的信仰与习惯，沟通时态度亲切，避免言语激惹。</w:t>
            </w:r>
          </w:p>
          <w:p>
            <w:pPr>
              <w:pStyle w:val="20"/>
              <w:jc w:val="left"/>
              <w:rPr>
                <w:rFonts w:hint="default"/>
                <w:b/>
                <w:lang w:val="en-US" w:eastAsia="zh-CN"/>
              </w:rPr>
            </w:pPr>
            <w:r>
              <w:rPr>
                <w:rFonts w:hint="default"/>
                <w:b/>
                <w:lang w:val="en-US" w:eastAsia="zh-CN"/>
              </w:rPr>
              <w:t>3.未出现激怒患者或与患者肢体对抗，未出现患者及家属的有效投诉。</w:t>
            </w:r>
          </w:p>
          <w:p>
            <w:pPr>
              <w:pStyle w:val="20"/>
              <w:jc w:val="left"/>
              <w:rPr>
                <w:rFonts w:hint="default"/>
                <w:b/>
                <w:lang w:val="en-US" w:eastAsia="zh-CN"/>
              </w:rPr>
            </w:pPr>
            <w:r>
              <w:rPr>
                <w:rFonts w:hint="default"/>
                <w:b/>
                <w:lang w:val="en-US" w:eastAsia="zh-CN"/>
              </w:rPr>
              <w:t>4.能倾听患者的想法和需求，安慰和鼓励患者表达自我感受。</w:t>
            </w:r>
          </w:p>
          <w:p>
            <w:pPr>
              <w:pStyle w:val="20"/>
              <w:jc w:val="left"/>
              <w:rPr>
                <w:rFonts w:hint="default"/>
                <w:b/>
                <w:lang w:val="en-US" w:eastAsia="zh-CN"/>
              </w:rPr>
            </w:pPr>
            <w:r>
              <w:rPr>
                <w:rFonts w:hint="default"/>
                <w:b/>
                <w:lang w:val="en-US" w:eastAsia="zh-CN"/>
              </w:rPr>
              <w:t>5.在医护人员指导下能识别异常心理行为，当患者出现行为失控时，立即呼叫医护人员。</w:t>
            </w:r>
          </w:p>
          <w:p>
            <w:pPr>
              <w:pStyle w:val="20"/>
              <w:jc w:val="left"/>
              <w:rPr>
                <w:rFonts w:hint="default"/>
                <w:b/>
                <w:lang w:val="en-US" w:eastAsia="zh-CN"/>
              </w:rPr>
            </w:pPr>
            <w:r>
              <w:rPr>
                <w:rFonts w:hint="default"/>
                <w:b/>
                <w:lang w:val="en-US" w:eastAsia="zh-CN"/>
              </w:rPr>
              <w:t>6.做好临终关怀，保持患者仪容仪表整洁，协助护士进行尸体料理。</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（六）一对一专陪（24小时陪护）服务职责</w:t>
            </w:r>
          </w:p>
          <w:p>
            <w:pPr>
              <w:pStyle w:val="20"/>
              <w:jc w:val="left"/>
              <w:rPr>
                <w:rFonts w:hint="default"/>
                <w:b/>
                <w:lang w:val="en-US" w:eastAsia="zh-CN"/>
              </w:rPr>
            </w:pPr>
            <w:r>
              <w:rPr>
                <w:rFonts w:hint="default"/>
                <w:b/>
                <w:lang w:val="en-US" w:eastAsia="zh-CN"/>
              </w:rPr>
              <w:t>1.照顾患者起居饮食，协助和督促患者起床、漱口、洗面、梳头，洗澡、洗头，剪指（趾）甲、刮胡子，保持患者身上清洁，无异味。视患者需要协助喂食、喂水、喂药，照顾患者大小便，负责患者的专用脸盆、茶具、痰盂、便器的清理工作。</w:t>
            </w:r>
          </w:p>
          <w:p>
            <w:pPr>
              <w:pStyle w:val="20"/>
              <w:jc w:val="left"/>
              <w:rPr>
                <w:rFonts w:hint="default"/>
                <w:b/>
                <w:lang w:val="en-US" w:eastAsia="zh-CN"/>
              </w:rPr>
            </w:pPr>
            <w:r>
              <w:rPr>
                <w:rFonts w:hint="default"/>
                <w:b/>
                <w:lang w:val="en-US" w:eastAsia="zh-CN"/>
              </w:rPr>
              <w:t>2.协助护士观察患者饮食、服药、睡眠及病情并如实向护士反馈患者情况。负责为患者收挂蚊帐和床铺整理，保持床单位整洁、干净无异味，床头柜无杂物，无不安全物品。</w:t>
            </w:r>
          </w:p>
          <w:p>
            <w:pPr>
              <w:pStyle w:val="20"/>
              <w:jc w:val="left"/>
              <w:rPr>
                <w:rFonts w:hint="default"/>
                <w:b/>
                <w:lang w:val="en-US" w:eastAsia="zh-CN"/>
              </w:rPr>
            </w:pPr>
            <w:r>
              <w:rPr>
                <w:rFonts w:hint="default"/>
                <w:b/>
                <w:lang w:val="en-US" w:eastAsia="zh-CN"/>
              </w:rPr>
              <w:t>3.护士执行治疗护理时做好配合工作，协助护士观察各种管道是否通畅，有异常及时报告护士或医生。</w:t>
            </w:r>
          </w:p>
          <w:p>
            <w:pPr>
              <w:pStyle w:val="20"/>
              <w:jc w:val="left"/>
              <w:rPr>
                <w:rFonts w:hint="default"/>
                <w:b/>
                <w:lang w:val="en-US" w:eastAsia="zh-CN"/>
              </w:rPr>
            </w:pPr>
            <w:r>
              <w:rPr>
                <w:rFonts w:hint="default"/>
                <w:b/>
                <w:lang w:val="en-US" w:eastAsia="zh-CN"/>
              </w:rPr>
              <w:t>4.协助护士做好患者检查前的禁食工作，负责送患者院内检查和协助留取各种标本。</w:t>
            </w:r>
          </w:p>
          <w:p>
            <w:pPr>
              <w:pStyle w:val="20"/>
              <w:jc w:val="left"/>
              <w:rPr>
                <w:rFonts w:hint="default"/>
                <w:b/>
                <w:lang w:val="en-US" w:eastAsia="zh-CN"/>
              </w:rPr>
            </w:pPr>
            <w:r>
              <w:rPr>
                <w:rFonts w:hint="default"/>
                <w:b/>
                <w:lang w:val="en-US" w:eastAsia="zh-CN"/>
              </w:rPr>
              <w:t>5.及时满足保护性约束或输液患者的需求。不能约束患者或解除患者的约束，有必要时报告当班护士，由护士执行。</w:t>
            </w:r>
          </w:p>
          <w:p>
            <w:pPr>
              <w:pStyle w:val="20"/>
              <w:jc w:val="left"/>
              <w:rPr>
                <w:rFonts w:hint="default"/>
                <w:b/>
                <w:lang w:val="en-US" w:eastAsia="zh-CN"/>
              </w:rPr>
            </w:pPr>
            <w:r>
              <w:rPr>
                <w:rFonts w:hint="default"/>
                <w:b/>
                <w:lang w:val="en-US" w:eastAsia="zh-CN"/>
              </w:rPr>
              <w:t>6.对卧床患者要每天进行温水擦浴和更衣，协助护士按要求定时翻身，更换体位，根据患者需要为患者活动关节、肢体或扶患者下床活动，协助患者翻身拍背、功能训练。</w:t>
            </w:r>
          </w:p>
          <w:p>
            <w:pPr>
              <w:pStyle w:val="20"/>
              <w:jc w:val="left"/>
              <w:rPr>
                <w:rFonts w:hint="default"/>
                <w:b/>
                <w:lang w:val="en-US" w:eastAsia="zh-CN"/>
              </w:rPr>
            </w:pPr>
            <w:r>
              <w:rPr>
                <w:rFonts w:hint="default"/>
                <w:b/>
                <w:lang w:val="en-US" w:eastAsia="zh-CN"/>
              </w:rPr>
              <w:t>7.对不能自理患者要定时督促大小便，如遗大小便要及时清洁和更换衣物、被服，要保持皮肤清洁干净。对有跌倒和坠床危险的患者，随时陪伴左右及做好保护措施。如果患者发生跌倒或其他意外事件，马上报告护士。</w:t>
            </w:r>
          </w:p>
          <w:p>
            <w:pPr>
              <w:pStyle w:val="20"/>
              <w:jc w:val="left"/>
              <w:rPr>
                <w:rFonts w:hint="default"/>
                <w:b/>
                <w:lang w:val="en-US" w:eastAsia="zh-CN"/>
              </w:rPr>
            </w:pPr>
            <w:r>
              <w:rPr>
                <w:rFonts w:hint="default"/>
                <w:b/>
                <w:lang w:val="en-US" w:eastAsia="zh-CN"/>
              </w:rPr>
              <w:t>8.对危重患者要注意其面色和呼吸，不能随便移动患者，有特殊情况及时通知医护人员前来处理。</w:t>
            </w:r>
          </w:p>
          <w:p>
            <w:pPr>
              <w:pStyle w:val="20"/>
              <w:jc w:val="left"/>
              <w:rPr>
                <w:rFonts w:hint="default"/>
                <w:b/>
                <w:lang w:val="en-US" w:eastAsia="zh-CN"/>
              </w:rPr>
            </w:pPr>
            <w:r>
              <w:rPr>
                <w:rFonts w:hint="default"/>
                <w:b/>
                <w:lang w:val="en-US" w:eastAsia="zh-CN"/>
              </w:rPr>
              <w:t>9.一对一专陪，经家属委托在病情允许和经医生同意下陪伴患者院内散步，未经允许严禁带患者外出医院区域范围外，散步期间负责患者安全管理责任。</w:t>
            </w:r>
          </w:p>
          <w:p>
            <w:pPr>
              <w:pStyle w:val="20"/>
              <w:jc w:val="left"/>
              <w:rPr>
                <w:rFonts w:hint="default"/>
                <w:b/>
                <w:lang w:val="en-US" w:eastAsia="zh-CN"/>
              </w:rPr>
            </w:pPr>
            <w:r>
              <w:rPr>
                <w:rFonts w:hint="default"/>
                <w:b/>
                <w:lang w:val="en-US" w:eastAsia="zh-CN"/>
              </w:rPr>
              <w:t>10.按病区护士要求完成其他未尽事宜的服务。</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（七）遗体转运服务工作要求</w:t>
            </w:r>
          </w:p>
          <w:p>
            <w:pPr>
              <w:pStyle w:val="20"/>
              <w:jc w:val="left"/>
              <w:rPr>
                <w:rFonts w:hint="default"/>
                <w:b/>
                <w:lang w:val="en-US" w:eastAsia="zh-CN"/>
              </w:rPr>
            </w:pPr>
            <w:r>
              <w:rPr>
                <w:rFonts w:hint="default"/>
                <w:b/>
                <w:lang w:val="en-US" w:eastAsia="zh-CN"/>
              </w:rPr>
              <w:t>1.甲方将患者尸体转运及太平间尸体转运后清洁、消毒工作委托给乙方进行管理。</w:t>
            </w:r>
          </w:p>
          <w:p>
            <w:pPr>
              <w:pStyle w:val="20"/>
              <w:jc w:val="left"/>
              <w:rPr>
                <w:rFonts w:hint="default"/>
                <w:b/>
                <w:lang w:val="en-US" w:eastAsia="zh-CN"/>
              </w:rPr>
            </w:pPr>
            <w:r>
              <w:rPr>
                <w:rFonts w:hint="default"/>
                <w:b/>
                <w:lang w:val="en-US" w:eastAsia="zh-CN"/>
              </w:rPr>
              <w:t>2.甲方院区内尸体需要转运时，由甲方科室人员通知乙方管理人员，乙方收到通知后应安排工作人员在30分钟内带上平车及由殡仪馆提供的打包袋等物资到达现场，并与甲方科室医护人员做好相关的交接和核实。</w:t>
            </w:r>
          </w:p>
          <w:p>
            <w:pPr>
              <w:pStyle w:val="20"/>
              <w:jc w:val="left"/>
              <w:rPr>
                <w:rFonts w:hint="default"/>
                <w:b/>
                <w:lang w:val="en-US" w:eastAsia="zh-CN"/>
              </w:rPr>
            </w:pPr>
            <w:r>
              <w:rPr>
                <w:rFonts w:hint="default"/>
                <w:b/>
                <w:lang w:val="en-US" w:eastAsia="zh-CN"/>
              </w:rPr>
              <w:t>3.乙方工作人员将尸体转运到太平间后，必须检查好(打开)空调和锁好门窗。</w:t>
            </w:r>
          </w:p>
          <w:p>
            <w:pPr>
              <w:pStyle w:val="20"/>
              <w:jc w:val="left"/>
              <w:rPr>
                <w:rFonts w:hint="default"/>
                <w:b/>
                <w:lang w:val="en-US" w:eastAsia="zh-CN"/>
              </w:rPr>
            </w:pPr>
            <w:r>
              <w:rPr>
                <w:rFonts w:hint="default"/>
                <w:b/>
                <w:lang w:val="en-US" w:eastAsia="zh-CN"/>
              </w:rPr>
              <w:t>4.太平间尸体需要转运时，应由甲方相关部门以书面或电话形式通知乙方， 死者家属或殡仪馆工作人员凭死者《死亡证明》前来太平间与乙方工作人员做好相关的尸体核实确认签名等相关手续后，由殡仪馆工作人员将尸体进行转运，若殡仪馆人员没有办理确认手续不得移交。尸体转运工作需填写附件6《太平间尸体转运登记表》。</w:t>
            </w:r>
          </w:p>
          <w:p>
            <w:pPr>
              <w:pStyle w:val="20"/>
              <w:jc w:val="left"/>
              <w:rPr>
                <w:rFonts w:hint="default"/>
                <w:b/>
                <w:lang w:val="en-US" w:eastAsia="zh-CN"/>
              </w:rPr>
            </w:pPr>
            <w:r>
              <w:rPr>
                <w:rFonts w:hint="default"/>
                <w:b/>
                <w:lang w:val="en-US" w:eastAsia="zh-CN"/>
              </w:rPr>
              <w:t>5.转运走尸体后，由乙方工作人员负责对太平间做好相关的消毒清洁工作。</w:t>
            </w:r>
          </w:p>
          <w:p>
            <w:pPr>
              <w:pStyle w:val="20"/>
              <w:jc w:val="left"/>
              <w:rPr>
                <w:rFonts w:hint="default"/>
                <w:b/>
                <w:lang w:val="en-US" w:eastAsia="zh-CN"/>
              </w:rPr>
            </w:pPr>
            <w:r>
              <w:rPr>
                <w:rFonts w:hint="default"/>
                <w:b/>
                <w:lang w:val="en-US" w:eastAsia="zh-CN"/>
              </w:rPr>
              <w:t>6.甲方委托给乙方的工作，由乙方负责对其工作人员进行工作安排、上班时间、调动等工作安排。</w:t>
            </w:r>
          </w:p>
          <w:p>
            <w:pPr>
              <w:pStyle w:val="20"/>
              <w:jc w:val="left"/>
              <w:rPr>
                <w:rFonts w:hint="default"/>
                <w:b/>
                <w:lang w:val="en-US" w:eastAsia="zh-CN"/>
              </w:rPr>
            </w:pPr>
            <w:r>
              <w:rPr>
                <w:rFonts w:hint="default"/>
                <w:b/>
                <w:lang w:val="en-US" w:eastAsia="zh-CN"/>
              </w:rPr>
              <w:t>7.服务费用：按每具尸体人民币230.00元进行结算，含税费、清洁用具、常规消毒用品(不包含紫外线消毒)、个人防护用品及服务实施过程中的不可预</w:t>
            </w:r>
          </w:p>
          <w:p>
            <w:pPr>
              <w:pStyle w:val="20"/>
              <w:jc w:val="left"/>
              <w:rPr>
                <w:rFonts w:hint="default"/>
                <w:b/>
                <w:lang w:val="en-US" w:eastAsia="zh-CN"/>
              </w:rPr>
            </w:pPr>
            <w:r>
              <w:rPr>
                <w:rFonts w:hint="default"/>
                <w:b/>
                <w:lang w:val="en-US" w:eastAsia="zh-CN"/>
              </w:rPr>
              <w:t>见费用等，按每月的实际发生数量进行结算。甲方与乙方核对无误后，开具发票交甲方财务；甲方收到发票后10日内以转账形式支付给乙方指定账户。</w:t>
            </w:r>
          </w:p>
          <w:p>
            <w:pPr>
              <w:pStyle w:val="20"/>
              <w:jc w:val="left"/>
              <w:rPr>
                <w:rFonts w:hint="default"/>
                <w:b/>
                <w:lang w:val="en-US" w:eastAsia="zh-CN"/>
              </w:rPr>
            </w:pPr>
            <w:r>
              <w:rPr>
                <w:rFonts w:hint="default"/>
                <w:b/>
                <w:lang w:val="en-US" w:eastAsia="zh-CN"/>
              </w:rPr>
              <w:t>8.乙方负责该服务项目工作人员的工资及相关待遇的发放。</w:t>
            </w:r>
          </w:p>
          <w:p>
            <w:pPr>
              <w:pStyle w:val="20"/>
              <w:jc w:val="left"/>
              <w:rPr>
                <w:rFonts w:hint="default"/>
                <w:b/>
                <w:lang w:val="en-US" w:eastAsia="zh-CN"/>
              </w:rPr>
            </w:pPr>
            <w:r>
              <w:rPr>
                <w:rFonts w:hint="default"/>
                <w:b/>
                <w:lang w:val="en-US" w:eastAsia="zh-CN"/>
              </w:rPr>
              <w:t>9.乙方工作人员应严格遵守甲方制定的要求做好丧属信息保密。乙方工作 人员因执行本职工作而获取、掌握的丧属信息(包括姓名、住址、联系电话等一 切可以联系到死亡患者家属(丧属)的信息和途径)不得利用此保密信息从事与 工作无关的事情，不得披露给第三人。乙方工作人员非因执行本职工作而获取、掌握的丧属信息，同样不得利用此保密信息从事与工作无关的事情，不得披露给第三人。并签订附件7《太平间服务承诺书》及附件8《医院丧属信息保密协议》。</w:t>
            </w:r>
          </w:p>
          <w:p>
            <w:pPr>
              <w:pStyle w:val="20"/>
              <w:jc w:val="left"/>
              <w:rPr>
                <w:rFonts w:hint="default"/>
                <w:b/>
                <w:lang w:val="en-US" w:eastAsia="zh-CN"/>
              </w:rPr>
            </w:pPr>
            <w:r>
              <w:rPr>
                <w:rFonts w:hint="default"/>
                <w:b/>
                <w:lang w:val="en-US" w:eastAsia="zh-CN"/>
              </w:rPr>
              <w:t>10.遗体转运服务由甲方后勤管理部门进行管理，乙方必须服从甲方后勤管理部门管理要求。</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（八）管理质量标准及要求、罚则</w:t>
            </w:r>
          </w:p>
          <w:p>
            <w:pPr>
              <w:pStyle w:val="20"/>
              <w:jc w:val="left"/>
              <w:rPr>
                <w:rFonts w:hint="default"/>
                <w:b/>
                <w:lang w:val="en-US" w:eastAsia="zh-CN"/>
              </w:rPr>
            </w:pPr>
            <w:r>
              <w:rPr>
                <w:rFonts w:hint="default"/>
                <w:b/>
                <w:lang w:val="en-US" w:eastAsia="zh-CN"/>
              </w:rPr>
              <w:t>一）质量标准及要求：公司有责任无偿提供所有员工的个人档案资料、驻场岗前培训考核和继续教育培训考核计划、人员及岗位责任、岗位考核标准、公司对各岗位监督检查标准、综合满意度的评价标准交医院确认，确保能严格按照标准化的操作程序、完善的培训体系和质量控制体系完成本项目，以保证所承担的项目能安全、高效、有序和有计划地运转。并做到：</w:t>
            </w:r>
          </w:p>
          <w:p>
            <w:pPr>
              <w:pStyle w:val="20"/>
              <w:jc w:val="left"/>
              <w:rPr>
                <w:rFonts w:hint="default"/>
                <w:b/>
                <w:lang w:val="en-US" w:eastAsia="zh-CN"/>
              </w:rPr>
            </w:pPr>
            <w:r>
              <w:rPr>
                <w:rFonts w:hint="default"/>
                <w:b/>
                <w:lang w:val="en-US" w:eastAsia="zh-CN"/>
              </w:rPr>
              <w:t>1.实行优质管理和服务，每年要有员工培训和考核计划，并交甲方使用部门，而且按计划落实，保证员工的服务能符合工作要求，持续改进服务质量，为医院及患者提供礼貌、主动、热情周到的服务。</w:t>
            </w:r>
          </w:p>
          <w:p>
            <w:pPr>
              <w:pStyle w:val="20"/>
              <w:jc w:val="left"/>
              <w:rPr>
                <w:rFonts w:hint="default"/>
                <w:b/>
                <w:lang w:val="en-US" w:eastAsia="zh-CN"/>
              </w:rPr>
            </w:pPr>
            <w:r>
              <w:rPr>
                <w:rFonts w:hint="default"/>
                <w:b/>
                <w:lang w:val="en-US" w:eastAsia="zh-CN"/>
              </w:rPr>
              <w:t>2.对派驻员工实行规范管理，体现人文关怀和奖罚分明的激励机制， 保证员工队伍的相对稳定性，留住优秀员工。</w:t>
            </w:r>
          </w:p>
          <w:p>
            <w:pPr>
              <w:pStyle w:val="20"/>
              <w:jc w:val="left"/>
              <w:rPr>
                <w:rFonts w:hint="default"/>
                <w:b/>
                <w:lang w:val="en-US" w:eastAsia="zh-CN"/>
              </w:rPr>
            </w:pPr>
            <w:r>
              <w:rPr>
                <w:rFonts w:hint="default"/>
                <w:b/>
                <w:lang w:val="en-US" w:eastAsia="zh-CN"/>
              </w:rPr>
              <w:t>3.保证派驻现场的员工遵守国家的法律法规，如出现违法违纪行为，所造成的一切后果及损失，由公司承担责任和负责赔偿；出现严重违纪、违规行为，医院有权终止合同。</w:t>
            </w:r>
          </w:p>
          <w:p>
            <w:pPr>
              <w:pStyle w:val="20"/>
              <w:jc w:val="left"/>
              <w:rPr>
                <w:rFonts w:hint="default"/>
                <w:b/>
                <w:lang w:val="en-US" w:eastAsia="zh-CN"/>
              </w:rPr>
            </w:pPr>
            <w:r>
              <w:rPr>
                <w:rFonts w:hint="default"/>
                <w:b/>
                <w:lang w:val="en-US" w:eastAsia="zh-CN"/>
              </w:rPr>
              <w:t>4.实行规范管理，符合医疗及患者家属服务需要。采购人对中标供应商的工作质量进行不定期监督、检查，并根据质量检查和罚则要求，每月征询各用工部门的意见，及时商讨和解决存在问题。</w:t>
            </w:r>
          </w:p>
          <w:p>
            <w:pPr>
              <w:pStyle w:val="20"/>
              <w:jc w:val="left"/>
              <w:rPr>
                <w:rFonts w:hint="default"/>
                <w:b/>
                <w:lang w:val="en-US" w:eastAsia="zh-CN"/>
              </w:rPr>
            </w:pPr>
            <w:r>
              <w:rPr>
                <w:rFonts w:hint="default"/>
                <w:b/>
                <w:lang w:val="en-US" w:eastAsia="zh-CN"/>
              </w:rPr>
              <w:t>5.确保患者的安全，不发生责任和意外事故。如因管理不善、服务不规范导致服务纠纷和事故及由此引起的其他事件，由公司承担应有责任。</w:t>
            </w:r>
          </w:p>
          <w:p>
            <w:pPr>
              <w:pStyle w:val="20"/>
              <w:jc w:val="left"/>
              <w:rPr>
                <w:rFonts w:hint="default"/>
                <w:b/>
                <w:lang w:val="en-US" w:eastAsia="zh-CN"/>
              </w:rPr>
            </w:pPr>
            <w:r>
              <w:rPr>
                <w:rFonts w:hint="default"/>
                <w:b/>
                <w:lang w:val="en-US" w:eastAsia="zh-CN"/>
              </w:rPr>
              <w:t>6.派驻现场的员工必须着装统一、仪表端庄。</w:t>
            </w:r>
          </w:p>
          <w:p>
            <w:pPr>
              <w:pStyle w:val="20"/>
              <w:jc w:val="left"/>
              <w:rPr>
                <w:rFonts w:hint="default"/>
                <w:b/>
                <w:lang w:val="en-US" w:eastAsia="zh-CN"/>
              </w:rPr>
            </w:pPr>
            <w:r>
              <w:rPr>
                <w:rFonts w:hint="default"/>
                <w:b/>
                <w:lang w:val="en-US" w:eastAsia="zh-CN"/>
              </w:rPr>
              <w:t>7.在日常服务管理过程中自觉维护医院的权益及声誉、妥善保管保养好医院的相关设施设备，如人为造成损坏，按要求予以赔偿，对无法解决的事故要及时向医院反映。</w:t>
            </w:r>
          </w:p>
          <w:p>
            <w:pPr>
              <w:pStyle w:val="20"/>
              <w:jc w:val="left"/>
              <w:rPr>
                <w:rFonts w:hint="default"/>
                <w:b/>
                <w:lang w:val="en-US" w:eastAsia="zh-CN"/>
              </w:rPr>
            </w:pPr>
            <w:r>
              <w:rPr>
                <w:rFonts w:hint="default"/>
                <w:b/>
                <w:lang w:val="en-US" w:eastAsia="zh-CN"/>
              </w:rPr>
              <w:t>8.派驻医院的服务人员应严格遵守医院有关规章制度、保密承诺及安全作业承诺，签订附件5：《医院住院患者信息保密协议》，公司员工违反以上守则并经查实者将会受到即时解雇及追究供应商责任。</w:t>
            </w:r>
          </w:p>
          <w:p>
            <w:pPr>
              <w:pStyle w:val="20"/>
              <w:jc w:val="left"/>
              <w:rPr>
                <w:rFonts w:hint="default"/>
                <w:b/>
                <w:lang w:val="en-US" w:eastAsia="zh-CN"/>
              </w:rPr>
            </w:pPr>
            <w:r>
              <w:rPr>
                <w:rFonts w:hint="default"/>
                <w:b/>
                <w:lang w:val="en-US" w:eastAsia="zh-CN"/>
              </w:rPr>
              <w:t>9.公司具有固定的人员储备，应能及时提供突发性需求的人员。</w:t>
            </w:r>
          </w:p>
          <w:p>
            <w:pPr>
              <w:pStyle w:val="20"/>
              <w:jc w:val="left"/>
              <w:rPr>
                <w:rFonts w:hint="default"/>
                <w:b/>
                <w:lang w:val="en-US" w:eastAsia="zh-CN"/>
              </w:rPr>
            </w:pPr>
            <w:r>
              <w:rPr>
                <w:rFonts w:hint="default"/>
                <w:b/>
                <w:lang w:val="en-US" w:eastAsia="zh-CN"/>
              </w:rPr>
              <w:t>二）质量检查与罚则</w:t>
            </w:r>
          </w:p>
          <w:p>
            <w:pPr>
              <w:pStyle w:val="20"/>
              <w:jc w:val="left"/>
              <w:rPr>
                <w:rFonts w:hint="default"/>
                <w:b/>
                <w:lang w:val="en-US" w:eastAsia="zh-CN"/>
              </w:rPr>
            </w:pPr>
            <w:r>
              <w:rPr>
                <w:rFonts w:hint="default"/>
                <w:b/>
                <w:lang w:val="en-US" w:eastAsia="zh-CN"/>
              </w:rPr>
              <w:t>1.中标供应商须在接到中标通知书30天内与采购人签订服务合同，从合同签订之日起，提供满足采购人需求的服务人员。如在规定时间内未达到采购人的人员要求，每少一人扣总服务费的1%，以此类推；在服务期限内如有人员离职，中标供应商应在采购人发出书面要求48小时内提供采购人所需工作人员，否则视为中标供应商违约。中标供应商违约应向采购人赔付违约金，具体赔付标准为：第一天25元/人，第二天后每天50元/人，且采购人有权选择他人完成，但非因中标供应商原因或者突发事件除外。</w:t>
            </w:r>
          </w:p>
          <w:p>
            <w:pPr>
              <w:pStyle w:val="20"/>
              <w:jc w:val="left"/>
              <w:rPr>
                <w:rFonts w:hint="default"/>
                <w:b/>
                <w:lang w:val="en-US" w:eastAsia="zh-CN"/>
              </w:rPr>
            </w:pPr>
            <w:r>
              <w:rPr>
                <w:rFonts w:hint="default"/>
                <w:b/>
                <w:lang w:val="en-US" w:eastAsia="zh-CN"/>
              </w:rPr>
              <w:t>2.采购人除对中标供应商工作质量每月进行评价外，每月组织各科护士长采用附件2《陪护人员/护工服务满意度调查表》对项目的陪护人员/护工服务进行满意度调查，个人满意度须达到80%，如果低于80%，则根据具体情况中标供应商对其进行培训教育，必要时给予相应的经济扣罚，受到投诉情节严重的给予解聘。</w:t>
            </w:r>
          </w:p>
          <w:p>
            <w:pPr>
              <w:pStyle w:val="20"/>
              <w:jc w:val="left"/>
              <w:rPr>
                <w:rFonts w:hint="default"/>
                <w:b/>
                <w:lang w:val="en-US" w:eastAsia="zh-CN"/>
              </w:rPr>
            </w:pPr>
            <w:r>
              <w:rPr>
                <w:rFonts w:hint="default"/>
                <w:b/>
                <w:lang w:val="en-US" w:eastAsia="zh-CN"/>
              </w:rPr>
              <w:t>3.中标供应商员工按要求统一着装，保持仪表整洁。</w:t>
            </w:r>
          </w:p>
          <w:p>
            <w:pPr>
              <w:pStyle w:val="20"/>
              <w:jc w:val="left"/>
              <w:rPr>
                <w:rFonts w:hint="default"/>
                <w:b/>
                <w:lang w:val="en-US" w:eastAsia="zh-CN"/>
              </w:rPr>
            </w:pPr>
            <w:r>
              <w:rPr>
                <w:rFonts w:hint="default"/>
                <w:b/>
                <w:lang w:val="en-US" w:eastAsia="zh-CN"/>
              </w:rPr>
              <w:t>4.严格遵守岗位责任制，按以下情节给予相应的经济扣罚：</w:t>
            </w:r>
          </w:p>
          <w:p>
            <w:pPr>
              <w:pStyle w:val="20"/>
              <w:jc w:val="left"/>
              <w:rPr>
                <w:rFonts w:hint="default"/>
                <w:b/>
                <w:lang w:val="en-US" w:eastAsia="zh-CN"/>
              </w:rPr>
            </w:pPr>
            <w:r>
              <w:rPr>
                <w:rFonts w:hint="default"/>
                <w:b/>
                <w:lang w:val="en-US" w:eastAsia="zh-CN"/>
              </w:rPr>
              <w:t>（1）泄露患者隐私包括把患者身份、照片、病情等相关信息发到微信、抖音或其他公众信息平台等扣200元/次，造成严重后果扣500-1000元/次并予以辞退，必要时追究陪护公司以及护工个人法律责任。</w:t>
            </w:r>
          </w:p>
          <w:p>
            <w:pPr>
              <w:pStyle w:val="20"/>
              <w:jc w:val="left"/>
              <w:rPr>
                <w:rFonts w:hint="default"/>
                <w:b/>
                <w:lang w:val="en-US" w:eastAsia="zh-CN"/>
              </w:rPr>
            </w:pPr>
            <w:r>
              <w:rPr>
                <w:rFonts w:hint="default"/>
                <w:b/>
                <w:lang w:val="en-US" w:eastAsia="zh-CN"/>
              </w:rPr>
              <w:t>（2）迟到、早退按情节严重扣罚50-100元/次。上班打瞌睡扣50元/次；上班睡觉扣100元/次，在患者床上睡觉扣300元/次。</w:t>
            </w:r>
          </w:p>
          <w:p>
            <w:pPr>
              <w:pStyle w:val="20"/>
              <w:jc w:val="left"/>
              <w:rPr>
                <w:rFonts w:hint="default"/>
                <w:b/>
                <w:lang w:val="en-US" w:eastAsia="zh-CN"/>
              </w:rPr>
            </w:pPr>
            <w:r>
              <w:rPr>
                <w:rFonts w:hint="default"/>
                <w:b/>
                <w:lang w:val="en-US" w:eastAsia="zh-CN"/>
              </w:rPr>
              <w:t>（3）无故脱岗按情节严重扣罚50-200元，重犯加倍/辞退。旷工扣400元/次，重犯则予辞退。</w:t>
            </w:r>
          </w:p>
          <w:p>
            <w:pPr>
              <w:pStyle w:val="20"/>
              <w:jc w:val="left"/>
              <w:rPr>
                <w:rFonts w:hint="default"/>
                <w:b/>
                <w:lang w:val="en-US" w:eastAsia="zh-CN"/>
              </w:rPr>
            </w:pPr>
            <w:r>
              <w:rPr>
                <w:rFonts w:hint="default"/>
                <w:b/>
                <w:lang w:val="en-US" w:eastAsia="zh-CN"/>
              </w:rPr>
              <w:t>（4）违规按医院规定扣罚：</w:t>
            </w:r>
          </w:p>
          <w:p>
            <w:pPr>
              <w:pStyle w:val="20"/>
              <w:jc w:val="left"/>
              <w:rPr>
                <w:rFonts w:hint="default"/>
                <w:b/>
                <w:lang w:val="en-US" w:eastAsia="zh-CN"/>
              </w:rPr>
            </w:pPr>
            <w:r>
              <w:rPr>
                <w:rFonts w:hint="default"/>
                <w:b/>
                <w:lang w:val="en-US" w:eastAsia="zh-CN"/>
              </w:rPr>
              <w:t>1）中标供应商员工殴打患者、聚众闹事、卖烟、酒、食物及其他生活用品给患者，不尊重患者或取笑辱骂患者（包括不是自己陪护的患者），应立即辞退，永不录用，并扣罚200-500元；向患者或家属索要钱物，或私自收患者陪护费，首次扣除200元，再次违反者除扣罚外予以辞退，因此发生纠纷的必须承担相应的后果或法律责任。</w:t>
            </w:r>
          </w:p>
          <w:p>
            <w:pPr>
              <w:pStyle w:val="20"/>
              <w:jc w:val="left"/>
              <w:rPr>
                <w:rFonts w:hint="default"/>
                <w:b/>
                <w:lang w:val="en-US" w:eastAsia="zh-CN"/>
              </w:rPr>
            </w:pPr>
            <w:r>
              <w:rPr>
                <w:rFonts w:hint="default"/>
                <w:b/>
                <w:lang w:val="en-US" w:eastAsia="zh-CN"/>
              </w:rPr>
              <w:t>2）中标供应商员工因陪护责任不到位导致患者跌倒及其他意外（包括自伤、自杀、擅自离院等），不主动报告或瞒报者罚200元/次；发生不良事件与护工存在直接责任关系，由采购人相关部门讨论后给予中标供应商相应的处罚（Ⅰ级不良事件扣罚500-1000元/例；Ⅱ级不良事件扣罚200-500元/例；Ⅲ级不良事件扣罚50-200元/例），如果发生不良事件引起投诉以及法律纠纷的，由中标供应商承担相应的后果及法律责任。</w:t>
            </w:r>
          </w:p>
          <w:p>
            <w:pPr>
              <w:pStyle w:val="20"/>
              <w:jc w:val="left"/>
              <w:rPr>
                <w:rFonts w:hint="default"/>
                <w:b/>
                <w:lang w:val="en-US" w:eastAsia="zh-CN"/>
              </w:rPr>
            </w:pPr>
            <w:r>
              <w:rPr>
                <w:rFonts w:hint="default"/>
                <w:b/>
                <w:lang w:val="en-US" w:eastAsia="zh-CN"/>
              </w:rPr>
              <w:t>3）私自约束患者，工作中存在安全隐患，造成患者损伤，在病房内抽烟或帮患者点烟，工作期间饮酒，不按规定办理手续自行带患者外出，扣罚100元/次。</w:t>
            </w:r>
          </w:p>
          <w:p>
            <w:pPr>
              <w:pStyle w:val="20"/>
              <w:jc w:val="left"/>
              <w:rPr>
                <w:rFonts w:hint="default"/>
                <w:b/>
                <w:lang w:val="en-US" w:eastAsia="zh-CN"/>
              </w:rPr>
            </w:pPr>
            <w:r>
              <w:rPr>
                <w:rFonts w:hint="default"/>
                <w:b/>
                <w:lang w:val="en-US" w:eastAsia="zh-CN"/>
              </w:rPr>
              <w:t>4）不服从病区管理，不接受批评教育，在病区内吵闹，聚众聊天，做私事或打扑克，带患者院内活动时坐在医院大门、路边、汽车道上或远离患者，私带外人进入病房，私自吃患者的食物，不按时关灯、关电视机，物品不按规定 使用或放置，不爱护公物，扣罚100元/次。若破坏公物照价赔偿，有偷窃行为者将移交公安机关处理。</w:t>
            </w:r>
          </w:p>
          <w:p>
            <w:pPr>
              <w:pStyle w:val="20"/>
              <w:jc w:val="left"/>
              <w:rPr>
                <w:rFonts w:hint="default"/>
                <w:b/>
                <w:lang w:val="en-US" w:eastAsia="zh-CN"/>
              </w:rPr>
            </w:pPr>
            <w:r>
              <w:rPr>
                <w:rFonts w:hint="default"/>
                <w:b/>
                <w:lang w:val="en-US" w:eastAsia="zh-CN"/>
              </w:rPr>
              <w:t>（5）违反医院及科室有关规定，擅自进行超工作范围以外的操作，予以辞退，并对中标供应商扣罚200-500元/次。</w:t>
            </w:r>
          </w:p>
          <w:p>
            <w:pPr>
              <w:pStyle w:val="20"/>
              <w:jc w:val="left"/>
              <w:rPr>
                <w:rFonts w:hint="default"/>
                <w:b/>
                <w:lang w:val="en-US" w:eastAsia="zh-CN"/>
              </w:rPr>
            </w:pPr>
            <w:r>
              <w:rPr>
                <w:rFonts w:hint="default"/>
                <w:b/>
                <w:lang w:val="en-US" w:eastAsia="zh-CN"/>
              </w:rPr>
              <w:t>（6）陪护人员/护工按规定参加培训与考核，考核不达标要补考。</w:t>
            </w:r>
          </w:p>
          <w:p>
            <w:pPr>
              <w:pStyle w:val="20"/>
              <w:jc w:val="left"/>
              <w:rPr>
                <w:rFonts w:hint="default"/>
                <w:b/>
                <w:lang w:val="en-US" w:eastAsia="zh-CN"/>
              </w:rPr>
            </w:pPr>
            <w:r>
              <w:rPr>
                <w:rFonts w:hint="default"/>
                <w:b/>
                <w:lang w:val="en-US" w:eastAsia="zh-CN"/>
              </w:rPr>
              <w:t>（7）服务态度：由于服务态度欠佳造成患者/家属投诉，经核实，视问题轻重予以扣罚200-500元/次，情节严重予以辞退。</w:t>
            </w:r>
          </w:p>
          <w:p>
            <w:pPr>
              <w:pStyle w:val="20"/>
              <w:jc w:val="left"/>
              <w:rPr>
                <w:rFonts w:hint="default"/>
                <w:b/>
                <w:lang w:val="en-US" w:eastAsia="zh-CN"/>
              </w:rPr>
            </w:pPr>
            <w:r>
              <w:rPr>
                <w:rFonts w:hint="default"/>
                <w:b/>
                <w:lang w:val="en-US" w:eastAsia="zh-CN"/>
              </w:rPr>
              <w:t>（8）在国家、省、市的重要检查或重大突击性任务中，发生属中标供应商质量责任问题，经查属实，且不及时或不配合整改，受到上级批评的，采购人可以解除合同。</w:t>
            </w:r>
          </w:p>
          <w:p>
            <w:pPr>
              <w:pStyle w:val="20"/>
              <w:jc w:val="left"/>
              <w:rPr>
                <w:rFonts w:hint="default"/>
                <w:b/>
                <w:lang w:val="en-US" w:eastAsia="zh-CN"/>
              </w:rPr>
            </w:pPr>
            <w:r>
              <w:rPr>
                <w:rFonts w:hint="default"/>
                <w:b/>
                <w:lang w:val="en-US" w:eastAsia="zh-CN"/>
              </w:rPr>
              <w:t>（9）若中标供应商服务不到位或管理质量不符合采购文件要求，导致其派驻服务人员受到患者、患者家属或采购人有效投诉的，采购人有权随时要求撤换服务人员，中标供应商必须无条件接受，因此造成采购人损失的，由中标供应商负责赔偿；若中标供应商的服务人员在服务期间因其工作失误造成损害他人的，采购人有权根据所造成的不良后果要求中标供应商承担相应的法律及经济赔偿责任。</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（九）投标人拟派本项目的服务人员要求</w:t>
            </w:r>
          </w:p>
          <w:p>
            <w:pPr>
              <w:pStyle w:val="20"/>
              <w:jc w:val="left"/>
              <w:rPr>
                <w:rFonts w:hint="default"/>
                <w:b/>
                <w:lang w:val="en-US" w:eastAsia="zh-CN"/>
              </w:rPr>
            </w:pPr>
            <w:r>
              <w:rPr>
                <w:rFonts w:hint="default"/>
                <w:b/>
                <w:lang w:val="en-US" w:eastAsia="zh-CN"/>
              </w:rPr>
              <w:t>1. 服务人员要求：</w:t>
            </w:r>
          </w:p>
          <w:p>
            <w:pPr>
              <w:pStyle w:val="20"/>
              <w:jc w:val="left"/>
              <w:rPr>
                <w:rFonts w:hint="default"/>
                <w:b/>
                <w:lang w:val="en-US" w:eastAsia="zh-CN"/>
              </w:rPr>
            </w:pPr>
            <w:r>
              <w:rPr>
                <w:rFonts w:hint="default"/>
                <w:b/>
                <w:lang w:val="en-US" w:eastAsia="zh-CN"/>
              </w:rPr>
              <w:t>（1）项目经理：配置1人，年龄55周岁以下，具有高中以上学历，有1年或以上陪护管理经验。</w:t>
            </w:r>
          </w:p>
          <w:p>
            <w:pPr>
              <w:pStyle w:val="20"/>
              <w:jc w:val="left"/>
              <w:rPr>
                <w:rFonts w:hint="default"/>
                <w:b/>
                <w:lang w:val="en-US" w:eastAsia="zh-CN"/>
              </w:rPr>
            </w:pPr>
            <w:r>
              <w:rPr>
                <w:rFonts w:hint="default"/>
                <w:b/>
                <w:lang w:val="en-US" w:eastAsia="zh-CN"/>
              </w:rPr>
              <w:t>（2）驻现场管理人员：配置</w:t>
            </w:r>
            <w:r>
              <w:rPr>
                <w:rFonts w:hint="eastAsia"/>
                <w:b/>
                <w:lang w:val="en-US" w:eastAsia="zh-CN"/>
              </w:rPr>
              <w:t>1</w:t>
            </w:r>
            <w:r>
              <w:rPr>
                <w:rFonts w:hint="default"/>
                <w:b/>
                <w:lang w:val="en-US" w:eastAsia="zh-CN"/>
              </w:rPr>
              <w:t>人，年龄55周岁以下，具有初中以上学历，具有1年以上陪护驻场管理经验，需经过专业职业培训，取得护士资格证书或高级养老护理员证书或获得医疗护理员证书（提供相关职业技能证书），负责对现场陪护服务进行管理，并接受中标供应商的监督和指导。并要求持有合法医疗机构开具的健康证明，持续工作1年以上需年度体检（公司存档体检表）。</w:t>
            </w:r>
          </w:p>
          <w:p>
            <w:pPr>
              <w:pStyle w:val="20"/>
              <w:jc w:val="left"/>
              <w:rPr>
                <w:rFonts w:hint="default"/>
                <w:b/>
                <w:lang w:val="en-US" w:eastAsia="zh-CN"/>
              </w:rPr>
            </w:pPr>
            <w:r>
              <w:rPr>
                <w:rFonts w:hint="default"/>
                <w:b/>
                <w:lang w:val="en-US" w:eastAsia="zh-CN"/>
              </w:rPr>
              <w:t>（3）陪护人员及护工：</w:t>
            </w:r>
          </w:p>
          <w:p>
            <w:pPr>
              <w:pStyle w:val="20"/>
              <w:jc w:val="left"/>
              <w:rPr>
                <w:rFonts w:hint="default"/>
                <w:b/>
                <w:lang w:val="en-US" w:eastAsia="zh-CN"/>
              </w:rPr>
            </w:pPr>
            <w:r>
              <w:rPr>
                <w:rFonts w:hint="default"/>
                <w:b/>
                <w:lang w:val="en-US" w:eastAsia="zh-CN"/>
              </w:rPr>
              <w:t>2）初中或以上文化程度，有较强的责任心和协调能力，有一定的沟通能力。</w:t>
            </w:r>
          </w:p>
          <w:p>
            <w:pPr>
              <w:pStyle w:val="20"/>
              <w:jc w:val="left"/>
              <w:rPr>
                <w:rFonts w:hint="default"/>
                <w:b/>
                <w:lang w:val="en-US" w:eastAsia="zh-CN"/>
              </w:rPr>
            </w:pPr>
            <w:r>
              <w:rPr>
                <w:rFonts w:hint="default"/>
                <w:b/>
                <w:lang w:val="en-US" w:eastAsia="zh-CN"/>
              </w:rPr>
              <w:t>3）所有人员均需有居民身份证，来源清楚、无违法犯罪记录。</w:t>
            </w:r>
          </w:p>
          <w:p>
            <w:pPr>
              <w:pStyle w:val="20"/>
              <w:jc w:val="left"/>
              <w:rPr>
                <w:rFonts w:hint="default"/>
                <w:b/>
                <w:lang w:val="en-US" w:eastAsia="zh-CN"/>
              </w:rPr>
            </w:pPr>
            <w:r>
              <w:rPr>
                <w:rFonts w:hint="default"/>
                <w:b/>
                <w:lang w:val="en-US" w:eastAsia="zh-CN"/>
              </w:rPr>
              <w:t>4）陪护人员及护工上岗前必须进行岗前培训，培训后由中标供应商或采购人进行考核，考核合格后才能单独上岗，成交商需提交陪护人员及护工岗前培训考核证明。</w:t>
            </w:r>
          </w:p>
          <w:p>
            <w:pPr>
              <w:pStyle w:val="20"/>
              <w:jc w:val="left"/>
              <w:rPr>
                <w:rFonts w:hint="default"/>
                <w:b/>
                <w:lang w:val="en-US" w:eastAsia="zh-CN"/>
              </w:rPr>
            </w:pPr>
            <w:r>
              <w:rPr>
                <w:rFonts w:hint="default"/>
                <w:b/>
                <w:lang w:val="en-US" w:eastAsia="zh-CN"/>
              </w:rPr>
              <w:t>5）医院付费部分为相应科室配置固定的护工，按科室制定的岗位职责完成工作，如护工休息期间成交商需配置替班人员替岗。</w:t>
            </w:r>
          </w:p>
          <w:p>
            <w:pPr>
              <w:pStyle w:val="20"/>
              <w:jc w:val="left"/>
              <w:rPr>
                <w:rFonts w:hint="default"/>
                <w:b/>
                <w:lang w:val="en-US" w:eastAsia="zh-CN"/>
              </w:rPr>
            </w:pPr>
            <w:r>
              <w:rPr>
                <w:rFonts w:hint="default"/>
                <w:b/>
                <w:lang w:val="en-US" w:eastAsia="zh-CN"/>
              </w:rPr>
              <w:t>6）免陪护病房护工要求获得医疗护理员证书（提供相关职业技能证书）。</w:t>
            </w:r>
          </w:p>
          <w:p>
            <w:pPr>
              <w:pStyle w:val="20"/>
              <w:jc w:val="left"/>
              <w:rPr>
                <w:rFonts w:hint="default"/>
                <w:b/>
                <w:lang w:val="en-US" w:eastAsia="zh-CN"/>
              </w:rPr>
            </w:pPr>
            <w:r>
              <w:rPr>
                <w:rFonts w:hint="default"/>
                <w:b/>
                <w:lang w:val="en-US" w:eastAsia="zh-CN"/>
              </w:rPr>
              <w:t>2.服务人员配置以及服务要求：</w:t>
            </w:r>
          </w:p>
          <w:p>
            <w:pPr>
              <w:pStyle w:val="20"/>
              <w:jc w:val="left"/>
              <w:rPr>
                <w:rFonts w:hint="default"/>
                <w:b/>
                <w:lang w:val="en-US" w:eastAsia="zh-CN"/>
              </w:rPr>
            </w:pPr>
            <w:r>
              <w:rPr>
                <w:rFonts w:hint="default"/>
                <w:b/>
                <w:lang w:val="en-US" w:eastAsia="zh-CN"/>
              </w:rPr>
              <w:t>（2）中标供应商须配置项目经理要求熟悉医院陪护管理全面运作，有较强的沟通协调及应急处理能力，责任心强，安全意识强，有大局意识，全面负责本项目统筹管理及正常运行工作。</w:t>
            </w:r>
          </w:p>
          <w:p>
            <w:pPr>
              <w:pStyle w:val="20"/>
              <w:jc w:val="left"/>
              <w:rPr>
                <w:rFonts w:hint="default"/>
                <w:b/>
                <w:lang w:val="en-US" w:eastAsia="zh-CN"/>
              </w:rPr>
            </w:pPr>
            <w:r>
              <w:rPr>
                <w:rFonts w:hint="default"/>
                <w:b/>
                <w:lang w:val="en-US" w:eastAsia="zh-CN"/>
              </w:rPr>
              <w:t>（3）</w:t>
            </w:r>
            <w:r>
              <w:rPr>
                <w:rFonts w:hint="eastAsia"/>
                <w:b/>
                <w:lang w:val="en-US" w:eastAsia="zh-CN"/>
              </w:rPr>
              <w:t>其他</w:t>
            </w:r>
            <w:r>
              <w:rPr>
                <w:rFonts w:hint="default"/>
                <w:b/>
                <w:lang w:val="en-US" w:eastAsia="zh-CN"/>
              </w:rPr>
              <w:t>管理人员不少于</w:t>
            </w:r>
            <w:r>
              <w:rPr>
                <w:rFonts w:hint="eastAsia"/>
                <w:b/>
                <w:lang w:val="en-US" w:eastAsia="zh-CN"/>
              </w:rPr>
              <w:t>3</w:t>
            </w:r>
            <w:bookmarkStart w:id="0" w:name="_GoBack"/>
            <w:bookmarkEnd w:id="0"/>
            <w:r>
              <w:rPr>
                <w:rFonts w:hint="default"/>
                <w:b/>
                <w:lang w:val="en-US" w:eastAsia="zh-CN"/>
              </w:rPr>
              <w:t>名，负责对护工及专陪人员的日常管理工作及班次安排；巡检了解并记录各班每日工作情况、采购人和服务对象的意见和建议，及时向上级汇报；定期培训和考核护工、陪护工作，及时落实采购人的应急需求，在规定时间内合理处理存在的问题。及时调配人员，人员空缺及时补岗。</w:t>
            </w:r>
          </w:p>
          <w:p>
            <w:pPr>
              <w:pStyle w:val="20"/>
              <w:jc w:val="left"/>
              <w:rPr>
                <w:rFonts w:hint="default"/>
                <w:b/>
                <w:lang w:val="en-US" w:eastAsia="zh-CN"/>
              </w:rPr>
            </w:pPr>
            <w:r>
              <w:rPr>
                <w:rFonts w:hint="default"/>
                <w:b/>
                <w:lang w:val="en-US" w:eastAsia="zh-CN"/>
              </w:rPr>
              <w:t>（4）经采购人同意，根据患者需求在病区提供多种方式患者陪护工作。</w:t>
            </w:r>
          </w:p>
          <w:p>
            <w:pPr>
              <w:pStyle w:val="20"/>
              <w:jc w:val="left"/>
              <w:rPr>
                <w:rFonts w:hint="default"/>
                <w:b/>
                <w:lang w:val="en-US" w:eastAsia="zh-CN"/>
              </w:rPr>
            </w:pPr>
            <w:r>
              <w:rPr>
                <w:rFonts w:hint="default"/>
                <w:b/>
                <w:lang w:val="en-US" w:eastAsia="zh-CN"/>
              </w:rPr>
              <w:t>（5）所有拟派本项目的服务人员薪金要求：由投标人负责承担拟派本项目所有服务人员的薪资，薪资标准不得低于合同期内的同期佛山市劳动用工相关标准。</w:t>
            </w:r>
          </w:p>
          <w:p>
            <w:pPr>
              <w:pStyle w:val="20"/>
              <w:jc w:val="left"/>
              <w:rPr>
                <w:rFonts w:hint="default"/>
                <w:b/>
                <w:lang w:val="en-US" w:eastAsia="zh-CN"/>
              </w:rPr>
            </w:pPr>
            <w:r>
              <w:rPr>
                <w:rFonts w:hint="default"/>
                <w:b/>
                <w:lang w:val="en-US" w:eastAsia="zh-CN"/>
              </w:rPr>
              <w:t>（6）中标供应商具有规范的员工薪金管理制度，每月准时发放员工工资，不得故意拖欠、克扣员工工资现象，一经发现采购人给予中标供应商警告，超过两次拖欠工资将予以解除合同处理。</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（十）医疗责任的界定</w:t>
            </w:r>
          </w:p>
          <w:p>
            <w:pPr>
              <w:pStyle w:val="20"/>
              <w:jc w:val="left"/>
              <w:rPr>
                <w:rFonts w:hint="default"/>
                <w:b/>
                <w:lang w:val="en-US" w:eastAsia="zh-CN"/>
              </w:rPr>
            </w:pPr>
            <w:r>
              <w:rPr>
                <w:rFonts w:hint="default"/>
                <w:b/>
                <w:lang w:val="en-US" w:eastAsia="zh-CN"/>
              </w:rPr>
              <w:t>中标供应商仅限于在医院护士的指导下为医院、患者提供护工、24小时陪护服务，采购人不得要求中标供应商的服务人员涉及护士和医生的工作内容和范围，否则由此产生的相应责任事故由责任方承担。护工及24小时陪护人员严禁做如下护理操作：</w:t>
            </w:r>
          </w:p>
          <w:p>
            <w:pPr>
              <w:pStyle w:val="20"/>
              <w:jc w:val="left"/>
              <w:rPr>
                <w:rFonts w:hint="default"/>
                <w:b/>
                <w:lang w:val="en-US" w:eastAsia="zh-CN"/>
              </w:rPr>
            </w:pPr>
            <w:r>
              <w:rPr>
                <w:rFonts w:hint="default"/>
                <w:b/>
                <w:lang w:val="en-US" w:eastAsia="zh-CN"/>
              </w:rPr>
              <w:t>1.不准为患者调节氧气开关及氧流量，不更换或加减湿化瓶内用水。</w:t>
            </w:r>
          </w:p>
          <w:p>
            <w:pPr>
              <w:pStyle w:val="20"/>
              <w:jc w:val="left"/>
              <w:rPr>
                <w:rFonts w:hint="default"/>
                <w:b/>
                <w:lang w:val="en-US" w:eastAsia="zh-CN"/>
              </w:rPr>
            </w:pPr>
            <w:r>
              <w:rPr>
                <w:rFonts w:hint="default"/>
                <w:b/>
                <w:lang w:val="en-US" w:eastAsia="zh-CN"/>
              </w:rPr>
              <w:t>2.不准为输液患者更换液体，不私自调节输液速度，不能为患者拔除输液管道。</w:t>
            </w:r>
          </w:p>
          <w:p>
            <w:pPr>
              <w:pStyle w:val="20"/>
              <w:jc w:val="left"/>
              <w:rPr>
                <w:rFonts w:hint="default"/>
                <w:b/>
                <w:lang w:val="en-US" w:eastAsia="zh-CN"/>
              </w:rPr>
            </w:pPr>
            <w:r>
              <w:rPr>
                <w:rFonts w:hint="default"/>
                <w:b/>
                <w:lang w:val="en-US" w:eastAsia="zh-CN"/>
              </w:rPr>
              <w:t>3.不准擅自使用磁控约束带、约束锁带或约束长带等约束工具约束患者或解除患者约束，有需要时可协助护士执行。</w:t>
            </w:r>
          </w:p>
          <w:p>
            <w:pPr>
              <w:pStyle w:val="20"/>
              <w:jc w:val="left"/>
              <w:rPr>
                <w:rFonts w:hint="default"/>
                <w:b/>
                <w:lang w:val="en-US" w:eastAsia="zh-CN"/>
              </w:rPr>
            </w:pPr>
            <w:r>
              <w:rPr>
                <w:rFonts w:hint="default"/>
                <w:b/>
                <w:lang w:val="en-US" w:eastAsia="zh-CN"/>
              </w:rPr>
              <w:t>4.不准为患者灌热水袋、冷水袋、冰袋，必须使用时请示护士长及护士并在其指导下方可使用。</w:t>
            </w:r>
          </w:p>
          <w:p>
            <w:pPr>
              <w:pStyle w:val="20"/>
              <w:jc w:val="left"/>
              <w:rPr>
                <w:rFonts w:hint="default"/>
                <w:b/>
                <w:lang w:val="en-US" w:eastAsia="zh-CN"/>
              </w:rPr>
            </w:pPr>
            <w:r>
              <w:rPr>
                <w:rFonts w:hint="default"/>
                <w:b/>
                <w:lang w:val="en-US" w:eastAsia="zh-CN"/>
              </w:rPr>
              <w:t>5.不准擅自替患者更换引流瓶、引流袋等，不准为患者拔除各种引流管。</w:t>
            </w:r>
          </w:p>
          <w:p>
            <w:pPr>
              <w:pStyle w:val="20"/>
              <w:jc w:val="left"/>
              <w:rPr>
                <w:rFonts w:hint="default"/>
                <w:b/>
                <w:lang w:val="en-US" w:eastAsia="zh-CN"/>
              </w:rPr>
            </w:pPr>
            <w:r>
              <w:rPr>
                <w:rFonts w:hint="default"/>
                <w:b/>
                <w:lang w:val="en-US" w:eastAsia="zh-CN"/>
              </w:rPr>
              <w:t>6.危重患者需翻身时须有护士在场指导，协助护士实施防压疮的措施。</w:t>
            </w:r>
          </w:p>
          <w:p>
            <w:pPr>
              <w:pStyle w:val="20"/>
              <w:jc w:val="left"/>
              <w:rPr>
                <w:rFonts w:hint="default"/>
                <w:b/>
                <w:lang w:val="en-US" w:eastAsia="zh-CN"/>
              </w:rPr>
            </w:pPr>
            <w:r>
              <w:rPr>
                <w:rFonts w:hint="default"/>
                <w:b/>
                <w:lang w:val="en-US" w:eastAsia="zh-CN"/>
              </w:rPr>
              <w:t>7. 禁食患者，未经医护人员同意不私自给患者喂饭、喂水，严禁给鼻饲患者灌注食物、水或药物。</w:t>
            </w:r>
          </w:p>
          <w:p>
            <w:pPr>
              <w:pStyle w:val="20"/>
              <w:jc w:val="left"/>
              <w:rPr>
                <w:rFonts w:hint="default"/>
                <w:b/>
                <w:lang w:val="en-US" w:eastAsia="zh-CN"/>
              </w:rPr>
            </w:pPr>
            <w:r>
              <w:rPr>
                <w:rFonts w:hint="default"/>
                <w:b/>
                <w:lang w:val="en-US" w:eastAsia="zh-CN"/>
              </w:rPr>
              <w:t>8.不允许带患者走出医院大门。</w:t>
            </w:r>
          </w:p>
          <w:p>
            <w:pPr>
              <w:pStyle w:val="20"/>
              <w:jc w:val="left"/>
              <w:rPr>
                <w:rFonts w:hint="default"/>
                <w:b/>
                <w:lang w:val="en-US" w:eastAsia="zh-CN"/>
              </w:rPr>
            </w:pPr>
            <w:r>
              <w:rPr>
                <w:rFonts w:hint="default"/>
                <w:b/>
                <w:lang w:val="en-US" w:eastAsia="zh-CN"/>
              </w:rPr>
              <w:t>9.不准为患者吸痰、做雾化吸入。</w:t>
            </w:r>
          </w:p>
          <w:p>
            <w:pPr>
              <w:pStyle w:val="20"/>
              <w:jc w:val="left"/>
              <w:rPr>
                <w:rFonts w:hint="default"/>
                <w:b/>
                <w:lang w:val="en-US" w:eastAsia="zh-CN"/>
              </w:rPr>
            </w:pPr>
            <w:r>
              <w:rPr>
                <w:rFonts w:hint="default"/>
                <w:b/>
                <w:lang w:val="en-US" w:eastAsia="zh-CN"/>
              </w:rPr>
              <w:t>10.不准擅自为危重患者更换床单。</w:t>
            </w:r>
          </w:p>
          <w:p>
            <w:pPr>
              <w:pStyle w:val="20"/>
              <w:jc w:val="left"/>
              <w:rPr>
                <w:rFonts w:hint="default"/>
                <w:b/>
                <w:lang w:val="en-US" w:eastAsia="zh-CN"/>
              </w:rPr>
            </w:pPr>
            <w:r>
              <w:rPr>
                <w:rFonts w:hint="default"/>
                <w:b/>
                <w:lang w:val="en-US" w:eastAsia="zh-CN"/>
              </w:rPr>
              <w:t>11.不准擅自处理监护仪、呼吸机、输液泵、微量泵等各种仪器报警，如有报警，应迅速报告值班护士处理。</w:t>
            </w:r>
          </w:p>
          <w:p>
            <w:pPr>
              <w:pStyle w:val="20"/>
              <w:jc w:val="left"/>
              <w:rPr>
                <w:rFonts w:hint="default"/>
                <w:b/>
                <w:lang w:val="en-US" w:eastAsia="zh-CN"/>
              </w:rPr>
            </w:pPr>
            <w:r>
              <w:rPr>
                <w:rFonts w:hint="default"/>
                <w:b/>
                <w:lang w:val="en-US" w:eastAsia="zh-CN"/>
              </w:rPr>
              <w:t>12.工作中发现患者异常或有变化时，不得擅自处理，应迅速报告当值医护人员处理。</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（十一）中标供应商的管理要求</w:t>
            </w:r>
          </w:p>
          <w:p>
            <w:pPr>
              <w:pStyle w:val="20"/>
              <w:jc w:val="left"/>
              <w:rPr>
                <w:rFonts w:hint="default"/>
                <w:b/>
                <w:lang w:val="en-US" w:eastAsia="zh-CN"/>
              </w:rPr>
            </w:pPr>
            <w:r>
              <w:rPr>
                <w:rFonts w:hint="default"/>
                <w:b/>
                <w:lang w:val="en-US" w:eastAsia="zh-CN"/>
              </w:rPr>
              <w:t>1.中标供应商有以下行为，经调查属实的，采购人将立即解除相关供应合同：</w:t>
            </w:r>
          </w:p>
          <w:p>
            <w:pPr>
              <w:pStyle w:val="20"/>
              <w:jc w:val="left"/>
              <w:rPr>
                <w:rFonts w:hint="default"/>
                <w:b/>
                <w:lang w:val="en-US" w:eastAsia="zh-CN"/>
              </w:rPr>
            </w:pPr>
            <w:r>
              <w:rPr>
                <w:rFonts w:hint="default"/>
                <w:b/>
                <w:lang w:val="en-US" w:eastAsia="zh-CN"/>
              </w:rPr>
              <w:t>（1）弄虚作假，提供虚假材料取得中标供应资格的；</w:t>
            </w:r>
          </w:p>
          <w:p>
            <w:pPr>
              <w:pStyle w:val="20"/>
              <w:jc w:val="left"/>
              <w:rPr>
                <w:rFonts w:hint="default"/>
                <w:b/>
                <w:lang w:val="en-US" w:eastAsia="zh-CN"/>
              </w:rPr>
            </w:pPr>
            <w:r>
              <w:rPr>
                <w:rFonts w:hint="default"/>
                <w:b/>
                <w:lang w:val="en-US" w:eastAsia="zh-CN"/>
              </w:rPr>
              <w:t>（2）中标供应项目有转包、分包行为的；</w:t>
            </w:r>
          </w:p>
          <w:p>
            <w:pPr>
              <w:pStyle w:val="20"/>
              <w:jc w:val="left"/>
              <w:rPr>
                <w:rFonts w:hint="default"/>
                <w:b/>
                <w:lang w:val="en-US" w:eastAsia="zh-CN"/>
              </w:rPr>
            </w:pPr>
            <w:r>
              <w:rPr>
                <w:rFonts w:hint="default"/>
                <w:b/>
                <w:lang w:val="en-US" w:eastAsia="zh-CN"/>
              </w:rPr>
              <w:t>1）经营情况发生重大变更，已经不具备承接中标供应项目能力的；</w:t>
            </w:r>
          </w:p>
          <w:p>
            <w:pPr>
              <w:pStyle w:val="20"/>
              <w:jc w:val="left"/>
              <w:rPr>
                <w:rFonts w:hint="default"/>
                <w:b/>
                <w:lang w:val="en-US" w:eastAsia="zh-CN"/>
              </w:rPr>
            </w:pPr>
            <w:r>
              <w:rPr>
                <w:rFonts w:hint="default"/>
                <w:b/>
                <w:lang w:val="en-US" w:eastAsia="zh-CN"/>
              </w:rPr>
              <w:t>2）无正当理由拒绝履行合同的；</w:t>
            </w:r>
          </w:p>
          <w:p>
            <w:pPr>
              <w:pStyle w:val="20"/>
              <w:jc w:val="left"/>
              <w:rPr>
                <w:rFonts w:hint="default"/>
                <w:b/>
                <w:lang w:val="en-US" w:eastAsia="zh-CN"/>
              </w:rPr>
            </w:pPr>
            <w:r>
              <w:rPr>
                <w:rFonts w:hint="default"/>
                <w:b/>
                <w:lang w:val="en-US" w:eastAsia="zh-CN"/>
              </w:rPr>
              <w:t>3）有行贿、给回扣等不正当竞争行为的；</w:t>
            </w:r>
          </w:p>
          <w:p>
            <w:pPr>
              <w:pStyle w:val="20"/>
              <w:jc w:val="left"/>
              <w:rPr>
                <w:rFonts w:hint="default"/>
                <w:b/>
                <w:lang w:val="en-US" w:eastAsia="zh-CN"/>
              </w:rPr>
            </w:pPr>
            <w:r>
              <w:rPr>
                <w:rFonts w:hint="default"/>
                <w:b/>
                <w:lang w:val="en-US" w:eastAsia="zh-CN"/>
              </w:rPr>
              <w:t>4）因中标供应商原因导致采购人内部发生监管安全事故的；</w:t>
            </w:r>
          </w:p>
          <w:p>
            <w:pPr>
              <w:pStyle w:val="20"/>
              <w:jc w:val="left"/>
              <w:rPr>
                <w:rFonts w:hint="default"/>
                <w:b/>
                <w:lang w:val="en-US" w:eastAsia="zh-CN"/>
              </w:rPr>
            </w:pPr>
            <w:r>
              <w:rPr>
                <w:rFonts w:hint="default"/>
                <w:b/>
                <w:lang w:val="en-US" w:eastAsia="zh-CN"/>
              </w:rPr>
              <w:t>5）有其它违法违纪行为的。</w:t>
            </w:r>
          </w:p>
          <w:p>
            <w:pPr>
              <w:pStyle w:val="20"/>
              <w:jc w:val="left"/>
              <w:rPr>
                <w:rFonts w:hint="default"/>
                <w:b/>
                <w:lang w:val="en-US" w:eastAsia="zh-CN"/>
              </w:rPr>
            </w:pPr>
            <w:r>
              <w:rPr>
                <w:rFonts w:hint="default"/>
                <w:b/>
                <w:lang w:val="en-US" w:eastAsia="zh-CN"/>
              </w:rPr>
              <w:t>2.中标供应商在项目实施过程中应与采购人及相关部门密切协调和合作，对有关部门提出的修改意见要及时予以修改、调整，并接受有关部门的监督、检查。</w:t>
            </w:r>
          </w:p>
          <w:p>
            <w:pPr>
              <w:pStyle w:val="20"/>
              <w:jc w:val="left"/>
              <w:rPr>
                <w:rFonts w:hint="default"/>
                <w:b/>
                <w:lang w:val="en-US" w:eastAsia="zh-CN"/>
              </w:rPr>
            </w:pPr>
            <w:r>
              <w:rPr>
                <w:rFonts w:hint="default"/>
                <w:b/>
                <w:lang w:val="en-US" w:eastAsia="zh-CN"/>
              </w:rPr>
              <w:t>3.中标供应商应本着诚实信用的原则付诸一切合理的谨慎和技能，以专业、及时和高效的方式提供服务范围中所规定的服务，并不得从事或允许他人从事任何行为，该等行为将对或可能会对采购人的声誉或荣誉产生不利影响。</w:t>
            </w:r>
          </w:p>
          <w:p>
            <w:pPr>
              <w:pStyle w:val="20"/>
              <w:jc w:val="left"/>
              <w:rPr>
                <w:rFonts w:hint="default"/>
                <w:b/>
                <w:lang w:val="en-US" w:eastAsia="zh-CN"/>
              </w:rPr>
            </w:pPr>
            <w:r>
              <w:rPr>
                <w:rFonts w:hint="default"/>
                <w:b/>
                <w:lang w:val="en-US" w:eastAsia="zh-CN"/>
              </w:rPr>
              <w:t>5.完成本项目的质量标准。</w:t>
            </w:r>
          </w:p>
          <w:p>
            <w:pPr>
              <w:pStyle w:val="20"/>
              <w:jc w:val="left"/>
              <w:rPr>
                <w:rFonts w:hint="default"/>
                <w:b/>
                <w:lang w:val="en-US" w:eastAsia="zh-CN"/>
              </w:rPr>
            </w:pPr>
            <w:r>
              <w:rPr>
                <w:rFonts w:hint="default"/>
                <w:b/>
                <w:lang w:val="en-US" w:eastAsia="zh-CN"/>
              </w:rPr>
              <w:t>（1）中标供应商须保证合同服务符合本《采购需求》要求；</w:t>
            </w:r>
          </w:p>
          <w:p>
            <w:pPr>
              <w:pStyle w:val="20"/>
              <w:jc w:val="left"/>
              <w:rPr>
                <w:rFonts w:hint="default"/>
                <w:b/>
                <w:lang w:val="en-US" w:eastAsia="zh-CN"/>
              </w:rPr>
            </w:pPr>
            <w:r>
              <w:rPr>
                <w:rFonts w:hint="default"/>
                <w:b/>
                <w:lang w:val="en-US" w:eastAsia="zh-CN"/>
              </w:rPr>
              <w:t>（2）中标供应商须尊重和服从采购人的领导和管理，很好地配合采购人的工作安排；</w:t>
            </w:r>
          </w:p>
          <w:p>
            <w:pPr>
              <w:pStyle w:val="20"/>
              <w:jc w:val="left"/>
              <w:rPr>
                <w:rFonts w:hint="default"/>
                <w:b/>
                <w:lang w:val="en-US" w:eastAsia="zh-CN"/>
              </w:rPr>
            </w:pPr>
            <w:r>
              <w:rPr>
                <w:rFonts w:hint="default"/>
                <w:b/>
                <w:lang w:val="en-US" w:eastAsia="zh-CN"/>
              </w:rPr>
              <w:t>（3）投标人拟派本项目的服务人员须遵守采购人有关规章制度和管理规定，如有违反或损害采购人利益的，采购人有拒绝及更换投标人违规工作人员在此工作的权利。</w:t>
            </w:r>
          </w:p>
          <w:p>
            <w:pPr>
              <w:pStyle w:val="20"/>
              <w:jc w:val="left"/>
              <w:rPr>
                <w:rFonts w:hint="default"/>
                <w:b/>
                <w:lang w:val="en-US" w:eastAsia="zh-CN"/>
              </w:rPr>
            </w:pPr>
            <w:r>
              <w:rPr>
                <w:rFonts w:hint="default"/>
                <w:b/>
                <w:lang w:val="en-US" w:eastAsia="zh-CN"/>
              </w:rPr>
              <w:t>6.违约责任：</w:t>
            </w:r>
          </w:p>
          <w:p>
            <w:pPr>
              <w:pStyle w:val="20"/>
              <w:jc w:val="left"/>
              <w:rPr>
                <w:rFonts w:hint="default"/>
                <w:b/>
                <w:lang w:val="en-US" w:eastAsia="zh-CN"/>
              </w:rPr>
            </w:pPr>
            <w:r>
              <w:rPr>
                <w:rFonts w:hint="default"/>
                <w:b/>
                <w:lang w:val="en-US" w:eastAsia="zh-CN"/>
              </w:rPr>
              <w:t>（1）如果一方（违约方）违反其在本项目条款下的一项或多项义务，另一方（受害方）应通知违约方并指出违约性质。违约方应自收到通知起30天内就通知的违约事宜予以补救。如果30天后违约方仍未纠正，受害方届时可书面通知违约方终止合同，在提交终止合同书面通知第30天后，合同应视为终止，违约责任由违约方承担。</w:t>
            </w:r>
          </w:p>
          <w:p>
            <w:pPr>
              <w:pStyle w:val="20"/>
              <w:jc w:val="left"/>
              <w:rPr>
                <w:rFonts w:hint="default"/>
                <w:b/>
                <w:lang w:val="en-US" w:eastAsia="zh-CN"/>
              </w:rPr>
            </w:pPr>
            <w:r>
              <w:rPr>
                <w:rFonts w:hint="default"/>
                <w:b/>
                <w:lang w:val="en-US" w:eastAsia="zh-CN"/>
              </w:rPr>
              <w:t>（2）若中标供应商在合同有效期间因任何不可抗力因素，包括地震、火灾、战争、洪水、正常的人员来源中断、罢工、动乱及国家紧急情况而延迟或中断提供服务，则中标供应商履行合同的时间应作相应延迟。如延迟时间超过三个月，任何一方均有权选择终止合同， 而采购人在合同终止时付清中标供应商因不可抗力因素中断前的到期款项或欠付中标供应商的款项。</w:t>
            </w:r>
          </w:p>
          <w:p>
            <w:pPr>
              <w:pStyle w:val="20"/>
              <w:jc w:val="left"/>
              <w:rPr>
                <w:rFonts w:hint="default"/>
                <w:b/>
                <w:lang w:val="en-US" w:eastAsia="zh-CN"/>
              </w:rPr>
            </w:pPr>
            <w:r>
              <w:rPr>
                <w:rFonts w:hint="default"/>
                <w:b/>
                <w:lang w:val="en-US" w:eastAsia="zh-CN"/>
              </w:rPr>
              <w:t>（3）若中标供应商在运作过程中，由于国家法律法规的变化导致亏损，与采购人充分协商后，无法就增加服务费用达成共识，中标供应商有权终止合约，但至少需要提前两个月通知采购人。</w:t>
            </w:r>
          </w:p>
          <w:p>
            <w:pPr>
              <w:pStyle w:val="20"/>
              <w:jc w:val="left"/>
              <w:rPr>
                <w:rFonts w:hint="default"/>
                <w:b/>
                <w:lang w:val="en-US" w:eastAsia="zh-CN"/>
              </w:rPr>
            </w:pPr>
            <w:r>
              <w:rPr>
                <w:rFonts w:hint="default"/>
                <w:b/>
                <w:lang w:val="en-US" w:eastAsia="zh-CN"/>
              </w:rPr>
              <w:t>（4）中标供应商应当按照合同的约定支付资源占用费用，否则每逾期一天的，中标供应商应向采购人支付应付未付费用1%的违约金，逾期超过三十天，视为中标供应商根本违约， 采购人有权单方解除本合同，并没收履约保证金，中标供应商承担违约金2万元。</w:t>
            </w:r>
          </w:p>
          <w:p>
            <w:pPr>
              <w:pStyle w:val="20"/>
              <w:jc w:val="left"/>
              <w:rPr>
                <w:rFonts w:hint="default"/>
                <w:b/>
                <w:lang w:val="en-US" w:eastAsia="zh-CN"/>
              </w:rPr>
            </w:pPr>
            <w:r>
              <w:rPr>
                <w:rFonts w:hint="default"/>
                <w:b/>
                <w:lang w:val="en-US" w:eastAsia="zh-CN"/>
              </w:rPr>
              <w:t>（5）若因采购人原因导致本合同无法继续履行的，中标供应商除有权解除合同以外，还有权要求采购人承担中标供应商与项目员工解除劳动关系所产生的经济补偿、赔偿金等费用。</w:t>
            </w:r>
          </w:p>
          <w:p>
            <w:pPr>
              <w:pStyle w:val="20"/>
              <w:jc w:val="left"/>
              <w:rPr>
                <w:rFonts w:hint="default"/>
                <w:b/>
                <w:lang w:val="en-US" w:eastAsia="zh-CN"/>
              </w:rPr>
            </w:pPr>
            <w:r>
              <w:rPr>
                <w:rFonts w:hint="default"/>
                <w:b/>
                <w:lang w:val="en-US" w:eastAsia="zh-CN"/>
              </w:rPr>
              <w:t>（6）除就服务质量等业务上的事宜对中标供应商员工进行指导外，采购人及其员工不得唆使、煽动中标供应商员工从中标供应商处离职或与中标供应商发生劳动争议纠纷。若中标供应商有充分证据证明因采购人原因导致中标供应商人员大规模离职的（即超过10 人或以上的），中标供应商不需执行违约赔付，费用按实际服务人数结算。</w:t>
            </w:r>
          </w:p>
          <w:p>
            <w:pPr>
              <w:pStyle w:val="20"/>
              <w:jc w:val="left"/>
              <w:rPr>
                <w:rFonts w:hint="default"/>
                <w:b/>
                <w:lang w:val="en-US" w:eastAsia="zh-CN"/>
              </w:rPr>
            </w:pPr>
            <w:r>
              <w:rPr>
                <w:rFonts w:hint="default"/>
                <w:b/>
                <w:lang w:val="en-US" w:eastAsia="zh-CN"/>
              </w:rPr>
              <w:t>（7）采购人依据本合同及相关附件对中标供应商作出的费用扣罚要求，应当提供相应的事实 依据，且应当经过中标供应商确认。</w:t>
            </w: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tcBorders>
              <w:top w:val="single" w:color="auto" w:sz="4" w:space="0"/>
              <w:left w:val="single" w:color="auto" w:sz="4" w:space="0"/>
              <w:bottom w:val="single" w:color="auto" w:sz="4" w:space="0"/>
              <w:right w:val="single" w:color="auto" w:sz="4" w:space="0"/>
            </w:tcBorders>
            <w:vAlign w:val="center"/>
          </w:tcPr>
          <w:p>
            <w:pPr>
              <w:pStyle w:val="20"/>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017" w:type="dxa"/>
            <w:tcBorders>
              <w:top w:val="single" w:color="auto" w:sz="4" w:space="0"/>
              <w:left w:val="single" w:color="auto" w:sz="4" w:space="0"/>
              <w:bottom w:val="single" w:color="auto" w:sz="4" w:space="0"/>
              <w:right w:val="single" w:color="auto" w:sz="4" w:space="0"/>
            </w:tcBorders>
            <w:vAlign w:val="top"/>
          </w:tcPr>
          <w:p>
            <w:pPr>
              <w:pStyle w:val="20"/>
              <w:jc w:val="left"/>
              <w:rPr>
                <w:rFonts w:hint="default"/>
                <w:b/>
                <w:lang w:val="en-US" w:eastAsia="zh-CN"/>
              </w:rPr>
            </w:pPr>
            <w:r>
              <w:rPr>
                <w:rFonts w:hint="default"/>
                <w:b/>
                <w:lang w:val="en-US" w:eastAsia="zh-CN"/>
              </w:rPr>
              <w:t>附件1：陪护服务质量评分表</w:t>
            </w:r>
          </w:p>
          <w:tbl>
            <w:tblPr>
              <w:tblStyle w:val="11"/>
              <w:tblW w:w="6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2142"/>
              <w:gridCol w:w="519"/>
              <w:gridCol w:w="2827"/>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6820" w:type="dxa"/>
                  <w:gridSpan w:val="5"/>
                  <w:tcBorders>
                    <w:top w:val="nil"/>
                    <w:left w:val="nil"/>
                    <w:bottom w:val="nil"/>
                    <w:right w:val="nil"/>
                  </w:tcBorders>
                  <w:noWrap/>
                  <w:vAlign w:val="center"/>
                </w:tcPr>
                <w:p>
                  <w:pPr>
                    <w:pStyle w:val="20"/>
                    <w:jc w:val="left"/>
                    <w:rPr>
                      <w:rFonts w:hint="default"/>
                      <w:b/>
                      <w:lang w:val="en-US" w:eastAsia="zh-CN"/>
                    </w:rPr>
                  </w:pPr>
                  <w:r>
                    <w:rPr>
                      <w:rFonts w:hint="default"/>
                      <w:b/>
                      <w:lang w:val="en-US" w:eastAsia="zh-CN"/>
                    </w:rPr>
                    <w:t>陪护服务质量评分表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6" w:type="dxa"/>
                  <w:tcBorders>
                    <w:top w:val="single" w:color="000000" w:sz="8" w:space="0"/>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项目</w:t>
                  </w:r>
                </w:p>
              </w:tc>
              <w:tc>
                <w:tcPr>
                  <w:tcW w:w="2142" w:type="dxa"/>
                  <w:tcBorders>
                    <w:top w:val="single" w:color="000000" w:sz="8" w:space="0"/>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服务要求</w:t>
                  </w:r>
                </w:p>
              </w:tc>
              <w:tc>
                <w:tcPr>
                  <w:tcW w:w="519" w:type="dxa"/>
                  <w:tcBorders>
                    <w:top w:val="single" w:color="000000" w:sz="8" w:space="0"/>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分值</w:t>
                  </w:r>
                </w:p>
              </w:tc>
              <w:tc>
                <w:tcPr>
                  <w:tcW w:w="2827" w:type="dxa"/>
                  <w:tcBorders>
                    <w:top w:val="single" w:color="000000" w:sz="8" w:space="0"/>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扣分标准</w:t>
                  </w:r>
                </w:p>
              </w:tc>
              <w:tc>
                <w:tcPr>
                  <w:tcW w:w="516" w:type="dxa"/>
                  <w:tcBorders>
                    <w:top w:val="single" w:color="000000" w:sz="8" w:space="0"/>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6" w:type="dxa"/>
                  <w:vMerge w:val="restart"/>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护工职业素养</w:t>
                  </w:r>
                  <w:r>
                    <w:rPr>
                      <w:rFonts w:hint="default"/>
                      <w:b/>
                      <w:lang w:val="en-US" w:eastAsia="zh-CN"/>
                    </w:rPr>
                    <w:br w:type="textWrapping"/>
                  </w:r>
                  <w:r>
                    <w:rPr>
                      <w:rFonts w:hint="default"/>
                      <w:b/>
                      <w:lang w:val="en-US" w:eastAsia="zh-CN"/>
                    </w:rPr>
                    <w:t>（20分）</w:t>
                  </w: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礼仪规范：服装整洁、举止得体、礼貌待人、态度和蔼</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1.仪容仪表不整洁，无按要求穿工作服，服务态度差，扣1分/次/人</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服务意识：积极、主动、诚信，有效为患者提供生活护理服务</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4</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1.陪护人员工作不到位，工作懒散，扣1分/次/人</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服务规范：熟悉各项工作流程，患者安全、舒适。安全意识强，做好钥匙保管，随手锁门并检查。</w:t>
                  </w:r>
                </w:p>
              </w:tc>
              <w:tc>
                <w:tcPr>
                  <w:tcW w:w="519"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1.遗失科室公用钥匙扣1分/次</w:t>
                  </w:r>
                </w:p>
              </w:tc>
              <w:tc>
                <w:tcPr>
                  <w:tcW w:w="516"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2.出入无关好门扣1分/次，造成患者外走不得分</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遵守制度：不问家属及患者索要财物，不推销和售卖物品，不乱收费，不接“私陪”；无迟到早退，无无故离岗。</w:t>
                  </w:r>
                </w:p>
              </w:tc>
              <w:tc>
                <w:tcPr>
                  <w:tcW w:w="519"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6</w:t>
                  </w: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3.向家属索要财物或私自收取额外费用等，扣2分/次/人</w:t>
                  </w:r>
                </w:p>
              </w:tc>
              <w:tc>
                <w:tcPr>
                  <w:tcW w:w="516"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4.给患者买卖烟酒或其他生活用品扣2分/次/人</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5.接“私陪”扣2分/次/人</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6.迟到早退扣1分/次/人，无故离岗扣2分/次/人</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6" w:type="dxa"/>
                  <w:vMerge w:val="restart"/>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陪护服务质量（30）</w:t>
                  </w: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物品管理：物品规范放置，保持病房、床单元整洁</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1.物品放置乱，床单元欠整洁扣1分/次/人</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日常护理：患者卫生状况干净、整洁、舒适,协助进餐、洗澡、洗漱.及时更换污染被服、倾倒引流液等。</w:t>
                  </w:r>
                </w:p>
              </w:tc>
              <w:tc>
                <w:tcPr>
                  <w:tcW w:w="519"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1.患者个人卫生差，体位欠安全舒适扣1分/次/人</w:t>
                  </w:r>
                </w:p>
              </w:tc>
              <w:tc>
                <w:tcPr>
                  <w:tcW w:w="516"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2.无完成患者进餐、洗澡、洗漱、及时更换污染被服、倾倒引流液等基础护理服务扣1分/次/人</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无私自操作护理技术性操作：如私自约束/解除（约束）患者，拔针拔管，鼻饲等。</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1.私自约束/解除（约束）患者，拔针拔管，鼻饲等每次扣1分/人，超过3次/人不得分。</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院感防控：做好手卫生，正确使用防护用品，正确处理各种污物</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1.护理患者后无手卫生，扣1分/次/人。不正确使用防护用品以及处理各种污物扣1分/次/人</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私自带患者外出医院范围每次扣1分</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1.私自带患者外出医院范围扣1分/次/人</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护工服务态度好，与患者和家属沟通良好、服从相应病区护士长和护士管理，配合度高。严禁打骂患者。</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护工不服从护士长和护士管理，不配合工作，服务态度差扣1分/次/人</w:t>
                  </w:r>
                </w:p>
                <w:p>
                  <w:pPr>
                    <w:pStyle w:val="20"/>
                    <w:jc w:val="left"/>
                    <w:rPr>
                      <w:rFonts w:hint="default"/>
                      <w:b/>
                      <w:lang w:val="en-US" w:eastAsia="zh-CN"/>
                    </w:rPr>
                  </w:pPr>
                  <w:r>
                    <w:rPr>
                      <w:rFonts w:hint="default"/>
                      <w:b/>
                      <w:lang w:val="en-US" w:eastAsia="zh-CN"/>
                    </w:rPr>
                    <w:t>发生打骂患者行为直接不得分，并辞退当事人。</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6" w:type="dxa"/>
                  <w:vMerge w:val="restart"/>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公司管理情况</w:t>
                  </w:r>
                  <w:r>
                    <w:rPr>
                      <w:rFonts w:hint="default"/>
                      <w:b/>
                      <w:lang w:val="en-US" w:eastAsia="zh-CN"/>
                    </w:rPr>
                    <w:br w:type="textWrapping"/>
                  </w:r>
                  <w:r>
                    <w:rPr>
                      <w:rFonts w:hint="default"/>
                      <w:b/>
                      <w:lang w:val="en-US" w:eastAsia="zh-CN"/>
                    </w:rPr>
                    <w:t>(30分)</w:t>
                  </w:r>
                </w:p>
              </w:tc>
              <w:tc>
                <w:tcPr>
                  <w:tcW w:w="2142"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管理人员情况：管理人员经常到科室检查和指导工作，勤与科室人员及患者沟通，发现问题及时整改</w:t>
                  </w:r>
                </w:p>
              </w:tc>
              <w:tc>
                <w:tcPr>
                  <w:tcW w:w="519"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1.管理人员无与科室人员沟通扣1分</w:t>
                  </w:r>
                </w:p>
              </w:tc>
              <w:tc>
                <w:tcPr>
                  <w:tcW w:w="516"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2.发现问题无及时整改扣1分/次</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人员情况：根据科室及患者服务需求弹性排班，合理配置陪护人员、安排护工休息以及替责工作，无缺岗现象</w:t>
                  </w:r>
                </w:p>
              </w:tc>
              <w:tc>
                <w:tcPr>
                  <w:tcW w:w="519"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1.无按要求配置护工，护工数量配置不足扣1分/人</w:t>
                  </w:r>
                </w:p>
              </w:tc>
              <w:tc>
                <w:tcPr>
                  <w:tcW w:w="516"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2.护工休息无安排机动替岗人员扣1分/次/人</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主管每周至少巡视病区一次，项目经理每月巡视一次，征求病区护士长工作意见及建议，及时整改。</w:t>
                  </w:r>
                </w:p>
              </w:tc>
              <w:tc>
                <w:tcPr>
                  <w:tcW w:w="519"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1.主管无每周巡视病区扣1分/次项目经理无每月巡视扣1分/次</w:t>
                  </w:r>
                </w:p>
              </w:tc>
              <w:tc>
                <w:tcPr>
                  <w:tcW w:w="516"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1.无征求病区护士长意见及建议，无及时整改扣1分/次。</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驻场主管每月对护工进行相关陪护技能培训，并落实到位</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1.无落实每月对护工进行相关陪护技能培训扣1分/次，无新入职护工做岗前培训或培训不到位扣1分/次</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公司有统一的工作服，对护工仪容仪表管理到位，工作服有统一的出洗流程并落实到位。陪人床性能良好，可正常使用并确保安全，陪人床收费合理。</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护工服装管理不到位，无统一的工作服扣1分/次；</w:t>
                  </w:r>
                </w:p>
                <w:p>
                  <w:pPr>
                    <w:pStyle w:val="20"/>
                    <w:jc w:val="left"/>
                    <w:rPr>
                      <w:rFonts w:hint="default"/>
                      <w:b/>
                      <w:lang w:val="en-US" w:eastAsia="zh-CN"/>
                    </w:rPr>
                  </w:pPr>
                  <w:r>
                    <w:rPr>
                      <w:rFonts w:hint="default"/>
                      <w:b/>
                      <w:lang w:val="en-US" w:eastAsia="zh-CN"/>
                    </w:rPr>
                    <w:t>无统一工作服，无按要求统一出洗，护工在病房、院内休息或办公区域私自洗工作服扣1分/次。</w:t>
                  </w:r>
                </w:p>
                <w:p>
                  <w:pPr>
                    <w:pStyle w:val="20"/>
                    <w:jc w:val="left"/>
                    <w:rPr>
                      <w:rFonts w:hint="default"/>
                      <w:b/>
                      <w:lang w:val="en-US" w:eastAsia="zh-CN"/>
                    </w:rPr>
                  </w:pPr>
                  <w:r>
                    <w:rPr>
                      <w:rFonts w:hint="default"/>
                      <w:b/>
                      <w:lang w:val="en-US" w:eastAsia="zh-CN"/>
                    </w:rPr>
                    <w:t>1.发生陪人床配套不到位，陪人床不能正常使用，陪人床收费等投诉扣1分/次。</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患者隐私保护，严禁泄露患者隐私。</w:t>
                  </w:r>
                </w:p>
              </w:tc>
              <w:tc>
                <w:tcPr>
                  <w:tcW w:w="519"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w:t>
                  </w: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员工泄露患者隐私，把患者病情、身份、照片等信息发到互联网、抖音、微信等公众平台直接不得分。</w:t>
                  </w:r>
                </w:p>
                <w:p>
                  <w:pPr>
                    <w:pStyle w:val="20"/>
                    <w:jc w:val="left"/>
                    <w:rPr>
                      <w:rFonts w:hint="default"/>
                      <w:b/>
                      <w:lang w:val="en-US" w:eastAsia="zh-CN"/>
                    </w:rPr>
                  </w:pPr>
                  <w:r>
                    <w:rPr>
                      <w:rFonts w:hint="default"/>
                      <w:b/>
                      <w:lang w:val="en-US" w:eastAsia="zh-CN"/>
                    </w:rPr>
                    <w:t>造成严重后果或法律纠纷的由公司负相应责任。</w:t>
                  </w:r>
                </w:p>
              </w:tc>
              <w:tc>
                <w:tcPr>
                  <w:tcW w:w="516"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restart"/>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不良事件管理</w:t>
                  </w:r>
                  <w:r>
                    <w:rPr>
                      <w:rFonts w:hint="default"/>
                      <w:b/>
                      <w:lang w:val="en-US" w:eastAsia="zh-CN"/>
                    </w:rPr>
                    <w:br w:type="textWrapping"/>
                  </w:r>
                  <w:r>
                    <w:rPr>
                      <w:rFonts w:hint="default"/>
                      <w:b/>
                      <w:lang w:val="en-US" w:eastAsia="zh-CN"/>
                    </w:rPr>
                    <w:t>（20分）</w:t>
                  </w:r>
                </w:p>
              </w:tc>
              <w:tc>
                <w:tcPr>
                  <w:tcW w:w="2142"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无发生不良事件以及投诉纠纷</w:t>
                  </w:r>
                </w:p>
              </w:tc>
              <w:tc>
                <w:tcPr>
                  <w:tcW w:w="519"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20</w:t>
                  </w: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1.发生有效投诉扣2分/例，发生纠纷扣10分。</w:t>
                  </w:r>
                </w:p>
              </w:tc>
              <w:tc>
                <w:tcPr>
                  <w:tcW w:w="516" w:type="dxa"/>
                  <w:vMerge w:val="restart"/>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2.发生有效投诉扣2分/例。</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3.发生不良事件与陪护责任相关扣2分/例。严重不良事件扣10分，并追究陪护公司法律责任。</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nil"/>
                    <w:right w:val="single" w:color="000000" w:sz="8" w:space="0"/>
                  </w:tcBorders>
                  <w:noWrap w:val="0"/>
                  <w:vAlign w:val="center"/>
                </w:tcPr>
                <w:p>
                  <w:pPr>
                    <w:pStyle w:val="20"/>
                    <w:jc w:val="left"/>
                    <w:rPr>
                      <w:rFonts w:hint="default"/>
                      <w:b/>
                      <w:lang w:val="en-US" w:eastAsia="zh-CN"/>
                    </w:rPr>
                  </w:pPr>
                  <w:r>
                    <w:rPr>
                      <w:rFonts w:hint="default"/>
                      <w:b/>
                      <w:lang w:val="en-US" w:eastAsia="zh-CN"/>
                    </w:rPr>
                    <w:t>4.发生跌倒、患者擅自离院事件每例扣2分/例。</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6" w:type="dxa"/>
                  <w:vMerge w:val="continue"/>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p>
              </w:tc>
              <w:tc>
                <w:tcPr>
                  <w:tcW w:w="2142"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9"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2827" w:type="dxa"/>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5.发生不良事件未及时上报或隐瞒不报扣2分/例。</w:t>
                  </w:r>
                </w:p>
              </w:tc>
              <w:tc>
                <w:tcPr>
                  <w:tcW w:w="516" w:type="dxa"/>
                  <w:vMerge w:val="continue"/>
                  <w:tcBorders>
                    <w:top w:val="nil"/>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958" w:type="dxa"/>
                  <w:gridSpan w:val="2"/>
                  <w:tcBorders>
                    <w:top w:val="single" w:color="000000" w:sz="8" w:space="0"/>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合计（满分100分制）</w:t>
                  </w:r>
                </w:p>
              </w:tc>
              <w:tc>
                <w:tcPr>
                  <w:tcW w:w="519" w:type="dxa"/>
                  <w:tcBorders>
                    <w:top w:val="single" w:color="000000" w:sz="8" w:space="0"/>
                    <w:left w:val="nil"/>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100</w:t>
                  </w:r>
                </w:p>
              </w:tc>
              <w:tc>
                <w:tcPr>
                  <w:tcW w:w="2827" w:type="dxa"/>
                  <w:tcBorders>
                    <w:top w:val="single" w:color="000000" w:sz="8" w:space="0"/>
                    <w:left w:val="nil"/>
                    <w:bottom w:val="single" w:color="000000" w:sz="8" w:space="0"/>
                    <w:right w:val="single" w:color="000000" w:sz="8" w:space="0"/>
                  </w:tcBorders>
                  <w:noWrap w:val="0"/>
                  <w:vAlign w:val="center"/>
                </w:tcPr>
                <w:p>
                  <w:pPr>
                    <w:pStyle w:val="20"/>
                    <w:jc w:val="left"/>
                    <w:rPr>
                      <w:rFonts w:hint="default"/>
                      <w:b/>
                      <w:lang w:val="en-US" w:eastAsia="zh-CN"/>
                    </w:rPr>
                  </w:pPr>
                </w:p>
              </w:tc>
              <w:tc>
                <w:tcPr>
                  <w:tcW w:w="516" w:type="dxa"/>
                  <w:tcBorders>
                    <w:top w:val="single" w:color="000000" w:sz="8" w:space="0"/>
                    <w:left w:val="nil"/>
                    <w:bottom w:val="single" w:color="000000" w:sz="8" w:space="0"/>
                    <w:right w:val="single" w:color="000000" w:sz="8" w:space="0"/>
                  </w:tcBorders>
                  <w:noWrap w:val="0"/>
                  <w:vAlign w:val="center"/>
                </w:tcPr>
                <w:p>
                  <w:pPr>
                    <w:pStyle w:val="20"/>
                    <w:jc w:val="left"/>
                    <w:rPr>
                      <w:rFonts w:hint="default"/>
                      <w:b/>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820" w:type="dxa"/>
                  <w:gridSpan w:val="5"/>
                  <w:tcBorders>
                    <w:top w:val="nil"/>
                    <w:left w:val="single" w:color="000000" w:sz="8" w:space="0"/>
                    <w:bottom w:val="single" w:color="000000" w:sz="8" w:space="0"/>
                    <w:right w:val="single" w:color="000000" w:sz="8" w:space="0"/>
                  </w:tcBorders>
                  <w:noWrap w:val="0"/>
                  <w:vAlign w:val="center"/>
                </w:tcPr>
                <w:p>
                  <w:pPr>
                    <w:pStyle w:val="20"/>
                    <w:jc w:val="left"/>
                    <w:rPr>
                      <w:rFonts w:hint="default"/>
                      <w:b/>
                      <w:lang w:val="en-US" w:eastAsia="zh-CN"/>
                    </w:rPr>
                  </w:pPr>
                  <w:r>
                    <w:rPr>
                      <w:rFonts w:hint="default"/>
                      <w:b/>
                      <w:lang w:val="en-US" w:eastAsia="zh-CN"/>
                    </w:rPr>
                    <w:t>评分科室：                  签名：                      日期：</w:t>
                  </w:r>
                </w:p>
              </w:tc>
            </w:tr>
          </w:tbl>
          <w:p>
            <w:pPr>
              <w:pStyle w:val="20"/>
              <w:jc w:val="left"/>
              <w:rPr>
                <w:rFonts w:hint="default"/>
                <w:b/>
                <w:lang w:val="en-US" w:eastAsia="zh-CN"/>
              </w:rPr>
            </w:pPr>
            <w:r>
              <w:rPr>
                <w:rFonts w:hint="default"/>
                <w:b/>
                <w:lang w:val="en-US" w:eastAsia="zh-CN"/>
              </w:rPr>
              <w:t xml:space="preserve"> </w:t>
            </w:r>
          </w:p>
          <w:p>
            <w:pPr>
              <w:pStyle w:val="20"/>
              <w:jc w:val="left"/>
              <w:rPr>
                <w:rFonts w:hint="default"/>
                <w:b/>
                <w:lang w:val="en-US" w:eastAsia="zh-CN"/>
              </w:rPr>
            </w:pPr>
            <w:r>
              <w:rPr>
                <w:rFonts w:hint="default"/>
                <w:b/>
                <w:lang w:val="en-US" w:eastAsia="zh-CN"/>
              </w:rPr>
              <w:t>附件2：陪护人员/护工工作满意度调查表</w:t>
            </w:r>
          </w:p>
          <w:tbl>
            <w:tblPr>
              <w:tblStyle w:val="23"/>
              <w:tblW w:w="6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0"/>
              <w:gridCol w:w="861"/>
              <w:gridCol w:w="845"/>
              <w:gridCol w:w="740"/>
              <w:gridCol w:w="749"/>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6880" w:type="dxa"/>
                  <w:gridSpan w:val="6"/>
                  <w:tcBorders>
                    <w:top w:val="nil"/>
                    <w:left w:val="nil"/>
                    <w:bottom w:val="single" w:color="auto" w:sz="4" w:space="0"/>
                    <w:right w:val="nil"/>
                  </w:tcBorders>
                  <w:noWrap w:val="0"/>
                  <w:vAlign w:val="top"/>
                </w:tcPr>
                <w:p>
                  <w:pPr>
                    <w:pStyle w:val="20"/>
                    <w:jc w:val="left"/>
                    <w:rPr>
                      <w:rFonts w:hint="default"/>
                      <w:b/>
                      <w:lang w:val="en-US" w:eastAsia="zh-CN"/>
                    </w:rPr>
                  </w:pPr>
                  <w:r>
                    <w:rPr>
                      <w:rFonts w:hint="default"/>
                      <w:b/>
                      <w:lang w:val="en-US" w:eastAsia="zh-CN"/>
                    </w:rPr>
                    <w:t>部门：            姓名：                 日期：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3030"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hint="default"/>
                      <w:b/>
                      <w:lang w:val="en-US" w:eastAsia="zh-CN"/>
                    </w:rPr>
                  </w:pPr>
                  <w:r>
                    <w:rPr>
                      <w:rFonts w:hint="default"/>
                      <w:b/>
                      <w:lang w:val="en-US" w:eastAsia="zh-CN"/>
                    </w:rPr>
                    <w:t>项目</w:t>
                  </w:r>
                </w:p>
              </w:tc>
              <w:tc>
                <w:tcPr>
                  <w:tcW w:w="861"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hint="default"/>
                      <w:b/>
                      <w:lang w:val="en-US" w:eastAsia="zh-CN"/>
                    </w:rPr>
                  </w:pPr>
                  <w:r>
                    <w:rPr>
                      <w:rFonts w:hint="default"/>
                      <w:b/>
                      <w:lang w:val="en-US" w:eastAsia="zh-CN"/>
                    </w:rPr>
                    <w:t>很好/非常满意 (10分）</w:t>
                  </w:r>
                </w:p>
              </w:tc>
              <w:tc>
                <w:tcPr>
                  <w:tcW w:w="845"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hint="default"/>
                      <w:b/>
                      <w:lang w:val="en-US" w:eastAsia="zh-CN"/>
                    </w:rPr>
                  </w:pPr>
                  <w:r>
                    <w:rPr>
                      <w:rFonts w:hint="default"/>
                      <w:b/>
                      <w:lang w:val="en-US" w:eastAsia="zh-CN"/>
                    </w:rPr>
                    <w:t>好/满意</w:t>
                  </w:r>
                </w:p>
                <w:p>
                  <w:pPr>
                    <w:pStyle w:val="20"/>
                    <w:jc w:val="left"/>
                    <w:rPr>
                      <w:rFonts w:hint="default"/>
                      <w:b/>
                      <w:lang w:val="en-US" w:eastAsia="zh-CN"/>
                    </w:rPr>
                  </w:pPr>
                  <w:r>
                    <w:rPr>
                      <w:rFonts w:hint="default"/>
                      <w:b/>
                      <w:lang w:val="en-US" w:eastAsia="zh-CN"/>
                    </w:rPr>
                    <w:t>（9分）</w:t>
                  </w:r>
                </w:p>
              </w:tc>
              <w:tc>
                <w:tcPr>
                  <w:tcW w:w="740"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hint="default"/>
                      <w:b/>
                      <w:lang w:val="en-US" w:eastAsia="zh-CN"/>
                    </w:rPr>
                  </w:pPr>
                  <w:r>
                    <w:rPr>
                      <w:rFonts w:hint="default"/>
                      <w:b/>
                      <w:lang w:val="en-US" w:eastAsia="zh-CN"/>
                    </w:rPr>
                    <w:t>较好/比较满意 (8分）</w:t>
                  </w:r>
                </w:p>
              </w:tc>
              <w:tc>
                <w:tcPr>
                  <w:tcW w:w="749"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hint="default"/>
                      <w:b/>
                      <w:lang w:val="en-US" w:eastAsia="zh-CN"/>
                    </w:rPr>
                  </w:pPr>
                  <w:r>
                    <w:rPr>
                      <w:rFonts w:hint="default"/>
                      <w:b/>
                      <w:lang w:val="en-US" w:eastAsia="zh-CN"/>
                    </w:rPr>
                    <w:t>一般</w:t>
                  </w:r>
                </w:p>
                <w:p>
                  <w:pPr>
                    <w:pStyle w:val="20"/>
                    <w:jc w:val="left"/>
                    <w:rPr>
                      <w:rFonts w:hint="default"/>
                      <w:b/>
                      <w:lang w:val="en-US" w:eastAsia="zh-CN"/>
                    </w:rPr>
                  </w:pPr>
                  <w:r>
                    <w:rPr>
                      <w:rFonts w:hint="default"/>
                      <w:b/>
                      <w:lang w:val="en-US" w:eastAsia="zh-CN"/>
                    </w:rPr>
                    <w:t>（7分）</w:t>
                  </w:r>
                </w:p>
              </w:tc>
              <w:tc>
                <w:tcPr>
                  <w:tcW w:w="655"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hint="default"/>
                      <w:b/>
                      <w:lang w:val="en-US" w:eastAsia="zh-CN"/>
                    </w:rPr>
                  </w:pPr>
                  <w:r>
                    <w:rPr>
                      <w:rFonts w:hint="default"/>
                      <w:b/>
                      <w:lang w:val="en-US" w:eastAsia="zh-CN"/>
                    </w:rPr>
                    <w:t>差</w:t>
                  </w:r>
                </w:p>
                <w:p>
                  <w:pPr>
                    <w:pStyle w:val="20"/>
                    <w:jc w:val="left"/>
                    <w:rPr>
                      <w:rFonts w:hint="default"/>
                      <w:b/>
                      <w:lang w:val="en-US" w:eastAsia="zh-CN"/>
                    </w:rPr>
                  </w:pPr>
                  <w:r>
                    <w:rPr>
                      <w:rFonts w:hint="default"/>
                      <w:b/>
                      <w:lang w:val="en-US" w:eastAsia="zh-CN"/>
                    </w:rPr>
                    <w:t>（6分）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3030" w:type="dxa"/>
                  <w:tcBorders>
                    <w:top w:val="single" w:color="auto" w:sz="4" w:space="0"/>
                  </w:tcBorders>
                  <w:noWrap w:val="0"/>
                  <w:vAlign w:val="top"/>
                </w:tcPr>
                <w:p>
                  <w:pPr>
                    <w:pStyle w:val="20"/>
                    <w:jc w:val="left"/>
                    <w:rPr>
                      <w:rFonts w:hint="default"/>
                      <w:b/>
                      <w:lang w:val="en-US" w:eastAsia="zh-CN"/>
                    </w:rPr>
                  </w:pPr>
                  <w:r>
                    <w:rPr>
                      <w:rFonts w:hint="default"/>
                      <w:b/>
                      <w:lang w:val="en-US" w:eastAsia="zh-CN"/>
                    </w:rPr>
                    <w:t>服务态度好，文明礼貌用语，尊重患者和家属，无投诉，严禁打骂病人。</w:t>
                  </w:r>
                </w:p>
              </w:tc>
              <w:tc>
                <w:tcPr>
                  <w:tcW w:w="861" w:type="dxa"/>
                  <w:tcBorders>
                    <w:top w:val="single" w:color="auto" w:sz="4" w:space="0"/>
                  </w:tcBorders>
                  <w:noWrap w:val="0"/>
                  <w:vAlign w:val="top"/>
                </w:tcPr>
                <w:p>
                  <w:pPr>
                    <w:pStyle w:val="20"/>
                    <w:jc w:val="left"/>
                    <w:rPr>
                      <w:rFonts w:hint="default"/>
                      <w:b/>
                      <w:lang w:val="en-US" w:eastAsia="zh-CN"/>
                    </w:rPr>
                  </w:pPr>
                </w:p>
              </w:tc>
              <w:tc>
                <w:tcPr>
                  <w:tcW w:w="845" w:type="dxa"/>
                  <w:tcBorders>
                    <w:top w:val="single" w:color="auto" w:sz="4" w:space="0"/>
                  </w:tcBorders>
                  <w:noWrap w:val="0"/>
                  <w:vAlign w:val="top"/>
                </w:tcPr>
                <w:p>
                  <w:pPr>
                    <w:pStyle w:val="20"/>
                    <w:jc w:val="left"/>
                    <w:rPr>
                      <w:rFonts w:hint="default"/>
                      <w:b/>
                      <w:lang w:val="en-US" w:eastAsia="zh-CN"/>
                    </w:rPr>
                  </w:pPr>
                </w:p>
              </w:tc>
              <w:tc>
                <w:tcPr>
                  <w:tcW w:w="740" w:type="dxa"/>
                  <w:tcBorders>
                    <w:top w:val="single" w:color="auto" w:sz="4" w:space="0"/>
                  </w:tcBorders>
                  <w:noWrap w:val="0"/>
                  <w:vAlign w:val="top"/>
                </w:tcPr>
                <w:p>
                  <w:pPr>
                    <w:pStyle w:val="20"/>
                    <w:jc w:val="left"/>
                    <w:rPr>
                      <w:rFonts w:hint="default"/>
                      <w:b/>
                      <w:lang w:val="en-US" w:eastAsia="zh-CN"/>
                    </w:rPr>
                  </w:pPr>
                </w:p>
              </w:tc>
              <w:tc>
                <w:tcPr>
                  <w:tcW w:w="749" w:type="dxa"/>
                  <w:tcBorders>
                    <w:top w:val="single" w:color="auto" w:sz="4" w:space="0"/>
                  </w:tcBorders>
                  <w:noWrap w:val="0"/>
                  <w:vAlign w:val="top"/>
                </w:tcPr>
                <w:p>
                  <w:pPr>
                    <w:pStyle w:val="20"/>
                    <w:jc w:val="left"/>
                    <w:rPr>
                      <w:rFonts w:hint="default"/>
                      <w:b/>
                      <w:lang w:val="en-US" w:eastAsia="zh-CN"/>
                    </w:rPr>
                  </w:pPr>
                </w:p>
              </w:tc>
              <w:tc>
                <w:tcPr>
                  <w:tcW w:w="655" w:type="dxa"/>
                  <w:tcBorders>
                    <w:top w:val="single" w:color="auto" w:sz="4" w:space="0"/>
                  </w:tcBorders>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3030" w:type="dxa"/>
                  <w:noWrap w:val="0"/>
                  <w:vAlign w:val="top"/>
                </w:tcPr>
                <w:p>
                  <w:pPr>
                    <w:pStyle w:val="20"/>
                    <w:jc w:val="left"/>
                    <w:rPr>
                      <w:rFonts w:hint="default"/>
                      <w:b/>
                      <w:lang w:val="en-US" w:eastAsia="zh-CN"/>
                    </w:rPr>
                  </w:pPr>
                  <w:r>
                    <w:rPr>
                      <w:rFonts w:hint="default"/>
                      <w:b/>
                      <w:lang w:val="en-US" w:eastAsia="zh-CN"/>
                    </w:rPr>
                    <w:t>按规定着装，仪容仪表整洁，工作服无污迹，按规定统一出洗、修剪指甲、不戴首饰。</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3030" w:type="dxa"/>
                  <w:noWrap w:val="0"/>
                  <w:vAlign w:val="top"/>
                </w:tcPr>
                <w:p>
                  <w:pPr>
                    <w:pStyle w:val="20"/>
                    <w:jc w:val="left"/>
                    <w:rPr>
                      <w:rFonts w:hint="default"/>
                      <w:b/>
                      <w:lang w:val="en-US" w:eastAsia="zh-CN"/>
                    </w:rPr>
                  </w:pPr>
                  <w:r>
                    <w:rPr>
                      <w:rFonts w:hint="default"/>
                      <w:b/>
                      <w:lang w:val="en-US" w:eastAsia="zh-CN"/>
                    </w:rPr>
                    <w:t>遵守医院的规章制度，遵守劳动纪律，听从科室安排，无迟到早退以及擅自离岗，工作期间不打瞌睡。</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3030" w:type="dxa"/>
                  <w:noWrap w:val="0"/>
                  <w:vAlign w:val="top"/>
                </w:tcPr>
                <w:p>
                  <w:pPr>
                    <w:pStyle w:val="20"/>
                    <w:jc w:val="left"/>
                    <w:rPr>
                      <w:rFonts w:hint="default"/>
                      <w:b/>
                      <w:lang w:val="en-US" w:eastAsia="zh-CN"/>
                    </w:rPr>
                  </w:pPr>
                  <w:r>
                    <w:rPr>
                      <w:rFonts w:hint="default"/>
                      <w:b/>
                      <w:lang w:val="en-US" w:eastAsia="zh-CN"/>
                    </w:rPr>
                    <w:t>工作质量：有效为患者提供生活护理服务，保持患者、床铺清洁卫生，无异味。</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3030" w:type="dxa"/>
                  <w:noWrap w:val="0"/>
                  <w:vAlign w:val="top"/>
                </w:tcPr>
                <w:p>
                  <w:pPr>
                    <w:pStyle w:val="20"/>
                    <w:jc w:val="left"/>
                    <w:rPr>
                      <w:rFonts w:hint="default"/>
                      <w:b/>
                      <w:lang w:val="en-US" w:eastAsia="zh-CN"/>
                    </w:rPr>
                  </w:pPr>
                  <w:r>
                    <w:rPr>
                      <w:rFonts w:hint="default"/>
                      <w:b/>
                      <w:lang w:val="en-US" w:eastAsia="zh-CN"/>
                    </w:rPr>
                    <w:t>与同事间团结友爱，无争吵，生活作风良好。听从科室护长/护士指挥和安排。</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3030" w:type="dxa"/>
                  <w:noWrap w:val="0"/>
                  <w:vAlign w:val="top"/>
                </w:tcPr>
                <w:p>
                  <w:pPr>
                    <w:pStyle w:val="20"/>
                    <w:jc w:val="left"/>
                    <w:rPr>
                      <w:rFonts w:hint="default"/>
                      <w:b/>
                      <w:lang w:val="en-US" w:eastAsia="zh-CN"/>
                    </w:rPr>
                  </w:pPr>
                  <w:r>
                    <w:rPr>
                      <w:rFonts w:hint="default"/>
                      <w:b/>
                      <w:lang w:val="en-US" w:eastAsia="zh-CN"/>
                    </w:rPr>
                    <w:t>严禁在病房买卖物品谋取私利、不能收取患者或家属的礼品/财物等。</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3030" w:type="dxa"/>
                  <w:noWrap w:val="0"/>
                  <w:vAlign w:val="top"/>
                </w:tcPr>
                <w:p>
                  <w:pPr>
                    <w:pStyle w:val="20"/>
                    <w:jc w:val="left"/>
                    <w:rPr>
                      <w:rFonts w:hint="default"/>
                      <w:b/>
                      <w:lang w:val="en-US" w:eastAsia="zh-CN"/>
                    </w:rPr>
                  </w:pPr>
                  <w:r>
                    <w:rPr>
                      <w:rFonts w:hint="default"/>
                      <w:b/>
                      <w:lang w:val="en-US" w:eastAsia="zh-CN"/>
                    </w:rPr>
                    <w:t>发现特殊情况时能及时上报，不私自带患者外出院外。</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3030" w:type="dxa"/>
                  <w:noWrap w:val="0"/>
                  <w:vAlign w:val="top"/>
                </w:tcPr>
                <w:p>
                  <w:pPr>
                    <w:pStyle w:val="20"/>
                    <w:jc w:val="left"/>
                    <w:rPr>
                      <w:rFonts w:hint="default"/>
                      <w:b/>
                      <w:lang w:val="en-US" w:eastAsia="zh-CN"/>
                    </w:rPr>
                  </w:pPr>
                  <w:r>
                    <w:rPr>
                      <w:rFonts w:hint="default"/>
                      <w:b/>
                      <w:lang w:val="en-US" w:eastAsia="zh-CN"/>
                    </w:rPr>
                    <w:t>不私自进行非技术性操作（换液、拔针、拔管、约束等）。</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3030" w:type="dxa"/>
                  <w:noWrap w:val="0"/>
                  <w:vAlign w:val="top"/>
                </w:tcPr>
                <w:p>
                  <w:pPr>
                    <w:pStyle w:val="20"/>
                    <w:jc w:val="left"/>
                    <w:rPr>
                      <w:rFonts w:hint="default"/>
                      <w:b/>
                      <w:lang w:val="en-US" w:eastAsia="zh-CN"/>
                    </w:rPr>
                  </w:pPr>
                  <w:r>
                    <w:rPr>
                      <w:rFonts w:hint="default"/>
                      <w:b/>
                      <w:lang w:val="en-US" w:eastAsia="zh-CN"/>
                    </w:rPr>
                    <w:t>陪护责任落实情况（是否有导致纠纷或患者伤害，出现不良事件等）。</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3030" w:type="dxa"/>
                  <w:noWrap w:val="0"/>
                  <w:vAlign w:val="top"/>
                </w:tcPr>
                <w:p>
                  <w:pPr>
                    <w:pStyle w:val="20"/>
                    <w:jc w:val="left"/>
                    <w:rPr>
                      <w:rFonts w:hint="default"/>
                      <w:b/>
                      <w:lang w:val="en-US" w:eastAsia="zh-CN"/>
                    </w:rPr>
                  </w:pPr>
                  <w:r>
                    <w:rPr>
                      <w:rFonts w:hint="default"/>
                      <w:b/>
                      <w:lang w:val="en-US" w:eastAsia="zh-CN"/>
                    </w:rPr>
                    <w:t>严禁泄露患者隐私，包括把患者病情、身份、照片等信息发到互联网、抖音、微信等公众平台。</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030" w:type="dxa"/>
                  <w:noWrap w:val="0"/>
                  <w:vAlign w:val="top"/>
                </w:tcPr>
                <w:p>
                  <w:pPr>
                    <w:pStyle w:val="20"/>
                    <w:jc w:val="left"/>
                    <w:rPr>
                      <w:rFonts w:hint="default"/>
                      <w:b/>
                      <w:lang w:val="en-US" w:eastAsia="zh-CN"/>
                    </w:rPr>
                  </w:pPr>
                  <w:r>
                    <w:rPr>
                      <w:rFonts w:hint="default"/>
                      <w:b/>
                      <w:lang w:val="en-US" w:eastAsia="zh-CN"/>
                    </w:rPr>
                    <w:t>总分</w:t>
                  </w:r>
                </w:p>
              </w:tc>
              <w:tc>
                <w:tcPr>
                  <w:tcW w:w="861" w:type="dxa"/>
                  <w:noWrap w:val="0"/>
                  <w:vAlign w:val="top"/>
                </w:tcPr>
                <w:p>
                  <w:pPr>
                    <w:pStyle w:val="20"/>
                    <w:jc w:val="left"/>
                    <w:rPr>
                      <w:rFonts w:hint="default"/>
                      <w:b/>
                      <w:lang w:val="en-US" w:eastAsia="zh-CN"/>
                    </w:rPr>
                  </w:pPr>
                </w:p>
              </w:tc>
              <w:tc>
                <w:tcPr>
                  <w:tcW w:w="845" w:type="dxa"/>
                  <w:noWrap w:val="0"/>
                  <w:vAlign w:val="top"/>
                </w:tcPr>
                <w:p>
                  <w:pPr>
                    <w:pStyle w:val="20"/>
                    <w:jc w:val="left"/>
                    <w:rPr>
                      <w:rFonts w:hint="default"/>
                      <w:b/>
                      <w:lang w:val="en-US" w:eastAsia="zh-CN"/>
                    </w:rPr>
                  </w:pPr>
                </w:p>
              </w:tc>
              <w:tc>
                <w:tcPr>
                  <w:tcW w:w="740" w:type="dxa"/>
                  <w:noWrap w:val="0"/>
                  <w:vAlign w:val="top"/>
                </w:tcPr>
                <w:p>
                  <w:pPr>
                    <w:pStyle w:val="20"/>
                    <w:jc w:val="left"/>
                    <w:rPr>
                      <w:rFonts w:hint="default"/>
                      <w:b/>
                      <w:lang w:val="en-US" w:eastAsia="zh-CN"/>
                    </w:rPr>
                  </w:pPr>
                </w:p>
              </w:tc>
              <w:tc>
                <w:tcPr>
                  <w:tcW w:w="749" w:type="dxa"/>
                  <w:noWrap w:val="0"/>
                  <w:vAlign w:val="top"/>
                </w:tcPr>
                <w:p>
                  <w:pPr>
                    <w:pStyle w:val="20"/>
                    <w:jc w:val="left"/>
                    <w:rPr>
                      <w:rFonts w:hint="default"/>
                      <w:b/>
                      <w:lang w:val="en-US" w:eastAsia="zh-CN"/>
                    </w:rPr>
                  </w:pPr>
                </w:p>
              </w:tc>
              <w:tc>
                <w:tcPr>
                  <w:tcW w:w="655" w:type="dxa"/>
                  <w:noWrap w:val="0"/>
                  <w:vAlign w:val="top"/>
                </w:tcPr>
                <w:p>
                  <w:pPr>
                    <w:pStyle w:val="20"/>
                    <w:jc w:val="left"/>
                    <w:rPr>
                      <w:rFonts w:hint="default"/>
                      <w:b/>
                      <w:lang w:val="en-US" w:eastAsia="zh-CN"/>
                    </w:rPr>
                  </w:pPr>
                </w:p>
              </w:tc>
            </w:tr>
          </w:tbl>
          <w:p>
            <w:pPr>
              <w:pStyle w:val="20"/>
              <w:jc w:val="left"/>
              <w:rPr>
                <w:rFonts w:hint="default"/>
                <w:b/>
                <w:lang w:val="en-US" w:eastAsia="zh-CN"/>
              </w:rPr>
            </w:pPr>
            <w:r>
              <w:rPr>
                <w:rFonts w:hint="default"/>
                <w:b/>
                <w:lang w:val="en-US" w:eastAsia="zh-CN"/>
              </w:rPr>
              <w:t xml:space="preserve">填表说明：1、最高分为10分，最低分为6分，请在相应的空格内打√；2、所得总分数即为满意度得分。 </w:t>
            </w: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附件3：患者付费部分陪护人员配置</w:t>
            </w:r>
          </w:p>
          <w:tbl>
            <w:tblPr>
              <w:tblStyle w:val="11"/>
              <w:tblW w:w="6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98"/>
              <w:gridCol w:w="1067"/>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63" w:type="dxa"/>
                  <w:noWrap w:val="0"/>
                  <w:vAlign w:val="center"/>
                </w:tcPr>
                <w:p>
                  <w:pPr>
                    <w:pStyle w:val="20"/>
                    <w:jc w:val="left"/>
                    <w:rPr>
                      <w:rFonts w:hint="default"/>
                      <w:b/>
                      <w:lang w:val="en-US" w:eastAsia="zh-CN"/>
                    </w:rPr>
                  </w:pPr>
                  <w:r>
                    <w:rPr>
                      <w:rFonts w:hint="default"/>
                      <w:b/>
                      <w:lang w:val="en-US" w:eastAsia="zh-CN"/>
                    </w:rPr>
                    <w:t>序号</w:t>
                  </w:r>
                </w:p>
              </w:tc>
              <w:tc>
                <w:tcPr>
                  <w:tcW w:w="1698" w:type="dxa"/>
                  <w:noWrap w:val="0"/>
                  <w:vAlign w:val="center"/>
                </w:tcPr>
                <w:p>
                  <w:pPr>
                    <w:pStyle w:val="20"/>
                    <w:jc w:val="left"/>
                    <w:rPr>
                      <w:rFonts w:hint="default"/>
                      <w:b/>
                      <w:lang w:val="en-US" w:eastAsia="zh-CN"/>
                    </w:rPr>
                  </w:pPr>
                  <w:r>
                    <w:rPr>
                      <w:rFonts w:hint="default"/>
                      <w:b/>
                      <w:lang w:val="en-US" w:eastAsia="zh-CN"/>
                    </w:rPr>
                    <w:t>科室</w:t>
                  </w:r>
                </w:p>
              </w:tc>
              <w:tc>
                <w:tcPr>
                  <w:tcW w:w="1067" w:type="dxa"/>
                  <w:noWrap w:val="0"/>
                  <w:vAlign w:val="center"/>
                </w:tcPr>
                <w:p>
                  <w:pPr>
                    <w:pStyle w:val="20"/>
                    <w:jc w:val="left"/>
                    <w:rPr>
                      <w:rFonts w:hint="default"/>
                      <w:b/>
                      <w:lang w:val="en-US" w:eastAsia="zh-CN"/>
                    </w:rPr>
                  </w:pPr>
                  <w:r>
                    <w:rPr>
                      <w:rFonts w:hint="default"/>
                      <w:b/>
                      <w:lang w:val="en-US" w:eastAsia="zh-CN"/>
                    </w:rPr>
                    <w:t>护工配置数</w:t>
                  </w:r>
                </w:p>
              </w:tc>
              <w:tc>
                <w:tcPr>
                  <w:tcW w:w="3551" w:type="dxa"/>
                  <w:noWrap w:val="0"/>
                  <w:vAlign w:val="center"/>
                </w:tcPr>
                <w:p>
                  <w:pPr>
                    <w:pStyle w:val="20"/>
                    <w:jc w:val="left"/>
                    <w:rPr>
                      <w:rFonts w:hint="default"/>
                      <w:b/>
                      <w:lang w:val="en-US" w:eastAsia="zh-CN"/>
                    </w:rPr>
                  </w:pPr>
                  <w:r>
                    <w:rPr>
                      <w:rFonts w:hint="default"/>
                      <w:b/>
                      <w:lang w:val="en-US" w:eastAsia="zh-CN"/>
                    </w:rPr>
                    <w:t>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663" w:type="dxa"/>
                  <w:noWrap w:val="0"/>
                  <w:vAlign w:val="center"/>
                </w:tcPr>
                <w:p>
                  <w:pPr>
                    <w:pStyle w:val="20"/>
                    <w:jc w:val="left"/>
                    <w:rPr>
                      <w:rFonts w:hint="default"/>
                      <w:b/>
                      <w:lang w:val="en-US" w:eastAsia="zh-CN"/>
                    </w:rPr>
                  </w:pPr>
                  <w:r>
                    <w:rPr>
                      <w:rFonts w:hint="default"/>
                      <w:b/>
                      <w:lang w:val="en-US" w:eastAsia="zh-CN"/>
                    </w:rPr>
                    <w:t>1</w:t>
                  </w:r>
                </w:p>
              </w:tc>
              <w:tc>
                <w:tcPr>
                  <w:tcW w:w="1698" w:type="dxa"/>
                  <w:noWrap w:val="0"/>
                  <w:vAlign w:val="center"/>
                </w:tcPr>
                <w:p>
                  <w:pPr>
                    <w:pStyle w:val="20"/>
                    <w:jc w:val="left"/>
                    <w:rPr>
                      <w:rFonts w:hint="default"/>
                      <w:b/>
                      <w:lang w:val="en-US" w:eastAsia="zh-CN"/>
                    </w:rPr>
                  </w:pPr>
                  <w:r>
                    <w:rPr>
                      <w:rFonts w:hint="default"/>
                      <w:b/>
                      <w:lang w:val="en-US" w:eastAsia="zh-CN"/>
                    </w:rPr>
                    <w:t>老年精神科一区</w:t>
                  </w:r>
                </w:p>
              </w:tc>
              <w:tc>
                <w:tcPr>
                  <w:tcW w:w="1067" w:type="dxa"/>
                  <w:noWrap w:val="0"/>
                  <w:vAlign w:val="center"/>
                </w:tcPr>
                <w:p>
                  <w:pPr>
                    <w:pStyle w:val="20"/>
                    <w:jc w:val="left"/>
                    <w:rPr>
                      <w:rFonts w:hint="default"/>
                      <w:b/>
                      <w:lang w:val="en-US" w:eastAsia="zh-CN"/>
                    </w:rPr>
                  </w:pPr>
                  <w:r>
                    <w:rPr>
                      <w:rFonts w:hint="default"/>
                      <w:b/>
                      <w:lang w:val="en-US" w:eastAsia="zh-CN"/>
                    </w:rPr>
                    <w:t>12人</w:t>
                  </w:r>
                </w:p>
              </w:tc>
              <w:tc>
                <w:tcPr>
                  <w:tcW w:w="3551" w:type="dxa"/>
                  <w:noWrap w:val="0"/>
                  <w:vAlign w:val="center"/>
                </w:tcPr>
                <w:p>
                  <w:pPr>
                    <w:pStyle w:val="20"/>
                    <w:jc w:val="left"/>
                    <w:rPr>
                      <w:rFonts w:hint="default"/>
                      <w:b/>
                      <w:lang w:val="en-US" w:eastAsia="zh-CN"/>
                    </w:rPr>
                  </w:pPr>
                  <w:r>
                    <w:rPr>
                      <w:rFonts w:hint="default"/>
                      <w:b/>
                      <w:lang w:val="en-US" w:eastAsia="zh-CN"/>
                    </w:rPr>
                    <w:t>陪护公司与有需要患者签订协议提供陪护服务。以一对N的方式，根据科室住院患者人数和陪护需求配置相应护工数，提供24小时陪护服务，按标准收费，要求至少配置12名护工。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663" w:type="dxa"/>
                  <w:noWrap w:val="0"/>
                  <w:vAlign w:val="center"/>
                </w:tcPr>
                <w:p>
                  <w:pPr>
                    <w:pStyle w:val="20"/>
                    <w:jc w:val="left"/>
                    <w:rPr>
                      <w:rFonts w:hint="default"/>
                      <w:b/>
                      <w:lang w:val="en-US" w:eastAsia="zh-CN"/>
                    </w:rPr>
                  </w:pPr>
                  <w:r>
                    <w:rPr>
                      <w:rFonts w:hint="default"/>
                      <w:b/>
                      <w:lang w:val="en-US" w:eastAsia="zh-CN"/>
                    </w:rPr>
                    <w:t>2</w:t>
                  </w:r>
                </w:p>
              </w:tc>
              <w:tc>
                <w:tcPr>
                  <w:tcW w:w="1698" w:type="dxa"/>
                  <w:noWrap w:val="0"/>
                  <w:vAlign w:val="center"/>
                </w:tcPr>
                <w:p>
                  <w:pPr>
                    <w:pStyle w:val="20"/>
                    <w:jc w:val="left"/>
                    <w:rPr>
                      <w:rFonts w:hint="default"/>
                      <w:b/>
                      <w:lang w:val="en-US" w:eastAsia="zh-CN"/>
                    </w:rPr>
                  </w:pPr>
                  <w:r>
                    <w:rPr>
                      <w:rFonts w:hint="default"/>
                      <w:b/>
                      <w:lang w:val="en-US" w:eastAsia="zh-CN"/>
                    </w:rPr>
                    <w:t>老年精神科二区</w:t>
                  </w:r>
                </w:p>
              </w:tc>
              <w:tc>
                <w:tcPr>
                  <w:tcW w:w="1067" w:type="dxa"/>
                  <w:noWrap w:val="0"/>
                  <w:vAlign w:val="center"/>
                </w:tcPr>
                <w:p>
                  <w:pPr>
                    <w:pStyle w:val="20"/>
                    <w:jc w:val="left"/>
                    <w:rPr>
                      <w:rFonts w:hint="default"/>
                      <w:b/>
                      <w:lang w:val="en-US" w:eastAsia="zh-CN"/>
                    </w:rPr>
                  </w:pPr>
                  <w:r>
                    <w:rPr>
                      <w:rFonts w:hint="default"/>
                      <w:b/>
                      <w:lang w:val="en-US" w:eastAsia="zh-CN"/>
                    </w:rPr>
                    <w:t>12人</w:t>
                  </w:r>
                </w:p>
              </w:tc>
              <w:tc>
                <w:tcPr>
                  <w:tcW w:w="3551" w:type="dxa"/>
                  <w:noWrap w:val="0"/>
                  <w:vAlign w:val="center"/>
                </w:tcPr>
                <w:p>
                  <w:pPr>
                    <w:pStyle w:val="20"/>
                    <w:jc w:val="left"/>
                    <w:rPr>
                      <w:rFonts w:hint="default"/>
                      <w:b/>
                      <w:lang w:val="en-US" w:eastAsia="zh-CN"/>
                    </w:rPr>
                  </w:pPr>
                  <w:r>
                    <w:rPr>
                      <w:rFonts w:hint="default"/>
                      <w:b/>
                      <w:lang w:val="en-US" w:eastAsia="zh-CN"/>
                    </w:rPr>
                    <w:t>陪护公司与有需要患者签订协议提供陪护服务。以一对N的方式，根据科室住院患者人数和陪护需求配置相应护工数，提供24小时陪护服务，按标准收费，要求至少配置12名护工。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63" w:type="dxa"/>
                  <w:noWrap w:val="0"/>
                  <w:vAlign w:val="center"/>
                </w:tcPr>
                <w:p>
                  <w:pPr>
                    <w:pStyle w:val="20"/>
                    <w:jc w:val="left"/>
                    <w:rPr>
                      <w:rFonts w:hint="default"/>
                      <w:b/>
                      <w:lang w:val="en-US" w:eastAsia="zh-CN"/>
                    </w:rPr>
                  </w:pPr>
                  <w:r>
                    <w:rPr>
                      <w:rFonts w:hint="default"/>
                      <w:b/>
                      <w:lang w:val="en-US" w:eastAsia="zh-CN"/>
                    </w:rPr>
                    <w:t>3</w:t>
                  </w:r>
                </w:p>
              </w:tc>
              <w:tc>
                <w:tcPr>
                  <w:tcW w:w="1698" w:type="dxa"/>
                  <w:noWrap w:val="0"/>
                  <w:vAlign w:val="center"/>
                </w:tcPr>
                <w:p>
                  <w:pPr>
                    <w:pStyle w:val="20"/>
                    <w:jc w:val="left"/>
                    <w:rPr>
                      <w:rFonts w:hint="default"/>
                      <w:b/>
                      <w:lang w:val="en-US" w:eastAsia="zh-CN"/>
                    </w:rPr>
                  </w:pPr>
                  <w:r>
                    <w:rPr>
                      <w:rFonts w:hint="default"/>
                      <w:b/>
                      <w:lang w:val="en-US" w:eastAsia="zh-CN"/>
                    </w:rPr>
                    <w:t>精神障碍科男区</w:t>
                  </w:r>
                </w:p>
              </w:tc>
              <w:tc>
                <w:tcPr>
                  <w:tcW w:w="1067" w:type="dxa"/>
                  <w:noWrap w:val="0"/>
                  <w:vAlign w:val="center"/>
                </w:tcPr>
                <w:p>
                  <w:pPr>
                    <w:pStyle w:val="20"/>
                    <w:jc w:val="left"/>
                    <w:rPr>
                      <w:rFonts w:hint="default"/>
                      <w:b/>
                      <w:lang w:val="en-US" w:eastAsia="zh-CN"/>
                    </w:rPr>
                  </w:pPr>
                  <w:r>
                    <w:rPr>
                      <w:rFonts w:hint="default"/>
                      <w:b/>
                      <w:lang w:val="en-US" w:eastAsia="zh-CN"/>
                    </w:rPr>
                    <w:t>1</w:t>
                  </w:r>
                </w:p>
              </w:tc>
              <w:tc>
                <w:tcPr>
                  <w:tcW w:w="3551" w:type="dxa"/>
                  <w:vMerge w:val="restart"/>
                  <w:noWrap w:val="0"/>
                  <w:vAlign w:val="center"/>
                </w:tcPr>
                <w:p>
                  <w:pPr>
                    <w:pStyle w:val="20"/>
                    <w:jc w:val="left"/>
                    <w:rPr>
                      <w:rFonts w:hint="default"/>
                      <w:b/>
                      <w:lang w:val="en-US" w:eastAsia="zh-CN"/>
                    </w:rPr>
                  </w:pPr>
                  <w:r>
                    <w:rPr>
                      <w:rFonts w:hint="default"/>
                      <w:b/>
                      <w:lang w:val="en-US" w:eastAsia="zh-CN"/>
                    </w:rPr>
                    <w:t>陪护公司与有需要患者签订协议提供陪护服务。以一对N的方式，根据科室住院患者对陪护需求配置相应护工数，提供24小时陪护服务，按标准收费。要求至少配置1名护工。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63" w:type="dxa"/>
                  <w:noWrap w:val="0"/>
                  <w:vAlign w:val="center"/>
                </w:tcPr>
                <w:p>
                  <w:pPr>
                    <w:pStyle w:val="20"/>
                    <w:jc w:val="left"/>
                    <w:rPr>
                      <w:rFonts w:hint="default"/>
                      <w:b/>
                      <w:lang w:val="en-US" w:eastAsia="zh-CN"/>
                    </w:rPr>
                  </w:pPr>
                  <w:r>
                    <w:rPr>
                      <w:rFonts w:hint="default"/>
                      <w:b/>
                      <w:lang w:val="en-US" w:eastAsia="zh-CN"/>
                    </w:rPr>
                    <w:t>4</w:t>
                  </w:r>
                </w:p>
              </w:tc>
              <w:tc>
                <w:tcPr>
                  <w:tcW w:w="1698" w:type="dxa"/>
                  <w:noWrap w:val="0"/>
                  <w:vAlign w:val="center"/>
                </w:tcPr>
                <w:p>
                  <w:pPr>
                    <w:pStyle w:val="20"/>
                    <w:jc w:val="left"/>
                    <w:rPr>
                      <w:rFonts w:hint="default"/>
                      <w:b/>
                      <w:lang w:val="en-US" w:eastAsia="zh-CN"/>
                    </w:rPr>
                  </w:pPr>
                  <w:r>
                    <w:rPr>
                      <w:rFonts w:hint="default"/>
                      <w:b/>
                      <w:lang w:val="en-US" w:eastAsia="zh-CN"/>
                    </w:rPr>
                    <w:t>精神障碍科女区</w:t>
                  </w:r>
                </w:p>
              </w:tc>
              <w:tc>
                <w:tcPr>
                  <w:tcW w:w="1067" w:type="dxa"/>
                  <w:noWrap w:val="0"/>
                  <w:vAlign w:val="center"/>
                </w:tcPr>
                <w:p>
                  <w:pPr>
                    <w:pStyle w:val="20"/>
                    <w:jc w:val="left"/>
                    <w:rPr>
                      <w:rFonts w:hint="default"/>
                      <w:b/>
                      <w:lang w:val="en-US" w:eastAsia="zh-CN"/>
                    </w:rPr>
                  </w:pPr>
                  <w:r>
                    <w:rPr>
                      <w:rFonts w:hint="default"/>
                      <w:b/>
                      <w:lang w:val="en-US" w:eastAsia="zh-CN"/>
                    </w:rPr>
                    <w:t>1</w:t>
                  </w:r>
                </w:p>
              </w:tc>
              <w:tc>
                <w:tcPr>
                  <w:tcW w:w="3551" w:type="dxa"/>
                  <w:vMerge w:val="continue"/>
                  <w:noWrap w:val="0"/>
                  <w:vAlign w:val="center"/>
                </w:tcPr>
                <w:p>
                  <w:pPr>
                    <w:pStyle w:val="2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63" w:type="dxa"/>
                  <w:noWrap w:val="0"/>
                  <w:vAlign w:val="center"/>
                </w:tcPr>
                <w:p>
                  <w:pPr>
                    <w:pStyle w:val="20"/>
                    <w:jc w:val="left"/>
                    <w:rPr>
                      <w:rFonts w:hint="default"/>
                      <w:b/>
                      <w:lang w:val="en-US" w:eastAsia="zh-CN"/>
                    </w:rPr>
                  </w:pPr>
                  <w:r>
                    <w:rPr>
                      <w:rFonts w:hint="default"/>
                      <w:b/>
                      <w:lang w:val="en-US" w:eastAsia="zh-CN"/>
                    </w:rPr>
                    <w:t>5</w:t>
                  </w:r>
                </w:p>
              </w:tc>
              <w:tc>
                <w:tcPr>
                  <w:tcW w:w="1698" w:type="dxa"/>
                  <w:noWrap w:val="0"/>
                  <w:vAlign w:val="center"/>
                </w:tcPr>
                <w:p>
                  <w:pPr>
                    <w:pStyle w:val="20"/>
                    <w:jc w:val="left"/>
                    <w:rPr>
                      <w:rFonts w:hint="default"/>
                      <w:b/>
                      <w:lang w:val="en-US" w:eastAsia="zh-CN"/>
                    </w:rPr>
                  </w:pPr>
                  <w:r>
                    <w:rPr>
                      <w:rFonts w:hint="default"/>
                      <w:b/>
                      <w:lang w:val="en-US" w:eastAsia="zh-CN"/>
                    </w:rPr>
                    <w:t>情感障碍科男区</w:t>
                  </w:r>
                </w:p>
              </w:tc>
              <w:tc>
                <w:tcPr>
                  <w:tcW w:w="1067" w:type="dxa"/>
                  <w:noWrap w:val="0"/>
                  <w:vAlign w:val="center"/>
                </w:tcPr>
                <w:p>
                  <w:pPr>
                    <w:pStyle w:val="20"/>
                    <w:jc w:val="left"/>
                    <w:rPr>
                      <w:rFonts w:hint="default"/>
                      <w:b/>
                      <w:lang w:val="en-US" w:eastAsia="zh-CN"/>
                    </w:rPr>
                  </w:pPr>
                  <w:r>
                    <w:rPr>
                      <w:rFonts w:hint="default"/>
                      <w:b/>
                      <w:lang w:val="en-US" w:eastAsia="zh-CN"/>
                    </w:rPr>
                    <w:t>1</w:t>
                  </w:r>
                </w:p>
              </w:tc>
              <w:tc>
                <w:tcPr>
                  <w:tcW w:w="3551" w:type="dxa"/>
                  <w:vMerge w:val="continue"/>
                  <w:noWrap w:val="0"/>
                  <w:vAlign w:val="center"/>
                </w:tcPr>
                <w:p>
                  <w:pPr>
                    <w:pStyle w:val="2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63" w:type="dxa"/>
                  <w:noWrap w:val="0"/>
                  <w:vAlign w:val="center"/>
                </w:tcPr>
                <w:p>
                  <w:pPr>
                    <w:pStyle w:val="20"/>
                    <w:jc w:val="left"/>
                    <w:rPr>
                      <w:rFonts w:hint="default"/>
                      <w:b/>
                      <w:lang w:val="en-US" w:eastAsia="zh-CN"/>
                    </w:rPr>
                  </w:pPr>
                  <w:r>
                    <w:rPr>
                      <w:rFonts w:hint="default"/>
                      <w:b/>
                      <w:lang w:val="en-US" w:eastAsia="zh-CN"/>
                    </w:rPr>
                    <w:t>6</w:t>
                  </w:r>
                </w:p>
              </w:tc>
              <w:tc>
                <w:tcPr>
                  <w:tcW w:w="1698" w:type="dxa"/>
                  <w:noWrap w:val="0"/>
                  <w:vAlign w:val="center"/>
                </w:tcPr>
                <w:p>
                  <w:pPr>
                    <w:pStyle w:val="20"/>
                    <w:jc w:val="left"/>
                    <w:rPr>
                      <w:rFonts w:hint="default"/>
                      <w:b/>
                      <w:lang w:val="en-US" w:eastAsia="zh-CN"/>
                    </w:rPr>
                  </w:pPr>
                  <w:r>
                    <w:rPr>
                      <w:rFonts w:hint="default"/>
                      <w:b/>
                      <w:lang w:val="en-US" w:eastAsia="zh-CN"/>
                    </w:rPr>
                    <w:t>情感障碍科女区</w:t>
                  </w:r>
                </w:p>
              </w:tc>
              <w:tc>
                <w:tcPr>
                  <w:tcW w:w="1067" w:type="dxa"/>
                  <w:noWrap w:val="0"/>
                  <w:vAlign w:val="center"/>
                </w:tcPr>
                <w:p>
                  <w:pPr>
                    <w:pStyle w:val="20"/>
                    <w:jc w:val="left"/>
                    <w:rPr>
                      <w:rFonts w:hint="default"/>
                      <w:b/>
                      <w:lang w:val="en-US" w:eastAsia="zh-CN"/>
                    </w:rPr>
                  </w:pPr>
                  <w:r>
                    <w:rPr>
                      <w:rFonts w:hint="default"/>
                      <w:b/>
                      <w:lang w:val="en-US" w:eastAsia="zh-CN"/>
                    </w:rPr>
                    <w:t>1</w:t>
                  </w:r>
                </w:p>
              </w:tc>
              <w:tc>
                <w:tcPr>
                  <w:tcW w:w="3551" w:type="dxa"/>
                  <w:vMerge w:val="continue"/>
                  <w:noWrap w:val="0"/>
                  <w:vAlign w:val="center"/>
                </w:tcPr>
                <w:p>
                  <w:pPr>
                    <w:pStyle w:val="2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63" w:type="dxa"/>
                  <w:noWrap w:val="0"/>
                  <w:vAlign w:val="center"/>
                </w:tcPr>
                <w:p>
                  <w:pPr>
                    <w:pStyle w:val="20"/>
                    <w:jc w:val="left"/>
                    <w:rPr>
                      <w:rFonts w:hint="default"/>
                      <w:b/>
                      <w:lang w:val="en-US" w:eastAsia="zh-CN"/>
                    </w:rPr>
                  </w:pPr>
                  <w:r>
                    <w:rPr>
                      <w:rFonts w:hint="default"/>
                      <w:b/>
                      <w:lang w:val="en-US" w:eastAsia="zh-CN"/>
                    </w:rPr>
                    <w:t>7</w:t>
                  </w:r>
                </w:p>
              </w:tc>
              <w:tc>
                <w:tcPr>
                  <w:tcW w:w="1698" w:type="dxa"/>
                  <w:noWrap w:val="0"/>
                  <w:vAlign w:val="center"/>
                </w:tcPr>
                <w:p>
                  <w:pPr>
                    <w:pStyle w:val="20"/>
                    <w:jc w:val="left"/>
                    <w:rPr>
                      <w:rFonts w:hint="default"/>
                      <w:b/>
                      <w:lang w:val="en-US" w:eastAsia="zh-CN"/>
                    </w:rPr>
                  </w:pPr>
                  <w:r>
                    <w:rPr>
                      <w:rFonts w:hint="default"/>
                      <w:b/>
                      <w:lang w:val="en-US" w:eastAsia="zh-CN"/>
                    </w:rPr>
                    <w:t>救助病区</w:t>
                  </w:r>
                </w:p>
              </w:tc>
              <w:tc>
                <w:tcPr>
                  <w:tcW w:w="1067" w:type="dxa"/>
                  <w:noWrap w:val="0"/>
                  <w:vAlign w:val="center"/>
                </w:tcPr>
                <w:p>
                  <w:pPr>
                    <w:pStyle w:val="20"/>
                    <w:jc w:val="left"/>
                    <w:rPr>
                      <w:rFonts w:hint="default"/>
                      <w:b/>
                      <w:lang w:val="en-US" w:eastAsia="zh-CN"/>
                    </w:rPr>
                  </w:pPr>
                  <w:r>
                    <w:rPr>
                      <w:rFonts w:hint="default"/>
                      <w:b/>
                      <w:lang w:val="en-US" w:eastAsia="zh-CN"/>
                    </w:rPr>
                    <w:t>1</w:t>
                  </w:r>
                </w:p>
              </w:tc>
              <w:tc>
                <w:tcPr>
                  <w:tcW w:w="3551" w:type="dxa"/>
                  <w:vMerge w:val="continue"/>
                  <w:noWrap w:val="0"/>
                  <w:vAlign w:val="center"/>
                </w:tcPr>
                <w:p>
                  <w:pPr>
                    <w:pStyle w:val="2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3" w:type="dxa"/>
                  <w:noWrap w:val="0"/>
                  <w:vAlign w:val="center"/>
                </w:tcPr>
                <w:p>
                  <w:pPr>
                    <w:pStyle w:val="20"/>
                    <w:jc w:val="left"/>
                    <w:rPr>
                      <w:rFonts w:hint="default"/>
                      <w:b/>
                      <w:lang w:val="en-US" w:eastAsia="zh-CN"/>
                    </w:rPr>
                  </w:pPr>
                  <w:r>
                    <w:rPr>
                      <w:rFonts w:hint="default"/>
                      <w:b/>
                      <w:lang w:val="en-US" w:eastAsia="zh-CN"/>
                    </w:rPr>
                    <w:t>8</w:t>
                  </w:r>
                </w:p>
              </w:tc>
              <w:tc>
                <w:tcPr>
                  <w:tcW w:w="1698" w:type="dxa"/>
                  <w:noWrap w:val="0"/>
                  <w:vAlign w:val="center"/>
                </w:tcPr>
                <w:p>
                  <w:pPr>
                    <w:pStyle w:val="20"/>
                    <w:jc w:val="left"/>
                    <w:rPr>
                      <w:rFonts w:hint="default"/>
                      <w:b/>
                      <w:lang w:val="en-US" w:eastAsia="zh-CN"/>
                    </w:rPr>
                  </w:pPr>
                  <w:r>
                    <w:rPr>
                      <w:rFonts w:hint="default"/>
                      <w:b/>
                      <w:lang w:val="en-US" w:eastAsia="zh-CN"/>
                    </w:rPr>
                    <w:t>中医科</w:t>
                  </w:r>
                </w:p>
              </w:tc>
              <w:tc>
                <w:tcPr>
                  <w:tcW w:w="1067" w:type="dxa"/>
                  <w:noWrap w:val="0"/>
                  <w:vAlign w:val="center"/>
                </w:tcPr>
                <w:p>
                  <w:pPr>
                    <w:pStyle w:val="20"/>
                    <w:jc w:val="left"/>
                    <w:rPr>
                      <w:rFonts w:hint="default"/>
                      <w:b/>
                      <w:lang w:val="en-US" w:eastAsia="zh-CN"/>
                    </w:rPr>
                  </w:pPr>
                  <w:r>
                    <w:rPr>
                      <w:rFonts w:hint="default"/>
                      <w:b/>
                      <w:lang w:val="en-US" w:eastAsia="zh-CN"/>
                    </w:rPr>
                    <w:t>1</w:t>
                  </w:r>
                </w:p>
              </w:tc>
              <w:tc>
                <w:tcPr>
                  <w:tcW w:w="3551" w:type="dxa"/>
                  <w:vMerge w:val="continue"/>
                  <w:noWrap w:val="0"/>
                  <w:vAlign w:val="center"/>
                </w:tcPr>
                <w:p>
                  <w:pPr>
                    <w:pStyle w:val="2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63" w:type="dxa"/>
                  <w:noWrap w:val="0"/>
                  <w:vAlign w:val="center"/>
                </w:tcPr>
                <w:p>
                  <w:pPr>
                    <w:pStyle w:val="20"/>
                    <w:jc w:val="left"/>
                    <w:rPr>
                      <w:rFonts w:hint="default"/>
                      <w:b/>
                      <w:lang w:val="en-US" w:eastAsia="zh-CN"/>
                    </w:rPr>
                  </w:pPr>
                  <w:r>
                    <w:rPr>
                      <w:rFonts w:hint="default"/>
                      <w:b/>
                      <w:lang w:val="en-US" w:eastAsia="zh-CN"/>
                    </w:rPr>
                    <w:t>9</w:t>
                  </w:r>
                </w:p>
              </w:tc>
              <w:tc>
                <w:tcPr>
                  <w:tcW w:w="1698" w:type="dxa"/>
                  <w:noWrap w:val="0"/>
                  <w:vAlign w:val="center"/>
                </w:tcPr>
                <w:p>
                  <w:pPr>
                    <w:pStyle w:val="20"/>
                    <w:jc w:val="left"/>
                    <w:rPr>
                      <w:rFonts w:hint="default"/>
                      <w:b/>
                      <w:lang w:val="en-US" w:eastAsia="zh-CN"/>
                    </w:rPr>
                  </w:pPr>
                  <w:r>
                    <w:rPr>
                      <w:rFonts w:hint="default"/>
                      <w:b/>
                      <w:lang w:val="en-US" w:eastAsia="zh-CN"/>
                    </w:rPr>
                    <w:t>神经内科</w:t>
                  </w:r>
                </w:p>
              </w:tc>
              <w:tc>
                <w:tcPr>
                  <w:tcW w:w="1067" w:type="dxa"/>
                  <w:noWrap w:val="0"/>
                  <w:vAlign w:val="center"/>
                </w:tcPr>
                <w:p>
                  <w:pPr>
                    <w:pStyle w:val="20"/>
                    <w:jc w:val="left"/>
                    <w:rPr>
                      <w:rFonts w:hint="default"/>
                      <w:b/>
                      <w:lang w:val="en-US" w:eastAsia="zh-CN"/>
                    </w:rPr>
                  </w:pPr>
                  <w:r>
                    <w:rPr>
                      <w:rFonts w:hint="default"/>
                      <w:b/>
                      <w:lang w:val="en-US" w:eastAsia="zh-CN"/>
                    </w:rPr>
                    <w:t>10人</w:t>
                  </w:r>
                </w:p>
              </w:tc>
              <w:tc>
                <w:tcPr>
                  <w:tcW w:w="3551" w:type="dxa"/>
                  <w:noWrap w:val="0"/>
                  <w:vAlign w:val="center"/>
                </w:tcPr>
                <w:p>
                  <w:pPr>
                    <w:pStyle w:val="20"/>
                    <w:jc w:val="left"/>
                    <w:rPr>
                      <w:rFonts w:hint="default"/>
                      <w:b/>
                      <w:lang w:val="en-US" w:eastAsia="zh-CN"/>
                    </w:rPr>
                  </w:pPr>
                  <w:r>
                    <w:rPr>
                      <w:rFonts w:hint="default"/>
                      <w:b/>
                      <w:lang w:val="en-US" w:eastAsia="zh-CN"/>
                    </w:rPr>
                    <w:t>陪护公司与有需要患者签订协议提供陪护服务。以一对N的方式，根据科室住院患者人数和陪护需求配置相应护工数，提供24小时陪护服务，按标准收费，要求至少配置10名护工。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63" w:type="dxa"/>
                  <w:noWrap w:val="0"/>
                  <w:vAlign w:val="center"/>
                </w:tcPr>
                <w:p>
                  <w:pPr>
                    <w:pStyle w:val="20"/>
                    <w:jc w:val="left"/>
                    <w:rPr>
                      <w:rFonts w:hint="default"/>
                      <w:b/>
                      <w:lang w:val="en-US" w:eastAsia="zh-CN"/>
                    </w:rPr>
                  </w:pPr>
                  <w:r>
                    <w:rPr>
                      <w:rFonts w:hint="default"/>
                      <w:b/>
                      <w:lang w:val="en-US" w:eastAsia="zh-CN"/>
                    </w:rPr>
                    <w:t>10</w:t>
                  </w:r>
                </w:p>
              </w:tc>
              <w:tc>
                <w:tcPr>
                  <w:tcW w:w="1698" w:type="dxa"/>
                  <w:noWrap w:val="0"/>
                  <w:vAlign w:val="center"/>
                </w:tcPr>
                <w:p>
                  <w:pPr>
                    <w:pStyle w:val="20"/>
                    <w:jc w:val="left"/>
                    <w:rPr>
                      <w:rFonts w:hint="default"/>
                      <w:b/>
                      <w:lang w:val="en-US" w:eastAsia="zh-CN"/>
                    </w:rPr>
                  </w:pPr>
                  <w:r>
                    <w:rPr>
                      <w:rFonts w:hint="default"/>
                      <w:b/>
                      <w:lang w:val="en-US" w:eastAsia="zh-CN"/>
                    </w:rPr>
                    <w:t>临床各科室一对一陪护</w:t>
                  </w:r>
                </w:p>
              </w:tc>
              <w:tc>
                <w:tcPr>
                  <w:tcW w:w="1067" w:type="dxa"/>
                  <w:noWrap w:val="0"/>
                  <w:vAlign w:val="center"/>
                </w:tcPr>
                <w:p>
                  <w:pPr>
                    <w:pStyle w:val="20"/>
                    <w:jc w:val="left"/>
                    <w:rPr>
                      <w:rFonts w:hint="default"/>
                      <w:b/>
                      <w:lang w:val="en-US" w:eastAsia="zh-CN"/>
                    </w:rPr>
                  </w:pPr>
                  <w:r>
                    <w:rPr>
                      <w:rFonts w:hint="default"/>
                      <w:b/>
                      <w:lang w:val="en-US" w:eastAsia="zh-CN"/>
                    </w:rPr>
                    <w:t>按需配置，备用人员至少40人</w:t>
                  </w:r>
                </w:p>
              </w:tc>
              <w:tc>
                <w:tcPr>
                  <w:tcW w:w="3551" w:type="dxa"/>
                  <w:noWrap w:val="0"/>
                  <w:vAlign w:val="center"/>
                </w:tcPr>
                <w:p>
                  <w:pPr>
                    <w:pStyle w:val="20"/>
                    <w:jc w:val="left"/>
                    <w:rPr>
                      <w:rFonts w:hint="default"/>
                      <w:b/>
                      <w:lang w:val="en-US" w:eastAsia="zh-CN"/>
                    </w:rPr>
                  </w:pPr>
                  <w:r>
                    <w:rPr>
                      <w:rFonts w:hint="default"/>
                      <w:b/>
                      <w:lang w:val="en-US" w:eastAsia="zh-CN"/>
                    </w:rPr>
                    <w:t>陪护公司负责全院临床科室一对一专陪服务并与有需要的患者签订协议，按标准收费。要求配置相对固定在院备用人员至少40人，根据患者需求提供陪护服务。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979" w:type="dxa"/>
                  <w:gridSpan w:val="4"/>
                  <w:noWrap w:val="0"/>
                  <w:vAlign w:val="center"/>
                </w:tcPr>
                <w:p>
                  <w:pPr>
                    <w:pStyle w:val="20"/>
                    <w:jc w:val="left"/>
                    <w:rPr>
                      <w:rFonts w:hint="default"/>
                      <w:b/>
                      <w:lang w:val="en-US" w:eastAsia="zh-CN"/>
                    </w:rPr>
                  </w:pPr>
                  <w:r>
                    <w:rPr>
                      <w:rFonts w:hint="default"/>
                      <w:b/>
                      <w:lang w:val="en-US" w:eastAsia="zh-CN"/>
                    </w:rPr>
                    <w:t>注：需随着医院临床科室结构调整和患者需求增减服务人员，陪护公司确保有足够的陪护工人力资源，满足患者陪护服务需求。</w:t>
                  </w:r>
                </w:p>
              </w:tc>
            </w:tr>
          </w:tbl>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附件4：医院付费部分护工配置</w:t>
            </w:r>
          </w:p>
          <w:tbl>
            <w:tblPr>
              <w:tblStyle w:val="12"/>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08"/>
              <w:gridCol w:w="953"/>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50" w:type="pct"/>
                  <w:noWrap w:val="0"/>
                  <w:vAlign w:val="top"/>
                </w:tcPr>
                <w:p>
                  <w:pPr>
                    <w:pStyle w:val="20"/>
                    <w:widowControl w:val="0"/>
                    <w:jc w:val="left"/>
                    <w:rPr>
                      <w:rFonts w:hint="default"/>
                      <w:b/>
                      <w:lang w:val="en-US" w:eastAsia="zh-CN"/>
                    </w:rPr>
                  </w:pPr>
                  <w:r>
                    <w:rPr>
                      <w:rFonts w:hint="default"/>
                      <w:b/>
                      <w:lang w:val="en-US" w:eastAsia="zh-CN"/>
                    </w:rPr>
                    <w:t>序号</w:t>
                  </w:r>
                </w:p>
              </w:tc>
              <w:tc>
                <w:tcPr>
                  <w:tcW w:w="1193" w:type="pct"/>
                  <w:noWrap w:val="0"/>
                  <w:vAlign w:val="top"/>
                </w:tcPr>
                <w:p>
                  <w:pPr>
                    <w:pStyle w:val="20"/>
                    <w:widowControl w:val="0"/>
                    <w:jc w:val="left"/>
                    <w:rPr>
                      <w:rFonts w:hint="default"/>
                      <w:b/>
                      <w:lang w:val="en-US" w:eastAsia="zh-CN"/>
                    </w:rPr>
                  </w:pPr>
                  <w:r>
                    <w:rPr>
                      <w:rFonts w:hint="default"/>
                      <w:b/>
                      <w:lang w:val="en-US" w:eastAsia="zh-CN"/>
                    </w:rPr>
                    <w:t>科室</w:t>
                  </w:r>
                </w:p>
              </w:tc>
              <w:tc>
                <w:tcPr>
                  <w:tcW w:w="755" w:type="pct"/>
                  <w:noWrap w:val="0"/>
                  <w:vAlign w:val="top"/>
                </w:tcPr>
                <w:p>
                  <w:pPr>
                    <w:pStyle w:val="20"/>
                    <w:widowControl w:val="0"/>
                    <w:jc w:val="left"/>
                    <w:rPr>
                      <w:rFonts w:hint="default"/>
                      <w:b/>
                      <w:lang w:val="en-US" w:eastAsia="zh-CN"/>
                    </w:rPr>
                  </w:pPr>
                  <w:r>
                    <w:rPr>
                      <w:rFonts w:hint="default"/>
                      <w:b/>
                      <w:lang w:val="en-US" w:eastAsia="zh-CN"/>
                    </w:rPr>
                    <w:t>配置人数</w:t>
                  </w:r>
                </w:p>
              </w:tc>
              <w:tc>
                <w:tcPr>
                  <w:tcW w:w="2599" w:type="pct"/>
                  <w:noWrap w:val="0"/>
                  <w:vAlign w:val="top"/>
                </w:tcPr>
                <w:p>
                  <w:pPr>
                    <w:pStyle w:val="20"/>
                    <w:widowControl w:val="0"/>
                    <w:jc w:val="left"/>
                    <w:rPr>
                      <w:rFonts w:hint="default"/>
                      <w:b/>
                      <w:lang w:val="en-US" w:eastAsia="zh-CN"/>
                    </w:rPr>
                  </w:pPr>
                  <w:r>
                    <w:rPr>
                      <w:rFonts w:hint="default"/>
                      <w:b/>
                      <w:lang w:val="en-US" w:eastAsia="zh-CN"/>
                    </w:rPr>
                    <w:t>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1</w:t>
                  </w:r>
                </w:p>
              </w:tc>
              <w:tc>
                <w:tcPr>
                  <w:tcW w:w="1193" w:type="pct"/>
                  <w:noWrap w:val="0"/>
                  <w:vAlign w:val="center"/>
                </w:tcPr>
                <w:p>
                  <w:pPr>
                    <w:pStyle w:val="20"/>
                    <w:widowControl w:val="0"/>
                    <w:jc w:val="left"/>
                    <w:rPr>
                      <w:rFonts w:hint="default"/>
                      <w:b/>
                      <w:lang w:val="en-US" w:eastAsia="zh-CN"/>
                    </w:rPr>
                  </w:pPr>
                  <w:r>
                    <w:rPr>
                      <w:rFonts w:hint="default"/>
                      <w:b/>
                      <w:lang w:val="en-US" w:eastAsia="zh-CN"/>
                    </w:rPr>
                    <w:t>精神障碍科男区</w:t>
                  </w:r>
                </w:p>
              </w:tc>
              <w:tc>
                <w:tcPr>
                  <w:tcW w:w="755" w:type="pct"/>
                  <w:noWrap w:val="0"/>
                  <w:vAlign w:val="center"/>
                </w:tcPr>
                <w:p>
                  <w:pPr>
                    <w:pStyle w:val="20"/>
                    <w:widowControl w:val="0"/>
                    <w:jc w:val="left"/>
                    <w:rPr>
                      <w:rFonts w:hint="default"/>
                      <w:b/>
                      <w:lang w:val="en-US" w:eastAsia="zh-CN"/>
                    </w:rPr>
                  </w:pPr>
                  <w:r>
                    <w:rPr>
                      <w:rFonts w:hint="default"/>
                      <w:b/>
                      <w:lang w:val="en-US" w:eastAsia="zh-CN"/>
                    </w:rPr>
                    <w:t>2</w:t>
                  </w:r>
                </w:p>
              </w:tc>
              <w:tc>
                <w:tcPr>
                  <w:tcW w:w="2599" w:type="pct"/>
                  <w:vMerge w:val="restart"/>
                  <w:noWrap w:val="0"/>
                  <w:vAlign w:val="top"/>
                </w:tcPr>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中标供应商根据采购人需求，配置固定的护工，按采购人的排班及岗位职责完成工作，提供24小时服务。</w:t>
                  </w:r>
                </w:p>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2</w:t>
                  </w:r>
                </w:p>
              </w:tc>
              <w:tc>
                <w:tcPr>
                  <w:tcW w:w="1193" w:type="pct"/>
                  <w:noWrap w:val="0"/>
                  <w:vAlign w:val="center"/>
                </w:tcPr>
                <w:p>
                  <w:pPr>
                    <w:pStyle w:val="20"/>
                    <w:widowControl w:val="0"/>
                    <w:jc w:val="left"/>
                    <w:rPr>
                      <w:rFonts w:hint="default"/>
                      <w:b/>
                      <w:lang w:val="en-US" w:eastAsia="zh-CN"/>
                    </w:rPr>
                  </w:pPr>
                  <w:r>
                    <w:rPr>
                      <w:rFonts w:hint="default"/>
                      <w:b/>
                      <w:lang w:val="en-US" w:eastAsia="zh-CN"/>
                    </w:rPr>
                    <w:t>精神障碍科女区</w:t>
                  </w:r>
                </w:p>
              </w:tc>
              <w:tc>
                <w:tcPr>
                  <w:tcW w:w="755" w:type="pct"/>
                  <w:noWrap w:val="0"/>
                  <w:vAlign w:val="center"/>
                </w:tcPr>
                <w:p>
                  <w:pPr>
                    <w:pStyle w:val="20"/>
                    <w:widowControl w:val="0"/>
                    <w:jc w:val="left"/>
                    <w:rPr>
                      <w:rFonts w:hint="default"/>
                      <w:b/>
                      <w:lang w:val="en-US" w:eastAsia="zh-CN"/>
                    </w:rPr>
                  </w:pPr>
                  <w:r>
                    <w:rPr>
                      <w:rFonts w:hint="default"/>
                      <w:b/>
                      <w:lang w:val="en-US" w:eastAsia="zh-CN"/>
                    </w:rPr>
                    <w:t>2</w:t>
                  </w:r>
                </w:p>
              </w:tc>
              <w:tc>
                <w:tcPr>
                  <w:tcW w:w="2599" w:type="pct"/>
                  <w:vMerge w:val="continue"/>
                  <w:noWrap w:val="0"/>
                  <w:vAlign w:val="top"/>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3</w:t>
                  </w:r>
                </w:p>
              </w:tc>
              <w:tc>
                <w:tcPr>
                  <w:tcW w:w="1193" w:type="pct"/>
                  <w:noWrap w:val="0"/>
                  <w:vAlign w:val="center"/>
                </w:tcPr>
                <w:p>
                  <w:pPr>
                    <w:pStyle w:val="20"/>
                    <w:widowControl w:val="0"/>
                    <w:jc w:val="left"/>
                    <w:rPr>
                      <w:rFonts w:hint="default"/>
                      <w:b/>
                      <w:lang w:val="en-US" w:eastAsia="zh-CN"/>
                    </w:rPr>
                  </w:pPr>
                  <w:r>
                    <w:rPr>
                      <w:rFonts w:hint="default"/>
                      <w:b/>
                      <w:lang w:val="en-US" w:eastAsia="zh-CN"/>
                    </w:rPr>
                    <w:t>情感障碍科男区</w:t>
                  </w:r>
                </w:p>
              </w:tc>
              <w:tc>
                <w:tcPr>
                  <w:tcW w:w="755" w:type="pct"/>
                  <w:noWrap w:val="0"/>
                  <w:vAlign w:val="center"/>
                </w:tcPr>
                <w:p>
                  <w:pPr>
                    <w:pStyle w:val="20"/>
                    <w:widowControl w:val="0"/>
                    <w:jc w:val="left"/>
                    <w:rPr>
                      <w:rFonts w:hint="default"/>
                      <w:b/>
                      <w:lang w:val="en-US" w:eastAsia="zh-CN"/>
                    </w:rPr>
                  </w:pPr>
                  <w:r>
                    <w:rPr>
                      <w:rFonts w:hint="default"/>
                      <w:b/>
                      <w:lang w:val="en-US" w:eastAsia="zh-CN"/>
                    </w:rPr>
                    <w:t>2</w:t>
                  </w:r>
                </w:p>
              </w:tc>
              <w:tc>
                <w:tcPr>
                  <w:tcW w:w="2599" w:type="pct"/>
                  <w:vMerge w:val="continue"/>
                  <w:noWrap w:val="0"/>
                  <w:vAlign w:val="top"/>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4</w:t>
                  </w:r>
                </w:p>
              </w:tc>
              <w:tc>
                <w:tcPr>
                  <w:tcW w:w="1193" w:type="pct"/>
                  <w:noWrap w:val="0"/>
                  <w:vAlign w:val="center"/>
                </w:tcPr>
                <w:p>
                  <w:pPr>
                    <w:pStyle w:val="20"/>
                    <w:widowControl w:val="0"/>
                    <w:jc w:val="left"/>
                    <w:rPr>
                      <w:rFonts w:hint="default"/>
                      <w:b/>
                      <w:lang w:val="en-US" w:eastAsia="zh-CN"/>
                    </w:rPr>
                  </w:pPr>
                  <w:r>
                    <w:rPr>
                      <w:rFonts w:hint="default"/>
                      <w:b/>
                      <w:lang w:val="en-US" w:eastAsia="zh-CN"/>
                    </w:rPr>
                    <w:t>情感障碍科女区</w:t>
                  </w:r>
                </w:p>
              </w:tc>
              <w:tc>
                <w:tcPr>
                  <w:tcW w:w="755" w:type="pct"/>
                  <w:noWrap w:val="0"/>
                  <w:vAlign w:val="center"/>
                </w:tcPr>
                <w:p>
                  <w:pPr>
                    <w:pStyle w:val="20"/>
                    <w:widowControl w:val="0"/>
                    <w:jc w:val="left"/>
                    <w:rPr>
                      <w:rFonts w:hint="default"/>
                      <w:b/>
                      <w:lang w:val="en-US" w:eastAsia="zh-CN"/>
                    </w:rPr>
                  </w:pPr>
                  <w:r>
                    <w:rPr>
                      <w:rFonts w:hint="default"/>
                      <w:b/>
                      <w:lang w:val="en-US" w:eastAsia="zh-CN"/>
                    </w:rPr>
                    <w:t>2</w:t>
                  </w:r>
                </w:p>
              </w:tc>
              <w:tc>
                <w:tcPr>
                  <w:tcW w:w="2599" w:type="pct"/>
                  <w:vMerge w:val="continue"/>
                  <w:noWrap w:val="0"/>
                  <w:vAlign w:val="top"/>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5</w:t>
                  </w:r>
                </w:p>
              </w:tc>
              <w:tc>
                <w:tcPr>
                  <w:tcW w:w="1193" w:type="pct"/>
                  <w:noWrap w:val="0"/>
                  <w:vAlign w:val="center"/>
                </w:tcPr>
                <w:p>
                  <w:pPr>
                    <w:pStyle w:val="20"/>
                    <w:widowControl w:val="0"/>
                    <w:jc w:val="left"/>
                    <w:rPr>
                      <w:rFonts w:hint="default"/>
                      <w:b/>
                      <w:lang w:val="en-US" w:eastAsia="zh-CN"/>
                    </w:rPr>
                  </w:pPr>
                  <w:r>
                    <w:rPr>
                      <w:rFonts w:hint="default"/>
                      <w:b/>
                      <w:lang w:val="en-US" w:eastAsia="zh-CN"/>
                    </w:rPr>
                    <w:t>救助病区</w:t>
                  </w:r>
                </w:p>
              </w:tc>
              <w:tc>
                <w:tcPr>
                  <w:tcW w:w="755" w:type="pct"/>
                  <w:noWrap w:val="0"/>
                  <w:vAlign w:val="center"/>
                </w:tcPr>
                <w:p>
                  <w:pPr>
                    <w:pStyle w:val="20"/>
                    <w:widowControl w:val="0"/>
                    <w:jc w:val="left"/>
                    <w:rPr>
                      <w:rFonts w:hint="default"/>
                      <w:b/>
                      <w:lang w:val="en-US" w:eastAsia="zh-CN"/>
                    </w:rPr>
                  </w:pPr>
                  <w:r>
                    <w:rPr>
                      <w:rFonts w:hint="default"/>
                      <w:b/>
                      <w:lang w:val="en-US" w:eastAsia="zh-CN"/>
                    </w:rPr>
                    <w:t>7</w:t>
                  </w:r>
                </w:p>
              </w:tc>
              <w:tc>
                <w:tcPr>
                  <w:tcW w:w="2599" w:type="pct"/>
                  <w:vMerge w:val="continue"/>
                  <w:noWrap w:val="0"/>
                  <w:vAlign w:val="top"/>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6</w:t>
                  </w:r>
                </w:p>
              </w:tc>
              <w:tc>
                <w:tcPr>
                  <w:tcW w:w="1193" w:type="pct"/>
                  <w:noWrap w:val="0"/>
                  <w:vAlign w:val="center"/>
                </w:tcPr>
                <w:p>
                  <w:pPr>
                    <w:pStyle w:val="20"/>
                    <w:widowControl w:val="0"/>
                    <w:jc w:val="left"/>
                    <w:rPr>
                      <w:rFonts w:hint="default"/>
                      <w:b/>
                      <w:lang w:val="en-US" w:eastAsia="zh-CN"/>
                    </w:rPr>
                  </w:pPr>
                  <w:r>
                    <w:rPr>
                      <w:rFonts w:hint="default"/>
                      <w:b/>
                      <w:lang w:val="en-US" w:eastAsia="zh-CN"/>
                    </w:rPr>
                    <w:t>中医科</w:t>
                  </w:r>
                </w:p>
              </w:tc>
              <w:tc>
                <w:tcPr>
                  <w:tcW w:w="755" w:type="pct"/>
                  <w:noWrap w:val="0"/>
                  <w:vAlign w:val="center"/>
                </w:tcPr>
                <w:p>
                  <w:pPr>
                    <w:pStyle w:val="20"/>
                    <w:widowControl w:val="0"/>
                    <w:jc w:val="left"/>
                    <w:rPr>
                      <w:rFonts w:hint="default"/>
                      <w:b/>
                      <w:lang w:val="en-US" w:eastAsia="zh-CN"/>
                    </w:rPr>
                  </w:pPr>
                  <w:r>
                    <w:rPr>
                      <w:rFonts w:hint="default"/>
                      <w:b/>
                      <w:lang w:val="en-US" w:eastAsia="zh-CN"/>
                    </w:rPr>
                    <w:t>2</w:t>
                  </w:r>
                </w:p>
              </w:tc>
              <w:tc>
                <w:tcPr>
                  <w:tcW w:w="2599" w:type="pct"/>
                  <w:vMerge w:val="continue"/>
                  <w:noWrap w:val="0"/>
                  <w:vAlign w:val="top"/>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7</w:t>
                  </w:r>
                </w:p>
              </w:tc>
              <w:tc>
                <w:tcPr>
                  <w:tcW w:w="1193" w:type="pct"/>
                  <w:noWrap w:val="0"/>
                  <w:vAlign w:val="center"/>
                </w:tcPr>
                <w:p>
                  <w:pPr>
                    <w:pStyle w:val="20"/>
                    <w:widowControl w:val="0"/>
                    <w:jc w:val="left"/>
                    <w:rPr>
                      <w:rFonts w:hint="default"/>
                      <w:b/>
                      <w:lang w:val="en-US" w:eastAsia="zh-CN"/>
                    </w:rPr>
                  </w:pPr>
                  <w:r>
                    <w:rPr>
                      <w:rFonts w:hint="default"/>
                      <w:b/>
                      <w:lang w:val="en-US" w:eastAsia="zh-CN"/>
                    </w:rPr>
                    <w:t>老年精神科</w:t>
                  </w:r>
                </w:p>
              </w:tc>
              <w:tc>
                <w:tcPr>
                  <w:tcW w:w="755" w:type="pct"/>
                  <w:noWrap w:val="0"/>
                  <w:vAlign w:val="center"/>
                </w:tcPr>
                <w:p>
                  <w:pPr>
                    <w:pStyle w:val="20"/>
                    <w:widowControl w:val="0"/>
                    <w:jc w:val="left"/>
                    <w:rPr>
                      <w:rFonts w:hint="default"/>
                      <w:b/>
                      <w:lang w:val="en-US" w:eastAsia="zh-CN"/>
                    </w:rPr>
                  </w:pPr>
                  <w:r>
                    <w:rPr>
                      <w:rFonts w:hint="default"/>
                      <w:b/>
                      <w:lang w:val="en-US" w:eastAsia="zh-CN"/>
                    </w:rPr>
                    <w:t>2</w:t>
                  </w:r>
                </w:p>
              </w:tc>
              <w:tc>
                <w:tcPr>
                  <w:tcW w:w="2599" w:type="pct"/>
                  <w:vMerge w:val="continue"/>
                  <w:noWrap w:val="0"/>
                  <w:vAlign w:val="top"/>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8</w:t>
                  </w:r>
                </w:p>
              </w:tc>
              <w:tc>
                <w:tcPr>
                  <w:tcW w:w="1193" w:type="pct"/>
                  <w:noWrap w:val="0"/>
                  <w:vAlign w:val="center"/>
                </w:tcPr>
                <w:p>
                  <w:pPr>
                    <w:pStyle w:val="20"/>
                    <w:widowControl w:val="0"/>
                    <w:jc w:val="left"/>
                    <w:rPr>
                      <w:rFonts w:hint="default"/>
                      <w:b/>
                      <w:lang w:val="en-US" w:eastAsia="zh-CN"/>
                    </w:rPr>
                  </w:pPr>
                  <w:r>
                    <w:rPr>
                      <w:rFonts w:hint="default"/>
                      <w:b/>
                      <w:lang w:val="en-US" w:eastAsia="zh-CN"/>
                    </w:rPr>
                    <w:t>临床心理科</w:t>
                  </w:r>
                </w:p>
              </w:tc>
              <w:tc>
                <w:tcPr>
                  <w:tcW w:w="755" w:type="pct"/>
                  <w:noWrap w:val="0"/>
                  <w:vAlign w:val="center"/>
                </w:tcPr>
                <w:p>
                  <w:pPr>
                    <w:pStyle w:val="20"/>
                    <w:widowControl w:val="0"/>
                    <w:jc w:val="left"/>
                    <w:rPr>
                      <w:rFonts w:hint="default"/>
                      <w:b/>
                      <w:lang w:val="en-US" w:eastAsia="zh-CN"/>
                    </w:rPr>
                  </w:pPr>
                  <w:r>
                    <w:rPr>
                      <w:rFonts w:hint="default"/>
                      <w:b/>
                      <w:lang w:val="en-US" w:eastAsia="zh-CN"/>
                    </w:rPr>
                    <w:t>2</w:t>
                  </w:r>
                </w:p>
              </w:tc>
              <w:tc>
                <w:tcPr>
                  <w:tcW w:w="2599" w:type="pct"/>
                  <w:noWrap w:val="0"/>
                  <w:vAlign w:val="top"/>
                </w:tcPr>
                <w:p>
                  <w:pPr>
                    <w:pStyle w:val="20"/>
                    <w:widowControl w:val="0"/>
                    <w:jc w:val="left"/>
                    <w:rPr>
                      <w:rFonts w:hint="default"/>
                      <w:b/>
                      <w:lang w:val="en-US" w:eastAsia="zh-CN"/>
                    </w:rPr>
                  </w:pPr>
                  <w:r>
                    <w:rPr>
                      <w:rFonts w:hint="default"/>
                      <w:b/>
                      <w:lang w:val="en-US" w:eastAsia="zh-CN"/>
                    </w:rPr>
                    <w:t>中标供应商根据采购人需求，配置固定的临床护理员，按采购人的排班及岗位职责完成工作。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50" w:type="pct"/>
                  <w:noWrap w:val="0"/>
                  <w:vAlign w:val="center"/>
                </w:tcPr>
                <w:p>
                  <w:pPr>
                    <w:pStyle w:val="20"/>
                    <w:widowControl w:val="0"/>
                    <w:jc w:val="left"/>
                    <w:rPr>
                      <w:rFonts w:hint="default"/>
                      <w:b/>
                      <w:lang w:val="en-US" w:eastAsia="zh-CN"/>
                    </w:rPr>
                  </w:pPr>
                  <w:r>
                    <w:rPr>
                      <w:rFonts w:hint="default"/>
                      <w:b/>
                      <w:lang w:val="en-US" w:eastAsia="zh-CN"/>
                    </w:rPr>
                    <w:t>9</w:t>
                  </w:r>
                </w:p>
              </w:tc>
              <w:tc>
                <w:tcPr>
                  <w:tcW w:w="1193" w:type="pct"/>
                  <w:noWrap w:val="0"/>
                  <w:vAlign w:val="center"/>
                </w:tcPr>
                <w:p>
                  <w:pPr>
                    <w:pStyle w:val="20"/>
                    <w:widowControl w:val="0"/>
                    <w:jc w:val="left"/>
                    <w:rPr>
                      <w:rFonts w:hint="default"/>
                      <w:b/>
                      <w:lang w:val="en-US" w:eastAsia="zh-CN"/>
                    </w:rPr>
                  </w:pPr>
                  <w:r>
                    <w:rPr>
                      <w:rFonts w:hint="default"/>
                      <w:b/>
                      <w:lang w:val="en-US" w:eastAsia="zh-CN"/>
                    </w:rPr>
                    <w:t>机动护工</w:t>
                  </w:r>
                </w:p>
              </w:tc>
              <w:tc>
                <w:tcPr>
                  <w:tcW w:w="755" w:type="pct"/>
                  <w:noWrap w:val="0"/>
                  <w:vAlign w:val="center"/>
                </w:tcPr>
                <w:p>
                  <w:pPr>
                    <w:pStyle w:val="20"/>
                    <w:widowControl w:val="0"/>
                    <w:jc w:val="left"/>
                    <w:rPr>
                      <w:rFonts w:hint="default"/>
                      <w:b/>
                      <w:lang w:val="en-US" w:eastAsia="zh-CN"/>
                    </w:rPr>
                  </w:pPr>
                  <w:r>
                    <w:rPr>
                      <w:rFonts w:hint="default"/>
                      <w:b/>
                      <w:lang w:val="en-US" w:eastAsia="zh-CN"/>
                    </w:rPr>
                    <w:t>3</w:t>
                  </w:r>
                </w:p>
              </w:tc>
              <w:tc>
                <w:tcPr>
                  <w:tcW w:w="2599" w:type="pct"/>
                  <w:noWrap w:val="0"/>
                  <w:vAlign w:val="top"/>
                </w:tcPr>
                <w:p>
                  <w:pPr>
                    <w:pStyle w:val="20"/>
                    <w:widowControl w:val="0"/>
                    <w:jc w:val="left"/>
                    <w:rPr>
                      <w:rFonts w:hint="default"/>
                      <w:b/>
                      <w:lang w:val="en-US" w:eastAsia="zh-CN"/>
                    </w:rPr>
                  </w:pPr>
                  <w:r>
                    <w:rPr>
                      <w:rFonts w:hint="default"/>
                      <w:b/>
                      <w:lang w:val="en-US" w:eastAsia="zh-CN"/>
                    </w:rPr>
                    <w:t>根据医院服务岗位需求或调整机动配置，按实际配置护工数以及护工出勤天数计算费用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44" w:type="pct"/>
                  <w:gridSpan w:val="2"/>
                  <w:noWrap w:val="0"/>
                  <w:vAlign w:val="center"/>
                </w:tcPr>
                <w:p>
                  <w:pPr>
                    <w:pStyle w:val="20"/>
                    <w:widowControl w:val="0"/>
                    <w:jc w:val="left"/>
                    <w:rPr>
                      <w:rFonts w:hint="default"/>
                      <w:b/>
                      <w:lang w:val="en-US" w:eastAsia="zh-CN"/>
                    </w:rPr>
                  </w:pPr>
                  <w:r>
                    <w:rPr>
                      <w:rFonts w:hint="default"/>
                      <w:b/>
                      <w:lang w:val="en-US" w:eastAsia="zh-CN"/>
                    </w:rPr>
                    <w:t>合计</w:t>
                  </w:r>
                </w:p>
              </w:tc>
              <w:tc>
                <w:tcPr>
                  <w:tcW w:w="755" w:type="pct"/>
                  <w:noWrap w:val="0"/>
                  <w:vAlign w:val="center"/>
                </w:tcPr>
                <w:p>
                  <w:pPr>
                    <w:pStyle w:val="20"/>
                    <w:widowControl w:val="0"/>
                    <w:jc w:val="left"/>
                    <w:rPr>
                      <w:rFonts w:hint="default"/>
                      <w:b/>
                      <w:lang w:val="en-US" w:eastAsia="zh-CN"/>
                    </w:rPr>
                  </w:pPr>
                  <w:r>
                    <w:rPr>
                      <w:rFonts w:hint="default"/>
                      <w:b/>
                      <w:lang w:val="en-US" w:eastAsia="zh-CN"/>
                    </w:rPr>
                    <w:t>24人</w:t>
                  </w:r>
                </w:p>
              </w:tc>
              <w:tc>
                <w:tcPr>
                  <w:tcW w:w="2599" w:type="pct"/>
                  <w:noWrap w:val="0"/>
                  <w:vAlign w:val="top"/>
                </w:tcPr>
                <w:p>
                  <w:pPr>
                    <w:pStyle w:val="20"/>
                    <w:widowControl w:val="0"/>
                    <w:jc w:val="left"/>
                    <w:rPr>
                      <w:rFonts w:hint="default"/>
                      <w:b/>
                      <w:lang w:val="en-US" w:eastAsia="zh-CN"/>
                    </w:rPr>
                  </w:pPr>
                  <w:r>
                    <w:rPr>
                      <w:rFonts w:hint="default"/>
                      <w:b/>
                      <w:lang w:val="en-US" w:eastAsia="zh-CN"/>
                    </w:rPr>
                    <w:t>按实际配置护工数以及护工出勤天数计算费用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000" w:type="pct"/>
                  <w:gridSpan w:val="4"/>
                  <w:noWrap w:val="0"/>
                  <w:vAlign w:val="center"/>
                </w:tcPr>
                <w:p>
                  <w:pPr>
                    <w:pStyle w:val="20"/>
                    <w:widowControl w:val="0"/>
                    <w:jc w:val="left"/>
                    <w:rPr>
                      <w:rFonts w:hint="default"/>
                      <w:b/>
                      <w:lang w:val="en-US" w:eastAsia="zh-CN"/>
                    </w:rPr>
                  </w:pPr>
                  <w:r>
                    <w:rPr>
                      <w:rFonts w:hint="default"/>
                      <w:b/>
                      <w:lang w:val="en-US" w:eastAsia="zh-CN"/>
                    </w:rPr>
                    <w:t>注：需随着医院临床科室结构调整和患者服务需求增减服务人员，陪护公司确保有足够的人力资源，满足医院基础服务需求。</w:t>
                  </w:r>
                </w:p>
              </w:tc>
            </w:tr>
          </w:tbl>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附件5.陪护费收费标准</w:t>
            </w:r>
          </w:p>
          <w:tbl>
            <w:tblPr>
              <w:tblStyle w:val="12"/>
              <w:tblW w:w="7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1861"/>
              <w:gridCol w:w="1861"/>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Align w:val="top"/>
                </w:tcPr>
                <w:p>
                  <w:pPr>
                    <w:pStyle w:val="20"/>
                    <w:widowControl w:val="0"/>
                    <w:jc w:val="left"/>
                    <w:rPr>
                      <w:rFonts w:hint="default"/>
                      <w:b/>
                      <w:lang w:val="en-US" w:eastAsia="zh-CN"/>
                    </w:rPr>
                  </w:pPr>
                  <w:r>
                    <w:rPr>
                      <w:rFonts w:hint="default"/>
                      <w:b/>
                      <w:lang w:val="en-US" w:eastAsia="zh-CN"/>
                    </w:rPr>
                    <w:t>服务类型</w:t>
                  </w:r>
                </w:p>
              </w:tc>
              <w:tc>
                <w:tcPr>
                  <w:tcW w:w="1861" w:type="dxa"/>
                  <w:vAlign w:val="top"/>
                </w:tcPr>
                <w:p>
                  <w:pPr>
                    <w:pStyle w:val="20"/>
                    <w:widowControl w:val="0"/>
                    <w:jc w:val="left"/>
                    <w:rPr>
                      <w:rFonts w:hint="default"/>
                      <w:b/>
                      <w:lang w:val="en-US" w:eastAsia="zh-CN"/>
                    </w:rPr>
                  </w:pPr>
                  <w:r>
                    <w:rPr>
                      <w:rFonts w:hint="default"/>
                      <w:b/>
                      <w:lang w:val="en-US" w:eastAsia="zh-CN"/>
                    </w:rPr>
                    <w:t>收费标准</w:t>
                  </w:r>
                </w:p>
              </w:tc>
              <w:tc>
                <w:tcPr>
                  <w:tcW w:w="1861" w:type="dxa"/>
                  <w:vAlign w:val="top"/>
                </w:tcPr>
                <w:p>
                  <w:pPr>
                    <w:pStyle w:val="20"/>
                    <w:widowControl w:val="0"/>
                    <w:jc w:val="left"/>
                    <w:rPr>
                      <w:rFonts w:hint="default"/>
                      <w:b/>
                      <w:lang w:val="en-US" w:eastAsia="zh-CN"/>
                    </w:rPr>
                  </w:pPr>
                  <w:r>
                    <w:rPr>
                      <w:rFonts w:hint="default"/>
                      <w:b/>
                      <w:lang w:val="en-US" w:eastAsia="zh-CN"/>
                    </w:rPr>
                    <w:t>服务对象</w:t>
                  </w:r>
                </w:p>
              </w:tc>
              <w:tc>
                <w:tcPr>
                  <w:tcW w:w="1862" w:type="dxa"/>
                  <w:vAlign w:val="top"/>
                </w:tcPr>
                <w:p>
                  <w:pPr>
                    <w:pStyle w:val="20"/>
                    <w:widowControl w:val="0"/>
                    <w:jc w:val="left"/>
                    <w:rPr>
                      <w:rFonts w:hint="default"/>
                      <w:b/>
                      <w:lang w:val="en-US" w:eastAsia="zh-CN"/>
                    </w:rPr>
                  </w:pPr>
                  <w:r>
                    <w:rPr>
                      <w:rFonts w:hint="default"/>
                      <w:b/>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Align w:val="top"/>
                </w:tcPr>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一对一专陪</w:t>
                  </w:r>
                </w:p>
              </w:tc>
              <w:tc>
                <w:tcPr>
                  <w:tcW w:w="1861" w:type="dxa"/>
                  <w:vAlign w:val="top"/>
                </w:tcPr>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220元/天</w:t>
                  </w:r>
                </w:p>
                <w:p>
                  <w:pPr>
                    <w:pStyle w:val="20"/>
                    <w:widowControl w:val="0"/>
                    <w:jc w:val="left"/>
                    <w:rPr>
                      <w:rFonts w:hint="default"/>
                      <w:b/>
                      <w:lang w:val="en-US" w:eastAsia="zh-CN"/>
                    </w:rPr>
                  </w:pPr>
                </w:p>
              </w:tc>
              <w:tc>
                <w:tcPr>
                  <w:tcW w:w="1861" w:type="dxa"/>
                  <w:vAlign w:val="top"/>
                </w:tcPr>
                <w:p>
                  <w:pPr>
                    <w:pStyle w:val="20"/>
                    <w:widowControl w:val="0"/>
                    <w:jc w:val="left"/>
                    <w:rPr>
                      <w:rFonts w:hint="default"/>
                      <w:b/>
                      <w:lang w:val="en-US" w:eastAsia="zh-CN"/>
                    </w:rPr>
                  </w:pPr>
                  <w:r>
                    <w:rPr>
                      <w:rFonts w:hint="default"/>
                      <w:b/>
                      <w:lang w:val="en-US" w:eastAsia="zh-CN"/>
                    </w:rPr>
                    <w:t>病情危重、卧床、有管道/仪器、行为紊乱、不合作或约束、高风险需要专陪服务。</w:t>
                  </w:r>
                </w:p>
              </w:tc>
              <w:tc>
                <w:tcPr>
                  <w:tcW w:w="1862" w:type="dxa"/>
                  <w:vAlign w:val="top"/>
                </w:tcPr>
                <w:p>
                  <w:pPr>
                    <w:pStyle w:val="20"/>
                    <w:widowControl w:val="0"/>
                    <w:jc w:val="left"/>
                    <w:rPr>
                      <w:rFonts w:hint="default"/>
                      <w:b/>
                      <w:lang w:val="en-US" w:eastAsia="zh-CN"/>
                    </w:rPr>
                  </w:pPr>
                  <w:r>
                    <w:rPr>
                      <w:rFonts w:hint="default"/>
                      <w:b/>
                      <w:lang w:val="en-US" w:eastAsia="zh-CN"/>
                    </w:rPr>
                    <w:t>协助患者服药、进食、翻身、大小便、穿衣、擦浴/洗漱、外出检查、日常活动，床铺清洁，床边陪睡看护等。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Merge w:val="restart"/>
                </w:tcPr>
                <w:p>
                  <w:pPr>
                    <w:pStyle w:val="20"/>
                    <w:widowControl w:val="0"/>
                    <w:jc w:val="left"/>
                    <w:rPr>
                      <w:rFonts w:hint="default"/>
                      <w:b/>
                      <w:lang w:val="en-US" w:eastAsia="zh-CN"/>
                    </w:rPr>
                  </w:pPr>
                  <w:r>
                    <w:rPr>
                      <w:rFonts w:hint="default"/>
                      <w:b/>
                      <w:lang w:val="en-US" w:eastAsia="zh-CN"/>
                    </w:rPr>
                    <w:t>一对多</w:t>
                  </w:r>
                </w:p>
              </w:tc>
              <w:tc>
                <w:tcPr>
                  <w:tcW w:w="1861" w:type="dxa"/>
                  <w:vAlign w:val="top"/>
                </w:tcPr>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120元/天</w:t>
                  </w:r>
                </w:p>
              </w:tc>
              <w:tc>
                <w:tcPr>
                  <w:tcW w:w="1861" w:type="dxa"/>
                  <w:vAlign w:val="top"/>
                </w:tcPr>
                <w:p>
                  <w:pPr>
                    <w:pStyle w:val="20"/>
                    <w:widowControl w:val="0"/>
                    <w:jc w:val="left"/>
                    <w:rPr>
                      <w:rFonts w:hint="default"/>
                      <w:b/>
                      <w:lang w:val="en-US" w:eastAsia="zh-CN"/>
                    </w:rPr>
                  </w:pPr>
                  <w:r>
                    <w:rPr>
                      <w:rFonts w:hint="default"/>
                      <w:b/>
                      <w:lang w:val="en-US" w:eastAsia="zh-CN"/>
                    </w:rPr>
                    <w:t>病情重或欠稳定、卧床、有管道/仪器、行为紊乱、不合作或约束，生活料理需协助。</w:t>
                  </w:r>
                </w:p>
              </w:tc>
              <w:tc>
                <w:tcPr>
                  <w:tcW w:w="1862" w:type="dxa"/>
                  <w:vMerge w:val="restart"/>
                </w:tcPr>
                <w:p>
                  <w:pPr>
                    <w:pStyle w:val="20"/>
                    <w:widowControl w:val="0"/>
                    <w:jc w:val="left"/>
                    <w:rPr>
                      <w:rFonts w:hint="default"/>
                      <w:b/>
                      <w:lang w:val="en-US" w:eastAsia="zh-CN"/>
                    </w:rPr>
                  </w:pPr>
                  <w:r>
                    <w:rPr>
                      <w:rFonts w:hint="default"/>
                      <w:b/>
                      <w:lang w:val="en-US" w:eastAsia="zh-CN"/>
                    </w:rPr>
                    <w:t>协助患者服药、进食、翻身、大小便、穿衣、擦浴/洗漱、外出检查、日常活动，床铺清洁等。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Merge w:val="continue"/>
                </w:tcPr>
                <w:p>
                  <w:pPr>
                    <w:pStyle w:val="20"/>
                    <w:widowControl w:val="0"/>
                    <w:jc w:val="left"/>
                    <w:rPr>
                      <w:rFonts w:hint="default"/>
                      <w:b/>
                      <w:lang w:val="en-US" w:eastAsia="zh-CN"/>
                    </w:rPr>
                  </w:pPr>
                </w:p>
              </w:tc>
              <w:tc>
                <w:tcPr>
                  <w:tcW w:w="1861" w:type="dxa"/>
                  <w:vAlign w:val="top"/>
                </w:tcPr>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90元/天</w:t>
                  </w:r>
                </w:p>
              </w:tc>
              <w:tc>
                <w:tcPr>
                  <w:tcW w:w="1861" w:type="dxa"/>
                  <w:vAlign w:val="top"/>
                </w:tcPr>
                <w:p>
                  <w:pPr>
                    <w:pStyle w:val="20"/>
                    <w:widowControl w:val="0"/>
                    <w:jc w:val="left"/>
                    <w:rPr>
                      <w:rFonts w:hint="default"/>
                      <w:b/>
                      <w:lang w:val="en-US" w:eastAsia="zh-CN"/>
                    </w:rPr>
                  </w:pPr>
                  <w:r>
                    <w:rPr>
                      <w:rFonts w:hint="default"/>
                      <w:b/>
                      <w:lang w:val="en-US" w:eastAsia="zh-CN"/>
                    </w:rPr>
                    <w:t>病情欠稳定、长期卧床、行为紊乱、不合作或约束，生活料理需协助。</w:t>
                  </w:r>
                </w:p>
              </w:tc>
              <w:tc>
                <w:tcPr>
                  <w:tcW w:w="1862" w:type="dxa"/>
                  <w:vMerge w:val="continue"/>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Merge w:val="continue"/>
                </w:tcPr>
                <w:p>
                  <w:pPr>
                    <w:pStyle w:val="20"/>
                    <w:widowControl w:val="0"/>
                    <w:jc w:val="left"/>
                    <w:rPr>
                      <w:rFonts w:hint="default"/>
                      <w:b/>
                      <w:lang w:val="en-US" w:eastAsia="zh-CN"/>
                    </w:rPr>
                  </w:pPr>
                </w:p>
              </w:tc>
              <w:tc>
                <w:tcPr>
                  <w:tcW w:w="1861" w:type="dxa"/>
                  <w:vAlign w:val="top"/>
                </w:tcPr>
                <w:p>
                  <w:pPr>
                    <w:pStyle w:val="20"/>
                    <w:widowControl w:val="0"/>
                    <w:jc w:val="left"/>
                    <w:rPr>
                      <w:rFonts w:hint="default"/>
                      <w:b/>
                      <w:lang w:val="en-US" w:eastAsia="zh-CN"/>
                    </w:rPr>
                  </w:pPr>
                </w:p>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70元/天</w:t>
                  </w:r>
                </w:p>
              </w:tc>
              <w:tc>
                <w:tcPr>
                  <w:tcW w:w="1861" w:type="dxa"/>
                  <w:vAlign w:val="top"/>
                </w:tcPr>
                <w:p>
                  <w:pPr>
                    <w:pStyle w:val="20"/>
                    <w:widowControl w:val="0"/>
                    <w:jc w:val="left"/>
                    <w:rPr>
                      <w:rFonts w:hint="default"/>
                      <w:b/>
                      <w:lang w:val="en-US" w:eastAsia="zh-CN"/>
                    </w:rPr>
                  </w:pPr>
                  <w:r>
                    <w:rPr>
                      <w:rFonts w:hint="default"/>
                      <w:b/>
                      <w:lang w:val="en-US" w:eastAsia="zh-CN"/>
                    </w:rPr>
                    <w:t>病情欠稳定、行为紊乱、不合作或约束，生活料理需协助。</w:t>
                  </w:r>
                </w:p>
              </w:tc>
              <w:tc>
                <w:tcPr>
                  <w:tcW w:w="1862" w:type="dxa"/>
                  <w:vMerge w:val="restart"/>
                </w:tcPr>
                <w:p>
                  <w:pPr>
                    <w:pStyle w:val="20"/>
                    <w:widowControl w:val="0"/>
                    <w:jc w:val="left"/>
                    <w:rPr>
                      <w:rFonts w:hint="default"/>
                      <w:b/>
                      <w:lang w:val="en-US" w:eastAsia="zh-CN"/>
                    </w:rPr>
                  </w:pPr>
                  <w:r>
                    <w:rPr>
                      <w:rFonts w:hint="default"/>
                      <w:b/>
                      <w:lang w:val="en-US" w:eastAsia="zh-CN"/>
                    </w:rPr>
                    <w:t>协助患者服药、进食、大小便、穿衣、洗漱、外出检查、日常活动，床铺清洁等。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Merge w:val="continue"/>
                </w:tcPr>
                <w:p>
                  <w:pPr>
                    <w:pStyle w:val="20"/>
                    <w:widowControl w:val="0"/>
                    <w:jc w:val="left"/>
                    <w:rPr>
                      <w:rFonts w:hint="default"/>
                      <w:b/>
                      <w:lang w:val="en-US" w:eastAsia="zh-CN"/>
                    </w:rPr>
                  </w:pPr>
                </w:p>
              </w:tc>
              <w:tc>
                <w:tcPr>
                  <w:tcW w:w="1861" w:type="dxa"/>
                  <w:vAlign w:val="top"/>
                </w:tcPr>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50元/天</w:t>
                  </w:r>
                </w:p>
              </w:tc>
              <w:tc>
                <w:tcPr>
                  <w:tcW w:w="1861" w:type="dxa"/>
                  <w:vAlign w:val="top"/>
                </w:tcPr>
                <w:p>
                  <w:pPr>
                    <w:pStyle w:val="20"/>
                    <w:widowControl w:val="0"/>
                    <w:jc w:val="left"/>
                    <w:rPr>
                      <w:rFonts w:hint="default"/>
                      <w:b/>
                      <w:lang w:val="en-US" w:eastAsia="zh-CN"/>
                    </w:rPr>
                  </w:pPr>
                  <w:r>
                    <w:rPr>
                      <w:rFonts w:hint="default"/>
                      <w:b/>
                      <w:lang w:val="en-US" w:eastAsia="zh-CN"/>
                    </w:rPr>
                    <w:t>病情欠稳定、行为紊乱生活料理需协助。</w:t>
                  </w:r>
                </w:p>
              </w:tc>
              <w:tc>
                <w:tcPr>
                  <w:tcW w:w="1862" w:type="dxa"/>
                  <w:vMerge w:val="continue"/>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Merge w:val="continue"/>
                </w:tcPr>
                <w:p>
                  <w:pPr>
                    <w:pStyle w:val="20"/>
                    <w:widowControl w:val="0"/>
                    <w:jc w:val="left"/>
                    <w:rPr>
                      <w:rFonts w:hint="default"/>
                      <w:b/>
                      <w:lang w:val="en-US" w:eastAsia="zh-CN"/>
                    </w:rPr>
                  </w:pPr>
                </w:p>
              </w:tc>
              <w:tc>
                <w:tcPr>
                  <w:tcW w:w="1861" w:type="dxa"/>
                  <w:vAlign w:val="top"/>
                </w:tcPr>
                <w:p>
                  <w:pPr>
                    <w:pStyle w:val="20"/>
                    <w:widowControl w:val="0"/>
                    <w:jc w:val="left"/>
                    <w:rPr>
                      <w:rFonts w:hint="default"/>
                      <w:b/>
                      <w:lang w:val="en-US" w:eastAsia="zh-CN"/>
                    </w:rPr>
                  </w:pPr>
                </w:p>
                <w:p>
                  <w:pPr>
                    <w:pStyle w:val="20"/>
                    <w:widowControl w:val="0"/>
                    <w:jc w:val="left"/>
                    <w:rPr>
                      <w:rFonts w:hint="default"/>
                      <w:b/>
                      <w:lang w:val="en-US" w:eastAsia="zh-CN"/>
                    </w:rPr>
                  </w:pPr>
                  <w:r>
                    <w:rPr>
                      <w:rFonts w:hint="default"/>
                      <w:b/>
                      <w:lang w:val="en-US" w:eastAsia="zh-CN"/>
                    </w:rPr>
                    <w:t>30元/天</w:t>
                  </w:r>
                </w:p>
              </w:tc>
              <w:tc>
                <w:tcPr>
                  <w:tcW w:w="1861" w:type="dxa"/>
                  <w:vAlign w:val="top"/>
                </w:tcPr>
                <w:p>
                  <w:pPr>
                    <w:pStyle w:val="20"/>
                    <w:widowControl w:val="0"/>
                    <w:jc w:val="left"/>
                    <w:rPr>
                      <w:rFonts w:hint="default"/>
                      <w:b/>
                      <w:lang w:val="en-US" w:eastAsia="zh-CN"/>
                    </w:rPr>
                  </w:pPr>
                  <w:r>
                    <w:rPr>
                      <w:rFonts w:hint="default"/>
                      <w:b/>
                      <w:lang w:val="en-US" w:eastAsia="zh-CN"/>
                    </w:rPr>
                    <w:t>年老体弱、长期住院、生活料理需协助或督促。</w:t>
                  </w:r>
                </w:p>
              </w:tc>
              <w:tc>
                <w:tcPr>
                  <w:tcW w:w="1862" w:type="dxa"/>
                  <w:vMerge w:val="continue"/>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1" w:type="dxa"/>
                  <w:vAlign w:val="center"/>
                </w:tcPr>
                <w:p>
                  <w:pPr>
                    <w:pStyle w:val="20"/>
                    <w:widowControl w:val="0"/>
                    <w:jc w:val="left"/>
                    <w:rPr>
                      <w:rFonts w:hint="default"/>
                      <w:b/>
                      <w:lang w:val="en-US" w:eastAsia="zh-CN"/>
                    </w:rPr>
                  </w:pPr>
                  <w:r>
                    <w:rPr>
                      <w:rFonts w:hint="default"/>
                      <w:b/>
                      <w:lang w:val="en-US" w:eastAsia="zh-CN"/>
                    </w:rPr>
                    <w:t>陪人床租赁</w:t>
                  </w:r>
                </w:p>
              </w:tc>
              <w:tc>
                <w:tcPr>
                  <w:tcW w:w="1861" w:type="dxa"/>
                  <w:vAlign w:val="center"/>
                </w:tcPr>
                <w:p>
                  <w:pPr>
                    <w:pStyle w:val="20"/>
                    <w:widowControl w:val="0"/>
                    <w:jc w:val="left"/>
                    <w:rPr>
                      <w:rFonts w:hint="default"/>
                      <w:b/>
                      <w:lang w:val="en-US" w:eastAsia="zh-CN"/>
                    </w:rPr>
                  </w:pPr>
                  <w:r>
                    <w:rPr>
                      <w:rFonts w:hint="default"/>
                      <w:b/>
                      <w:lang w:val="en-US" w:eastAsia="zh-CN"/>
                    </w:rPr>
                    <w:t>15元/天</w:t>
                  </w:r>
                </w:p>
              </w:tc>
              <w:tc>
                <w:tcPr>
                  <w:tcW w:w="1861" w:type="dxa"/>
                  <w:vAlign w:val="center"/>
                </w:tcPr>
                <w:p>
                  <w:pPr>
                    <w:pStyle w:val="20"/>
                    <w:widowControl w:val="0"/>
                    <w:jc w:val="left"/>
                    <w:rPr>
                      <w:rFonts w:hint="default"/>
                      <w:b/>
                      <w:lang w:val="en-US" w:eastAsia="zh-CN"/>
                    </w:rPr>
                  </w:pPr>
                  <w:r>
                    <w:rPr>
                      <w:rFonts w:hint="default"/>
                      <w:b/>
                      <w:lang w:val="en-US" w:eastAsia="zh-CN"/>
                    </w:rPr>
                    <w:t>专陪陪护人员</w:t>
                  </w:r>
                </w:p>
              </w:tc>
              <w:tc>
                <w:tcPr>
                  <w:tcW w:w="1862" w:type="dxa"/>
                  <w:vAlign w:val="center"/>
                </w:tcPr>
                <w:p>
                  <w:pPr>
                    <w:pStyle w:val="20"/>
                    <w:widowControl w:val="0"/>
                    <w:jc w:val="left"/>
                    <w:rPr>
                      <w:rFonts w:hint="default"/>
                      <w:b/>
                      <w:lang w:val="en-US" w:eastAsia="zh-CN"/>
                    </w:rPr>
                  </w:pPr>
                  <w:r>
                    <w:rPr>
                      <w:rFonts w:hint="default"/>
                      <w:b/>
                      <w:lang w:val="en-US" w:eastAsia="zh-CN"/>
                    </w:rPr>
                    <w:t>陪护公司提供，患者或家属付费后使用，不附带枕头被褥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5" w:type="dxa"/>
                  <w:gridSpan w:val="4"/>
                  <w:vAlign w:val="center"/>
                </w:tcPr>
                <w:p>
                  <w:pPr>
                    <w:pStyle w:val="20"/>
                    <w:widowControl w:val="0"/>
                    <w:jc w:val="left"/>
                    <w:rPr>
                      <w:rFonts w:hint="default"/>
                      <w:b/>
                      <w:lang w:val="en-US" w:eastAsia="zh-CN"/>
                    </w:rPr>
                  </w:pPr>
                  <w:r>
                    <w:rPr>
                      <w:rFonts w:hint="default"/>
                      <w:b/>
                      <w:lang w:val="en-US" w:eastAsia="zh-CN"/>
                    </w:rPr>
                    <w:t>备注：</w:t>
                  </w:r>
                </w:p>
                <w:p>
                  <w:pPr>
                    <w:pStyle w:val="20"/>
                    <w:widowControl w:val="0"/>
                    <w:jc w:val="left"/>
                    <w:rPr>
                      <w:rFonts w:hint="default"/>
                      <w:b/>
                      <w:lang w:val="en-US" w:eastAsia="zh-CN"/>
                    </w:rPr>
                  </w:pPr>
                  <w:r>
                    <w:rPr>
                      <w:rFonts w:hint="default"/>
                      <w:b/>
                      <w:lang w:val="en-US" w:eastAsia="zh-CN"/>
                    </w:rPr>
                    <w:t>1.传染病的患者在原收费标准基础上加收20元。</w:t>
                  </w:r>
                </w:p>
                <w:p>
                  <w:pPr>
                    <w:pStyle w:val="20"/>
                    <w:widowControl w:val="0"/>
                    <w:jc w:val="left"/>
                    <w:rPr>
                      <w:rFonts w:hint="default"/>
                      <w:b/>
                      <w:lang w:val="en-US" w:eastAsia="zh-CN"/>
                    </w:rPr>
                  </w:pPr>
                  <w:r>
                    <w:rPr>
                      <w:rFonts w:hint="default"/>
                      <w:b/>
                      <w:lang w:val="en-US" w:eastAsia="zh-CN"/>
                    </w:rPr>
                    <w:t>2.告病重/病危患者在原收费标准基础上加收20元。</w:t>
                  </w:r>
                </w:p>
                <w:p>
                  <w:pPr>
                    <w:pStyle w:val="20"/>
                    <w:widowControl w:val="0"/>
                    <w:jc w:val="left"/>
                    <w:rPr>
                      <w:rFonts w:hint="default"/>
                      <w:b/>
                      <w:lang w:val="en-US" w:eastAsia="zh-CN"/>
                    </w:rPr>
                  </w:pPr>
                  <w:r>
                    <w:rPr>
                      <w:rFonts w:hint="default"/>
                      <w:b/>
                      <w:lang w:val="en-US" w:eastAsia="zh-CN"/>
                    </w:rPr>
                    <w:t>3.春节期间：年初一至年初三，在各档原收费标准基础上加收三倍服务费（陪人床租赁除外），其他节假日不予调价。</w:t>
                  </w:r>
                </w:p>
                <w:p>
                  <w:pPr>
                    <w:pStyle w:val="20"/>
                    <w:widowControl w:val="0"/>
                    <w:jc w:val="left"/>
                    <w:rPr>
                      <w:rFonts w:hint="default"/>
                      <w:b/>
                      <w:lang w:val="en-US" w:eastAsia="zh-CN"/>
                    </w:rPr>
                  </w:pPr>
                  <w:r>
                    <w:rPr>
                      <w:rFonts w:hint="default"/>
                      <w:b/>
                      <w:lang w:val="en-US" w:eastAsia="zh-CN"/>
                    </w:rPr>
                    <w:t>4.一对一专陪由患方包餐，要求在科室用餐。</w:t>
                  </w:r>
                </w:p>
                <w:p>
                  <w:pPr>
                    <w:pStyle w:val="20"/>
                    <w:widowControl w:val="0"/>
                    <w:jc w:val="left"/>
                    <w:rPr>
                      <w:rFonts w:hint="default"/>
                      <w:b/>
                      <w:lang w:val="en-US" w:eastAsia="zh-CN"/>
                    </w:rPr>
                  </w:pPr>
                  <w:r>
                    <w:rPr>
                      <w:rFonts w:hint="default"/>
                      <w:b/>
                      <w:lang w:val="en-US" w:eastAsia="zh-CN"/>
                    </w:rPr>
                    <w:t>5.此收费标准为最高限额标准，陪护公司不得自行超出此标准收费。</w:t>
                  </w:r>
                </w:p>
              </w:tc>
            </w:tr>
          </w:tbl>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 xml:space="preserve">救助、特困、托养、福利院住院患者收费标准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860"/>
              <w:gridCol w:w="18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pStyle w:val="20"/>
                    <w:widowControl w:val="0"/>
                    <w:jc w:val="left"/>
                    <w:rPr>
                      <w:rFonts w:hint="default"/>
                      <w:b/>
                      <w:lang w:val="en-US" w:eastAsia="zh-CN"/>
                    </w:rPr>
                  </w:pPr>
                  <w:r>
                    <w:rPr>
                      <w:rFonts w:hint="default"/>
                      <w:b/>
                      <w:lang w:val="en-US" w:eastAsia="zh-CN"/>
                    </w:rPr>
                    <w:t>服务类型</w:t>
                  </w:r>
                </w:p>
              </w:tc>
              <w:tc>
                <w:tcPr>
                  <w:tcW w:w="1860" w:type="dxa"/>
                  <w:vAlign w:val="center"/>
                </w:tcPr>
                <w:p>
                  <w:pPr>
                    <w:pStyle w:val="20"/>
                    <w:widowControl w:val="0"/>
                    <w:jc w:val="left"/>
                    <w:rPr>
                      <w:rFonts w:hint="default"/>
                      <w:b/>
                      <w:lang w:val="en-US" w:eastAsia="zh-CN"/>
                    </w:rPr>
                  </w:pPr>
                  <w:r>
                    <w:rPr>
                      <w:rFonts w:hint="default"/>
                      <w:b/>
                      <w:lang w:val="en-US" w:eastAsia="zh-CN"/>
                    </w:rPr>
                    <w:t>最高收费标准</w:t>
                  </w:r>
                </w:p>
              </w:tc>
              <w:tc>
                <w:tcPr>
                  <w:tcW w:w="1860" w:type="dxa"/>
                  <w:vAlign w:val="center"/>
                </w:tcPr>
                <w:p>
                  <w:pPr>
                    <w:pStyle w:val="20"/>
                    <w:widowControl w:val="0"/>
                    <w:jc w:val="left"/>
                    <w:rPr>
                      <w:rFonts w:hint="default"/>
                      <w:b/>
                      <w:lang w:val="en-US" w:eastAsia="zh-CN"/>
                    </w:rPr>
                  </w:pPr>
                  <w:r>
                    <w:rPr>
                      <w:rFonts w:hint="default"/>
                      <w:b/>
                      <w:lang w:val="en-US" w:eastAsia="zh-CN"/>
                    </w:rPr>
                    <w:t>服务对象</w:t>
                  </w:r>
                </w:p>
              </w:tc>
              <w:tc>
                <w:tcPr>
                  <w:tcW w:w="1861" w:type="dxa"/>
                  <w:vAlign w:val="center"/>
                </w:tcPr>
                <w:p>
                  <w:pPr>
                    <w:pStyle w:val="20"/>
                    <w:widowControl w:val="0"/>
                    <w:jc w:val="left"/>
                    <w:rPr>
                      <w:rFonts w:hint="default"/>
                      <w:b/>
                      <w:lang w:val="en-US" w:eastAsia="zh-CN"/>
                    </w:rPr>
                  </w:pPr>
                  <w:r>
                    <w:rPr>
                      <w:rFonts w:hint="default"/>
                      <w:b/>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pStyle w:val="20"/>
                    <w:widowControl w:val="0"/>
                    <w:jc w:val="left"/>
                    <w:rPr>
                      <w:rFonts w:hint="default"/>
                      <w:b/>
                      <w:lang w:val="en-US" w:eastAsia="zh-CN"/>
                    </w:rPr>
                  </w:pPr>
                  <w:r>
                    <w:rPr>
                      <w:rFonts w:hint="default"/>
                      <w:b/>
                      <w:lang w:val="en-US" w:eastAsia="zh-CN"/>
                    </w:rPr>
                    <w:t>全照顾</w:t>
                  </w:r>
                </w:p>
              </w:tc>
              <w:tc>
                <w:tcPr>
                  <w:tcW w:w="1860" w:type="dxa"/>
                  <w:vAlign w:val="center"/>
                </w:tcPr>
                <w:p>
                  <w:pPr>
                    <w:pStyle w:val="20"/>
                    <w:widowControl w:val="0"/>
                    <w:jc w:val="left"/>
                    <w:rPr>
                      <w:rFonts w:hint="default"/>
                      <w:b/>
                      <w:lang w:val="en-US" w:eastAsia="zh-CN"/>
                    </w:rPr>
                  </w:pPr>
                  <w:r>
                    <w:rPr>
                      <w:rFonts w:hint="default"/>
                      <w:b/>
                      <w:lang w:val="en-US" w:eastAsia="zh-CN"/>
                    </w:rPr>
                    <w:t>80元/天</w:t>
                  </w:r>
                </w:p>
              </w:tc>
              <w:tc>
                <w:tcPr>
                  <w:tcW w:w="1860" w:type="dxa"/>
                  <w:vMerge w:val="restart"/>
                  <w:vAlign w:val="center"/>
                </w:tcPr>
                <w:p>
                  <w:pPr>
                    <w:pStyle w:val="20"/>
                    <w:widowControl w:val="0"/>
                    <w:jc w:val="left"/>
                    <w:rPr>
                      <w:rFonts w:hint="default"/>
                      <w:b/>
                      <w:lang w:val="en-US" w:eastAsia="zh-CN"/>
                    </w:rPr>
                  </w:pPr>
                  <w:r>
                    <w:rPr>
                      <w:rFonts w:hint="default"/>
                      <w:b/>
                      <w:lang w:val="en-US" w:eastAsia="zh-CN"/>
                    </w:rPr>
                    <w:t>救助、特困、托养、福利院患者</w:t>
                  </w:r>
                </w:p>
              </w:tc>
              <w:tc>
                <w:tcPr>
                  <w:tcW w:w="1861" w:type="dxa"/>
                  <w:vMerge w:val="restart"/>
                  <w:vAlign w:val="center"/>
                </w:tcPr>
                <w:p>
                  <w:pPr>
                    <w:pStyle w:val="20"/>
                    <w:widowControl w:val="0"/>
                    <w:jc w:val="left"/>
                    <w:rPr>
                      <w:rFonts w:hint="default"/>
                      <w:b/>
                      <w:lang w:val="en-US" w:eastAsia="zh-CN"/>
                    </w:rPr>
                  </w:pPr>
                  <w:r>
                    <w:rPr>
                      <w:rFonts w:hint="default"/>
                      <w:b/>
                      <w:lang w:val="en-US" w:eastAsia="zh-CN"/>
                    </w:rPr>
                    <w:t>协助患者服药、进食、翻身、大小便及分泌物清理、穿衣、擦浴/洗漱、外出检查、日常活动，床铺清洁等。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pStyle w:val="20"/>
                    <w:widowControl w:val="0"/>
                    <w:jc w:val="left"/>
                    <w:rPr>
                      <w:rFonts w:hint="default"/>
                      <w:b/>
                      <w:lang w:val="en-US" w:eastAsia="zh-CN"/>
                    </w:rPr>
                  </w:pPr>
                  <w:r>
                    <w:rPr>
                      <w:rFonts w:hint="default"/>
                      <w:b/>
                      <w:lang w:val="en-US" w:eastAsia="zh-CN"/>
                    </w:rPr>
                    <w:t>半照顾</w:t>
                  </w:r>
                </w:p>
              </w:tc>
              <w:tc>
                <w:tcPr>
                  <w:tcW w:w="1860" w:type="dxa"/>
                  <w:vAlign w:val="center"/>
                </w:tcPr>
                <w:p>
                  <w:pPr>
                    <w:pStyle w:val="20"/>
                    <w:widowControl w:val="0"/>
                    <w:jc w:val="left"/>
                    <w:rPr>
                      <w:rFonts w:hint="default"/>
                      <w:b/>
                      <w:lang w:val="en-US" w:eastAsia="zh-CN"/>
                    </w:rPr>
                  </w:pPr>
                  <w:r>
                    <w:rPr>
                      <w:rFonts w:hint="default"/>
                      <w:b/>
                      <w:lang w:val="en-US" w:eastAsia="zh-CN"/>
                    </w:rPr>
                    <w:t>50元/天</w:t>
                  </w:r>
                </w:p>
              </w:tc>
              <w:tc>
                <w:tcPr>
                  <w:tcW w:w="1860" w:type="dxa"/>
                  <w:vMerge w:val="continue"/>
                </w:tcPr>
                <w:p>
                  <w:pPr>
                    <w:pStyle w:val="20"/>
                    <w:widowControl w:val="0"/>
                    <w:jc w:val="left"/>
                    <w:rPr>
                      <w:rFonts w:hint="default"/>
                      <w:b/>
                      <w:lang w:val="en-US" w:eastAsia="zh-CN"/>
                    </w:rPr>
                  </w:pPr>
                </w:p>
              </w:tc>
              <w:tc>
                <w:tcPr>
                  <w:tcW w:w="1861" w:type="dxa"/>
                  <w:vMerge w:val="continue"/>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0" w:type="dxa"/>
                  <w:vAlign w:val="center"/>
                </w:tcPr>
                <w:p>
                  <w:pPr>
                    <w:pStyle w:val="20"/>
                    <w:widowControl w:val="0"/>
                    <w:jc w:val="left"/>
                    <w:rPr>
                      <w:rFonts w:hint="default"/>
                      <w:b/>
                      <w:lang w:val="en-US" w:eastAsia="zh-CN"/>
                    </w:rPr>
                  </w:pPr>
                  <w:r>
                    <w:rPr>
                      <w:rFonts w:hint="default"/>
                      <w:b/>
                      <w:lang w:val="en-US" w:eastAsia="zh-CN"/>
                    </w:rPr>
                    <w:t>协助照顾</w:t>
                  </w:r>
                </w:p>
              </w:tc>
              <w:tc>
                <w:tcPr>
                  <w:tcW w:w="1860" w:type="dxa"/>
                  <w:vAlign w:val="center"/>
                </w:tcPr>
                <w:p>
                  <w:pPr>
                    <w:pStyle w:val="20"/>
                    <w:widowControl w:val="0"/>
                    <w:jc w:val="left"/>
                    <w:rPr>
                      <w:rFonts w:hint="default"/>
                      <w:b/>
                      <w:lang w:val="en-US" w:eastAsia="zh-CN"/>
                    </w:rPr>
                  </w:pPr>
                  <w:r>
                    <w:rPr>
                      <w:rFonts w:hint="default"/>
                      <w:b/>
                      <w:lang w:val="en-US" w:eastAsia="zh-CN"/>
                    </w:rPr>
                    <w:t>30元/天</w:t>
                  </w:r>
                </w:p>
              </w:tc>
              <w:tc>
                <w:tcPr>
                  <w:tcW w:w="1860" w:type="dxa"/>
                  <w:vMerge w:val="continue"/>
                </w:tcPr>
                <w:p>
                  <w:pPr>
                    <w:pStyle w:val="20"/>
                    <w:widowControl w:val="0"/>
                    <w:jc w:val="left"/>
                    <w:rPr>
                      <w:rFonts w:hint="default"/>
                      <w:b/>
                      <w:lang w:val="en-US" w:eastAsia="zh-CN"/>
                    </w:rPr>
                  </w:pPr>
                </w:p>
              </w:tc>
              <w:tc>
                <w:tcPr>
                  <w:tcW w:w="1861" w:type="dxa"/>
                  <w:vMerge w:val="continue"/>
                </w:tcPr>
                <w:p>
                  <w:pPr>
                    <w:pStyle w:val="20"/>
                    <w:widowControl w:val="0"/>
                    <w:jc w:val="left"/>
                    <w:rPr>
                      <w:rFonts w:hint="default"/>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1" w:type="dxa"/>
                  <w:gridSpan w:val="4"/>
                </w:tcPr>
                <w:p>
                  <w:pPr>
                    <w:pStyle w:val="20"/>
                    <w:widowControl w:val="0"/>
                    <w:jc w:val="left"/>
                    <w:rPr>
                      <w:rFonts w:hint="default"/>
                      <w:b/>
                      <w:lang w:val="en-US" w:eastAsia="zh-CN"/>
                    </w:rPr>
                  </w:pPr>
                  <w:r>
                    <w:rPr>
                      <w:rFonts w:hint="default"/>
                      <w:b/>
                      <w:lang w:val="en-US" w:eastAsia="zh-CN"/>
                    </w:rPr>
                    <w:t>备注：陪护公司以班组轮班形式完成患者生活照护工作，提供24小时服务，服从科室护士长排班以及工作职责要求。此收费标准为最高限额标准，具体收费价格以医院建议标准为准。</w:t>
                  </w:r>
                </w:p>
              </w:tc>
            </w:tr>
          </w:tbl>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附件6：医院住院患者信息保密协议</w:t>
            </w:r>
          </w:p>
          <w:p>
            <w:pPr>
              <w:pStyle w:val="20"/>
              <w:jc w:val="left"/>
              <w:rPr>
                <w:rFonts w:hint="default"/>
                <w:b/>
                <w:lang w:val="en-US" w:eastAsia="zh-CN"/>
              </w:rPr>
            </w:pPr>
            <w:r>
              <w:rPr>
                <w:rFonts w:hint="default"/>
                <w:b/>
                <w:lang w:val="en-US" w:eastAsia="zh-CN"/>
              </w:rPr>
              <w:t>甲方：</w:t>
            </w:r>
          </w:p>
          <w:p>
            <w:pPr>
              <w:pStyle w:val="20"/>
              <w:jc w:val="left"/>
              <w:rPr>
                <w:rFonts w:hint="default"/>
                <w:b/>
                <w:lang w:val="en-US" w:eastAsia="zh-CN"/>
              </w:rPr>
            </w:pPr>
            <w:r>
              <w:rPr>
                <w:rFonts w:hint="default"/>
                <w:b/>
                <w:lang w:val="en-US" w:eastAsia="zh-CN"/>
              </w:rPr>
              <w:t>乙方：</w:t>
            </w:r>
          </w:p>
          <w:p>
            <w:pPr>
              <w:pStyle w:val="20"/>
              <w:jc w:val="left"/>
              <w:rPr>
                <w:rFonts w:hint="default"/>
                <w:b/>
                <w:lang w:val="en-US" w:eastAsia="zh-CN"/>
              </w:rPr>
            </w:pPr>
            <w:r>
              <w:rPr>
                <w:rFonts w:hint="default"/>
                <w:b/>
                <w:lang w:val="en-US" w:eastAsia="zh-CN"/>
              </w:rPr>
              <w:t xml:space="preserve">乙方承诺在本院工作期间，严格按照本协议约定的保密内容履行保密义务。 </w:t>
            </w:r>
          </w:p>
          <w:p>
            <w:pPr>
              <w:pStyle w:val="20"/>
              <w:jc w:val="left"/>
              <w:rPr>
                <w:rFonts w:hint="default"/>
                <w:b/>
                <w:lang w:val="en-US" w:eastAsia="zh-CN"/>
              </w:rPr>
            </w:pPr>
            <w:r>
              <w:rPr>
                <w:rFonts w:hint="default"/>
                <w:b/>
                <w:lang w:val="en-US" w:eastAsia="zh-CN"/>
              </w:rPr>
              <w:t>保密内容：</w:t>
            </w:r>
          </w:p>
          <w:p>
            <w:pPr>
              <w:pStyle w:val="20"/>
              <w:jc w:val="left"/>
              <w:rPr>
                <w:rFonts w:hint="default"/>
                <w:b/>
                <w:lang w:val="en-US" w:eastAsia="zh-CN"/>
              </w:rPr>
            </w:pPr>
            <w:r>
              <w:rPr>
                <w:rFonts w:hint="default"/>
                <w:b/>
                <w:lang w:val="en-US" w:eastAsia="zh-CN"/>
              </w:rPr>
              <w:t>1.本院患者及其家属相关信息：姓名、住址、联系电话等一切可以联系到患者及其家属的信息和途径。</w:t>
            </w:r>
          </w:p>
          <w:p>
            <w:pPr>
              <w:pStyle w:val="20"/>
              <w:jc w:val="left"/>
              <w:rPr>
                <w:rFonts w:hint="default"/>
                <w:b/>
                <w:lang w:val="en-US" w:eastAsia="zh-CN"/>
              </w:rPr>
            </w:pPr>
            <w:r>
              <w:rPr>
                <w:rFonts w:hint="default"/>
                <w:b/>
                <w:lang w:val="en-US" w:eastAsia="zh-CN"/>
              </w:rPr>
              <w:t>2.乙方应严格遵守甲方制定的要求做好患者及其家属相关信息保密，对乙方因执行本职工作而获取、掌握的患者及其家属相关信息，不得利用此保密信息从事与工作无关的事情，不得披露给第三人。</w:t>
            </w:r>
          </w:p>
          <w:p>
            <w:pPr>
              <w:pStyle w:val="20"/>
              <w:jc w:val="left"/>
              <w:rPr>
                <w:rFonts w:hint="default"/>
                <w:b/>
                <w:lang w:val="en-US" w:eastAsia="zh-CN"/>
              </w:rPr>
            </w:pPr>
            <w:r>
              <w:rPr>
                <w:rFonts w:hint="default"/>
                <w:b/>
                <w:lang w:val="en-US" w:eastAsia="zh-CN"/>
              </w:rPr>
              <w:t>3.对乙方非因执行本职工作而获取、掌握的患者及其家属相关信息，同样不得利用此保密信息从事与工作无关的事情，不得披露给第三人。</w:t>
            </w:r>
          </w:p>
          <w:p>
            <w:pPr>
              <w:pStyle w:val="20"/>
              <w:jc w:val="left"/>
              <w:rPr>
                <w:rFonts w:hint="default"/>
                <w:b/>
                <w:lang w:val="en-US" w:eastAsia="zh-CN"/>
              </w:rPr>
            </w:pPr>
            <w:r>
              <w:rPr>
                <w:rFonts w:hint="default"/>
                <w:b/>
                <w:lang w:val="en-US" w:eastAsia="zh-CN"/>
              </w:rPr>
              <w:t>4.甲方有权要求乙方遵守甲方制定的有关保密规章制度， 有权对乙方违反前述保密规章制度而泄密的行为，视情况轻重进行相应处罚，涉嫌违法报警处理。</w:t>
            </w: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承诺方(盖章):</w:t>
            </w:r>
          </w:p>
          <w:p>
            <w:pPr>
              <w:pStyle w:val="20"/>
              <w:jc w:val="left"/>
              <w:rPr>
                <w:rFonts w:hint="default"/>
                <w:b/>
                <w:lang w:val="en-US" w:eastAsia="zh-CN"/>
              </w:rPr>
            </w:pPr>
            <w:r>
              <w:rPr>
                <w:rFonts w:hint="default"/>
                <w:b/>
                <w:lang w:val="en-US" w:eastAsia="zh-CN"/>
              </w:rPr>
              <w:t>代表人(签字):</w:t>
            </w: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日 期 ：  年  月   日</w:t>
            </w: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附件7:太平间尸体转运登记表</w:t>
            </w:r>
          </w:p>
          <w:p>
            <w:pPr>
              <w:pStyle w:val="20"/>
              <w:jc w:val="left"/>
              <w:rPr>
                <w:rFonts w:hint="default"/>
                <w:b/>
                <w:lang w:val="en-US" w:eastAsia="zh-CN"/>
              </w:rPr>
            </w:pPr>
            <w:r>
              <w:rPr>
                <w:rFonts w:hint="default"/>
                <w:b/>
                <w:lang w:val="en-US" w:eastAsia="zh-CN"/>
              </w:rPr>
              <w:t>太平间尸体转运登记表</w:t>
            </w:r>
          </w:p>
          <w:tbl>
            <w:tblPr>
              <w:tblStyle w:val="23"/>
              <w:tblW w:w="73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
              <w:gridCol w:w="497"/>
              <w:gridCol w:w="900"/>
              <w:gridCol w:w="981"/>
              <w:gridCol w:w="895"/>
              <w:gridCol w:w="931"/>
              <w:gridCol w:w="831"/>
              <w:gridCol w:w="101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453" w:type="dxa"/>
                  <w:noWrap w:val="0"/>
                  <w:vAlign w:val="top"/>
                </w:tcPr>
                <w:p>
                  <w:pPr>
                    <w:pStyle w:val="20"/>
                    <w:jc w:val="left"/>
                    <w:rPr>
                      <w:rFonts w:hint="default"/>
                      <w:b/>
                      <w:lang w:val="en-US" w:eastAsia="zh-CN"/>
                    </w:rPr>
                  </w:pPr>
                  <w:r>
                    <w:rPr>
                      <w:rFonts w:hint="default"/>
                      <w:b/>
                      <w:lang w:val="en-US" w:eastAsia="zh-CN"/>
                    </w:rPr>
                    <w:t>序号</w:t>
                  </w:r>
                </w:p>
              </w:tc>
              <w:tc>
                <w:tcPr>
                  <w:tcW w:w="497" w:type="dxa"/>
                  <w:noWrap w:val="0"/>
                  <w:vAlign w:val="top"/>
                </w:tcPr>
                <w:p>
                  <w:pPr>
                    <w:pStyle w:val="20"/>
                    <w:jc w:val="left"/>
                    <w:rPr>
                      <w:rFonts w:hint="default"/>
                      <w:b/>
                      <w:lang w:val="en-US" w:eastAsia="zh-CN"/>
                    </w:rPr>
                  </w:pPr>
                  <w:r>
                    <w:rPr>
                      <w:rFonts w:hint="default"/>
                      <w:b/>
                      <w:lang w:val="en-US" w:eastAsia="zh-CN"/>
                    </w:rPr>
                    <w:t>日期</w:t>
                  </w:r>
                </w:p>
              </w:tc>
              <w:tc>
                <w:tcPr>
                  <w:tcW w:w="900" w:type="dxa"/>
                  <w:noWrap w:val="0"/>
                  <w:vAlign w:val="top"/>
                </w:tcPr>
                <w:p>
                  <w:pPr>
                    <w:pStyle w:val="20"/>
                    <w:jc w:val="left"/>
                    <w:rPr>
                      <w:rFonts w:hint="default"/>
                      <w:b/>
                      <w:lang w:val="en-US" w:eastAsia="zh-CN"/>
                    </w:rPr>
                  </w:pPr>
                  <w:r>
                    <w:rPr>
                      <w:rFonts w:hint="default"/>
                      <w:b/>
                      <w:lang w:val="en-US" w:eastAsia="zh-CN"/>
                    </w:rPr>
                    <w:t>姓名(尸体)</w:t>
                  </w:r>
                </w:p>
              </w:tc>
              <w:tc>
                <w:tcPr>
                  <w:tcW w:w="981" w:type="dxa"/>
                  <w:noWrap w:val="0"/>
                  <w:vAlign w:val="top"/>
                </w:tcPr>
                <w:p>
                  <w:pPr>
                    <w:pStyle w:val="20"/>
                    <w:jc w:val="left"/>
                    <w:rPr>
                      <w:rFonts w:hint="default"/>
                      <w:b/>
                      <w:lang w:val="en-US" w:eastAsia="zh-CN"/>
                    </w:rPr>
                  </w:pPr>
                  <w:r>
                    <w:rPr>
                      <w:rFonts w:hint="default"/>
                      <w:b/>
                      <w:lang w:val="en-US" w:eastAsia="zh-CN"/>
                    </w:rPr>
                    <w:t>转运时间</w:t>
                  </w:r>
                </w:p>
              </w:tc>
              <w:tc>
                <w:tcPr>
                  <w:tcW w:w="895" w:type="dxa"/>
                  <w:noWrap w:val="0"/>
                  <w:vAlign w:val="top"/>
                </w:tcPr>
                <w:p>
                  <w:pPr>
                    <w:pStyle w:val="20"/>
                    <w:jc w:val="left"/>
                    <w:rPr>
                      <w:rFonts w:hint="default"/>
                      <w:b/>
                      <w:lang w:val="en-US" w:eastAsia="zh-CN"/>
                    </w:rPr>
                  </w:pPr>
                  <w:r>
                    <w:rPr>
                      <w:rFonts w:hint="default"/>
                      <w:b/>
                      <w:lang w:val="en-US" w:eastAsia="zh-CN"/>
                    </w:rPr>
                    <w:t>科室交接</w:t>
                  </w:r>
                </w:p>
                <w:p>
                  <w:pPr>
                    <w:pStyle w:val="20"/>
                    <w:jc w:val="left"/>
                    <w:rPr>
                      <w:rFonts w:hint="default"/>
                      <w:b/>
                      <w:lang w:val="en-US" w:eastAsia="zh-CN"/>
                    </w:rPr>
                  </w:pPr>
                  <w:r>
                    <w:rPr>
                      <w:rFonts w:hint="default"/>
                      <w:b/>
                      <w:lang w:val="en-US" w:eastAsia="zh-CN"/>
                    </w:rPr>
                    <w:t>签名</w:t>
                  </w:r>
                </w:p>
              </w:tc>
              <w:tc>
                <w:tcPr>
                  <w:tcW w:w="931" w:type="dxa"/>
                  <w:noWrap w:val="0"/>
                  <w:vAlign w:val="top"/>
                </w:tcPr>
                <w:p>
                  <w:pPr>
                    <w:pStyle w:val="20"/>
                    <w:jc w:val="left"/>
                    <w:rPr>
                      <w:rFonts w:hint="default"/>
                      <w:b/>
                      <w:lang w:val="en-US" w:eastAsia="zh-CN"/>
                    </w:rPr>
                  </w:pPr>
                  <w:r>
                    <w:rPr>
                      <w:rFonts w:hint="default"/>
                      <w:b/>
                      <w:lang w:val="en-US" w:eastAsia="zh-CN"/>
                    </w:rPr>
                    <w:t>护工接收</w:t>
                  </w:r>
                </w:p>
                <w:p>
                  <w:pPr>
                    <w:pStyle w:val="20"/>
                    <w:jc w:val="left"/>
                    <w:rPr>
                      <w:rFonts w:hint="default"/>
                      <w:b/>
                      <w:lang w:val="en-US" w:eastAsia="zh-CN"/>
                    </w:rPr>
                  </w:pPr>
                  <w:r>
                    <w:rPr>
                      <w:rFonts w:hint="default"/>
                      <w:b/>
                      <w:lang w:val="en-US" w:eastAsia="zh-CN"/>
                    </w:rPr>
                    <w:t>签名</w:t>
                  </w:r>
                </w:p>
              </w:tc>
              <w:tc>
                <w:tcPr>
                  <w:tcW w:w="831" w:type="dxa"/>
                  <w:noWrap w:val="0"/>
                  <w:vAlign w:val="top"/>
                </w:tcPr>
                <w:p>
                  <w:pPr>
                    <w:pStyle w:val="20"/>
                    <w:jc w:val="left"/>
                    <w:rPr>
                      <w:rFonts w:hint="default"/>
                      <w:b/>
                      <w:lang w:val="en-US" w:eastAsia="zh-CN"/>
                    </w:rPr>
                  </w:pPr>
                  <w:r>
                    <w:rPr>
                      <w:rFonts w:hint="default"/>
                      <w:b/>
                      <w:lang w:val="en-US" w:eastAsia="zh-CN"/>
                    </w:rPr>
                    <w:t>殡仪馆接收签名</w:t>
                  </w:r>
                </w:p>
              </w:tc>
              <w:tc>
                <w:tcPr>
                  <w:tcW w:w="1017" w:type="dxa"/>
                  <w:noWrap w:val="0"/>
                  <w:vAlign w:val="top"/>
                </w:tcPr>
                <w:p>
                  <w:pPr>
                    <w:pStyle w:val="20"/>
                    <w:jc w:val="left"/>
                    <w:rPr>
                      <w:rFonts w:hint="default"/>
                      <w:b/>
                      <w:lang w:val="en-US" w:eastAsia="zh-CN"/>
                    </w:rPr>
                  </w:pPr>
                  <w:r>
                    <w:rPr>
                      <w:rFonts w:hint="default"/>
                      <w:b/>
                      <w:lang w:val="en-US" w:eastAsia="zh-CN"/>
                    </w:rPr>
                    <w:t>家属签名核实</w:t>
                  </w:r>
                </w:p>
              </w:tc>
              <w:tc>
                <w:tcPr>
                  <w:tcW w:w="855" w:type="dxa"/>
                  <w:noWrap w:val="0"/>
                  <w:vAlign w:val="top"/>
                </w:tcPr>
                <w:p>
                  <w:pPr>
                    <w:pStyle w:val="20"/>
                    <w:jc w:val="left"/>
                    <w:rPr>
                      <w:rFonts w:hint="default"/>
                      <w:b/>
                      <w:lang w:val="en-US" w:eastAsia="zh-CN"/>
                    </w:rPr>
                  </w:pPr>
                  <w:r>
                    <w:rPr>
                      <w:rFonts w:hint="default"/>
                      <w:b/>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453" w:type="dxa"/>
                  <w:noWrap w:val="0"/>
                  <w:vAlign w:val="top"/>
                </w:tcPr>
                <w:p>
                  <w:pPr>
                    <w:pStyle w:val="20"/>
                    <w:jc w:val="left"/>
                    <w:rPr>
                      <w:rFonts w:hint="default"/>
                      <w:b/>
                      <w:lang w:val="en-US" w:eastAsia="zh-CN"/>
                    </w:rPr>
                  </w:pPr>
                </w:p>
              </w:tc>
              <w:tc>
                <w:tcPr>
                  <w:tcW w:w="497" w:type="dxa"/>
                  <w:noWrap w:val="0"/>
                  <w:vAlign w:val="top"/>
                </w:tcPr>
                <w:p>
                  <w:pPr>
                    <w:pStyle w:val="20"/>
                    <w:jc w:val="left"/>
                    <w:rPr>
                      <w:rFonts w:hint="default"/>
                      <w:b/>
                      <w:lang w:val="en-US" w:eastAsia="zh-CN"/>
                    </w:rPr>
                  </w:pPr>
                </w:p>
              </w:tc>
              <w:tc>
                <w:tcPr>
                  <w:tcW w:w="900" w:type="dxa"/>
                  <w:noWrap w:val="0"/>
                  <w:vAlign w:val="top"/>
                </w:tcPr>
                <w:p>
                  <w:pPr>
                    <w:pStyle w:val="20"/>
                    <w:jc w:val="left"/>
                    <w:rPr>
                      <w:rFonts w:hint="default"/>
                      <w:b/>
                      <w:lang w:val="en-US" w:eastAsia="zh-CN"/>
                    </w:rPr>
                  </w:pPr>
                </w:p>
              </w:tc>
              <w:tc>
                <w:tcPr>
                  <w:tcW w:w="981" w:type="dxa"/>
                  <w:noWrap w:val="0"/>
                  <w:vAlign w:val="top"/>
                </w:tcPr>
                <w:p>
                  <w:pPr>
                    <w:pStyle w:val="20"/>
                    <w:jc w:val="left"/>
                    <w:rPr>
                      <w:rFonts w:hint="default"/>
                      <w:b/>
                      <w:lang w:val="en-US" w:eastAsia="zh-CN"/>
                    </w:rPr>
                  </w:pPr>
                  <w:r>
                    <w:rPr>
                      <w:rFonts w:hint="default"/>
                      <w:b/>
                      <w:lang w:val="en-US" w:eastAsia="zh-CN"/>
                    </w:rPr>
                    <w:t>时  分</w:t>
                  </w:r>
                </w:p>
              </w:tc>
              <w:tc>
                <w:tcPr>
                  <w:tcW w:w="895" w:type="dxa"/>
                  <w:noWrap w:val="0"/>
                  <w:vAlign w:val="top"/>
                </w:tcPr>
                <w:p>
                  <w:pPr>
                    <w:pStyle w:val="20"/>
                    <w:jc w:val="left"/>
                    <w:rPr>
                      <w:rFonts w:hint="default"/>
                      <w:b/>
                      <w:lang w:val="en-US" w:eastAsia="zh-CN"/>
                    </w:rPr>
                  </w:pPr>
                </w:p>
              </w:tc>
              <w:tc>
                <w:tcPr>
                  <w:tcW w:w="931" w:type="dxa"/>
                  <w:noWrap w:val="0"/>
                  <w:vAlign w:val="top"/>
                </w:tcPr>
                <w:p>
                  <w:pPr>
                    <w:pStyle w:val="20"/>
                    <w:jc w:val="left"/>
                    <w:rPr>
                      <w:rFonts w:hint="default"/>
                      <w:b/>
                      <w:lang w:val="en-US" w:eastAsia="zh-CN"/>
                    </w:rPr>
                  </w:pPr>
                </w:p>
              </w:tc>
              <w:tc>
                <w:tcPr>
                  <w:tcW w:w="831" w:type="dxa"/>
                  <w:noWrap w:val="0"/>
                  <w:vAlign w:val="top"/>
                </w:tcPr>
                <w:p>
                  <w:pPr>
                    <w:pStyle w:val="20"/>
                    <w:jc w:val="left"/>
                    <w:rPr>
                      <w:rFonts w:hint="default"/>
                      <w:b/>
                      <w:lang w:val="en-US" w:eastAsia="zh-CN"/>
                    </w:rPr>
                  </w:pPr>
                </w:p>
              </w:tc>
              <w:tc>
                <w:tcPr>
                  <w:tcW w:w="1017" w:type="dxa"/>
                  <w:noWrap w:val="0"/>
                  <w:vAlign w:val="top"/>
                </w:tcPr>
                <w:p>
                  <w:pPr>
                    <w:pStyle w:val="20"/>
                    <w:jc w:val="left"/>
                    <w:rPr>
                      <w:rFonts w:hint="default"/>
                      <w:b/>
                      <w:lang w:val="en-US" w:eastAsia="zh-CN"/>
                    </w:rPr>
                  </w:pPr>
                </w:p>
              </w:tc>
              <w:tc>
                <w:tcPr>
                  <w:tcW w:w="855" w:type="dxa"/>
                  <w:noWrap w:val="0"/>
                  <w:vAlign w:val="top"/>
                </w:tcPr>
                <w:p>
                  <w:pPr>
                    <w:pStyle w:val="20"/>
                    <w:jc w:val="left"/>
                    <w:rPr>
                      <w:rFonts w:hint="default"/>
                      <w:b/>
                      <w:lang w:val="en-US" w:eastAsia="zh-CN"/>
                    </w:rPr>
                  </w:pPr>
                </w:p>
              </w:tc>
            </w:tr>
          </w:tbl>
          <w:p>
            <w:pPr>
              <w:pStyle w:val="20"/>
              <w:jc w:val="left"/>
              <w:rPr>
                <w:rFonts w:hint="default"/>
                <w:b/>
                <w:lang w:val="en-US" w:eastAsia="zh-CN"/>
              </w:rPr>
            </w:pP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附件8:太平间服务承诺书</w:t>
            </w: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太平间服务承诺书</w:t>
            </w:r>
          </w:p>
          <w:p>
            <w:pPr>
              <w:pStyle w:val="20"/>
              <w:jc w:val="left"/>
              <w:rPr>
                <w:rFonts w:hint="default"/>
                <w:b/>
                <w:lang w:val="en-US" w:eastAsia="zh-CN"/>
              </w:rPr>
            </w:pPr>
            <w:r>
              <w:rPr>
                <w:rFonts w:hint="default"/>
                <w:b/>
                <w:lang w:val="en-US" w:eastAsia="zh-CN"/>
              </w:rPr>
              <w:t>为了加强遗体规范管理，依据《关于加强医疗机构遗体管理工作的通知》的相关要求，切实做好殡葬管理的相关工作，本公司郑重承诺：</w:t>
            </w:r>
          </w:p>
          <w:p>
            <w:pPr>
              <w:pStyle w:val="20"/>
              <w:jc w:val="left"/>
              <w:rPr>
                <w:rFonts w:hint="default"/>
                <w:b/>
                <w:lang w:val="en-US" w:eastAsia="zh-CN"/>
              </w:rPr>
            </w:pPr>
            <w:r>
              <w:rPr>
                <w:rFonts w:hint="default"/>
                <w:b/>
                <w:lang w:val="en-US" w:eastAsia="zh-CN"/>
              </w:rPr>
              <w:t>一、 遵守殡丧管理条例，在遗体转运、报讯、交接、终末消毒等工作时 遵守相关规定，不贪图方便，认真执行。</w:t>
            </w:r>
          </w:p>
          <w:p>
            <w:pPr>
              <w:pStyle w:val="20"/>
              <w:jc w:val="left"/>
              <w:rPr>
                <w:rFonts w:hint="default"/>
                <w:b/>
                <w:lang w:val="en-US" w:eastAsia="zh-CN"/>
              </w:rPr>
            </w:pPr>
            <w:r>
              <w:rPr>
                <w:rFonts w:hint="default"/>
                <w:b/>
                <w:lang w:val="en-US" w:eastAsia="zh-CN"/>
              </w:rPr>
              <w:t>二、不收受、索要家属的“红包”“服务费”及礼品。</w:t>
            </w:r>
          </w:p>
          <w:p>
            <w:pPr>
              <w:pStyle w:val="20"/>
              <w:jc w:val="left"/>
              <w:rPr>
                <w:rFonts w:hint="default"/>
                <w:b/>
                <w:lang w:val="en-US" w:eastAsia="zh-CN"/>
              </w:rPr>
            </w:pPr>
            <w:r>
              <w:rPr>
                <w:rFonts w:hint="default"/>
                <w:b/>
                <w:lang w:val="en-US" w:eastAsia="zh-CN"/>
              </w:rPr>
              <w:t>三、尊重、善待逝者及亲属，保护逝者的隐私权，严禁泄露、出售逝者 的信息。</w:t>
            </w:r>
          </w:p>
          <w:p>
            <w:pPr>
              <w:pStyle w:val="20"/>
              <w:jc w:val="left"/>
              <w:rPr>
                <w:rFonts w:hint="default"/>
                <w:b/>
                <w:lang w:val="en-US" w:eastAsia="zh-CN"/>
              </w:rPr>
            </w:pPr>
            <w:r>
              <w:rPr>
                <w:rFonts w:hint="default"/>
                <w:b/>
                <w:lang w:val="en-US" w:eastAsia="zh-CN"/>
              </w:rPr>
              <w:t>四、严禁在太平间销售丧葬用品、搭设灵棚开展治丧活动及其他一切形 式的封建迷信活动。</w:t>
            </w:r>
          </w:p>
          <w:p>
            <w:pPr>
              <w:pStyle w:val="20"/>
              <w:jc w:val="left"/>
              <w:rPr>
                <w:rFonts w:hint="default"/>
                <w:b/>
                <w:lang w:val="en-US" w:eastAsia="zh-CN"/>
              </w:rPr>
            </w:pPr>
            <w:r>
              <w:rPr>
                <w:rFonts w:hint="default"/>
                <w:b/>
                <w:lang w:val="en-US" w:eastAsia="zh-CN"/>
              </w:rPr>
              <w:t>五、严禁向家属销售殡丧用品。</w:t>
            </w:r>
          </w:p>
          <w:p>
            <w:pPr>
              <w:pStyle w:val="20"/>
              <w:jc w:val="left"/>
              <w:rPr>
                <w:rFonts w:hint="default"/>
                <w:b/>
                <w:lang w:val="en-US" w:eastAsia="zh-CN"/>
              </w:rPr>
            </w:pPr>
            <w:r>
              <w:rPr>
                <w:rFonts w:hint="default"/>
                <w:b/>
                <w:lang w:val="en-US" w:eastAsia="zh-CN"/>
              </w:rPr>
              <w:t>六、严禁诱导坑害群众，严禁勾结“黑中介”扰民欺行霸市，严禁强推 “一条龙服务”等服务项目。</w:t>
            </w:r>
          </w:p>
          <w:p>
            <w:pPr>
              <w:pStyle w:val="20"/>
              <w:jc w:val="left"/>
              <w:rPr>
                <w:rFonts w:hint="default"/>
                <w:b/>
                <w:lang w:val="en-US" w:eastAsia="zh-CN"/>
              </w:rPr>
            </w:pPr>
            <w:r>
              <w:rPr>
                <w:rFonts w:hint="default"/>
                <w:b/>
                <w:lang w:val="en-US" w:eastAsia="zh-CN"/>
              </w:rPr>
              <w:t>七、严禁员工内外勾结买卖逝者器官、组织及偷盗遗体。</w:t>
            </w:r>
          </w:p>
          <w:p>
            <w:pPr>
              <w:pStyle w:val="20"/>
              <w:jc w:val="left"/>
              <w:rPr>
                <w:rFonts w:hint="default"/>
                <w:b/>
                <w:lang w:val="en-US" w:eastAsia="zh-CN"/>
              </w:rPr>
            </w:pPr>
            <w:r>
              <w:rPr>
                <w:rFonts w:hint="default"/>
                <w:b/>
                <w:lang w:val="en-US" w:eastAsia="zh-CN"/>
              </w:rPr>
              <w:t>以上各点如有违反，我司愿意接受并承担违规违法而导致的一切后果，以及 接受法律责任及违规所产生的经济处罚。</w:t>
            </w:r>
          </w:p>
          <w:p>
            <w:pPr>
              <w:pStyle w:val="20"/>
              <w:jc w:val="left"/>
              <w:rPr>
                <w:rFonts w:hint="default"/>
                <w:b/>
                <w:lang w:val="en-US" w:eastAsia="zh-CN"/>
              </w:rPr>
            </w:pPr>
            <w:r>
              <w:rPr>
                <w:rFonts w:hint="default"/>
                <w:b/>
                <w:lang w:val="en-US" w:eastAsia="zh-CN"/>
              </w:rPr>
              <w:t>承诺方(盖章):</w:t>
            </w: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代表人(签字):</w:t>
            </w: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 xml:space="preserve">日 期 :     年    月    </w:t>
            </w:r>
          </w:p>
          <w:p>
            <w:pPr>
              <w:pStyle w:val="20"/>
              <w:jc w:val="left"/>
              <w:rPr>
                <w:rFonts w:hint="default"/>
                <w:b/>
                <w:lang w:val="en-US" w:eastAsia="zh-CN"/>
              </w:rPr>
            </w:pPr>
            <w:r>
              <w:rPr>
                <w:rFonts w:hint="default"/>
                <w:b/>
                <w:lang w:val="en-US" w:eastAsia="zh-CN"/>
              </w:rPr>
              <w:t>附件9:《医院丧属信息保密协议》</w:t>
            </w:r>
          </w:p>
          <w:p>
            <w:pPr>
              <w:pStyle w:val="20"/>
              <w:jc w:val="left"/>
              <w:rPr>
                <w:rFonts w:hint="default"/>
                <w:b/>
                <w:lang w:val="en-US" w:eastAsia="zh-CN"/>
              </w:rPr>
            </w:pPr>
            <w:r>
              <w:rPr>
                <w:rFonts w:hint="default"/>
                <w:b/>
                <w:lang w:val="en-US" w:eastAsia="zh-CN"/>
              </w:rPr>
              <w:t>医院住院患者丧属信息保密协议</w:t>
            </w:r>
          </w:p>
          <w:p>
            <w:pPr>
              <w:pStyle w:val="20"/>
              <w:jc w:val="left"/>
              <w:rPr>
                <w:rFonts w:hint="default"/>
                <w:b/>
                <w:lang w:val="en-US" w:eastAsia="zh-CN"/>
              </w:rPr>
            </w:pPr>
            <w:r>
              <w:rPr>
                <w:rFonts w:hint="default"/>
                <w:b/>
                <w:lang w:val="en-US" w:eastAsia="zh-CN"/>
              </w:rPr>
              <w:t xml:space="preserve"> </w:t>
            </w:r>
          </w:p>
          <w:p>
            <w:pPr>
              <w:pStyle w:val="20"/>
              <w:jc w:val="left"/>
              <w:rPr>
                <w:rFonts w:hint="default"/>
                <w:b/>
                <w:lang w:val="en-US" w:eastAsia="zh-CN"/>
              </w:rPr>
            </w:pPr>
            <w:r>
              <w:rPr>
                <w:rFonts w:hint="default"/>
                <w:b/>
                <w:lang w:val="en-US" w:eastAsia="zh-CN"/>
              </w:rPr>
              <w:t>甲方：</w:t>
            </w:r>
          </w:p>
          <w:p>
            <w:pPr>
              <w:pStyle w:val="20"/>
              <w:jc w:val="left"/>
              <w:rPr>
                <w:rFonts w:hint="default"/>
                <w:b/>
                <w:lang w:val="en-US" w:eastAsia="zh-CN"/>
              </w:rPr>
            </w:pPr>
            <w:r>
              <w:rPr>
                <w:rFonts w:hint="default"/>
                <w:b/>
                <w:lang w:val="en-US" w:eastAsia="zh-CN"/>
              </w:rPr>
              <w:t>乙方：</w:t>
            </w:r>
          </w:p>
          <w:p>
            <w:pPr>
              <w:pStyle w:val="20"/>
              <w:jc w:val="left"/>
              <w:rPr>
                <w:rFonts w:hint="default"/>
                <w:b/>
                <w:lang w:val="en-US" w:eastAsia="zh-CN"/>
              </w:rPr>
            </w:pPr>
            <w:r>
              <w:rPr>
                <w:rFonts w:hint="default"/>
                <w:b/>
                <w:lang w:val="en-US" w:eastAsia="zh-CN"/>
              </w:rPr>
              <w:t xml:space="preserve">乙方承诺在本院工作期间，严格按照本协议约定的保密内容履行保密义务。 </w:t>
            </w:r>
          </w:p>
          <w:p>
            <w:pPr>
              <w:pStyle w:val="20"/>
              <w:jc w:val="left"/>
              <w:rPr>
                <w:rFonts w:hint="default"/>
                <w:b/>
                <w:lang w:val="en-US" w:eastAsia="zh-CN"/>
              </w:rPr>
            </w:pPr>
            <w:r>
              <w:rPr>
                <w:rFonts w:hint="default"/>
                <w:b/>
                <w:lang w:val="en-US" w:eastAsia="zh-CN"/>
              </w:rPr>
              <w:t>保密内容：</w:t>
            </w:r>
          </w:p>
          <w:p>
            <w:pPr>
              <w:pStyle w:val="20"/>
              <w:jc w:val="left"/>
              <w:rPr>
                <w:rFonts w:hint="default"/>
                <w:b/>
                <w:lang w:val="en-US" w:eastAsia="zh-CN"/>
              </w:rPr>
            </w:pPr>
            <w:r>
              <w:rPr>
                <w:rFonts w:hint="default"/>
                <w:b/>
                <w:lang w:val="en-US" w:eastAsia="zh-CN"/>
              </w:rPr>
              <w:t xml:space="preserve">1、本院死亡患者家属（丧属）相关信息：姓名、住址、联系电话等一切可以联系到死亡患者家属（丧属）的信息和途径。 </w:t>
            </w:r>
          </w:p>
          <w:p>
            <w:pPr>
              <w:pStyle w:val="20"/>
              <w:jc w:val="left"/>
              <w:rPr>
                <w:rFonts w:hint="default"/>
                <w:b/>
                <w:lang w:val="en-US" w:eastAsia="zh-CN"/>
              </w:rPr>
            </w:pPr>
            <w:r>
              <w:rPr>
                <w:rFonts w:hint="default"/>
                <w:b/>
                <w:lang w:val="en-US" w:eastAsia="zh-CN"/>
              </w:rPr>
              <w:t>2、乙方应严格遵守甲方制定的要求做好丧属信息保密，对乙方因执行本职工作而获取、掌握的丧属信息，不得利用此保密信息从事与工作无关的事情，不得披露给第三人。</w:t>
            </w:r>
          </w:p>
          <w:p>
            <w:pPr>
              <w:pStyle w:val="20"/>
              <w:jc w:val="left"/>
              <w:rPr>
                <w:rFonts w:hint="default"/>
                <w:b/>
                <w:lang w:val="en-US" w:eastAsia="zh-CN"/>
              </w:rPr>
            </w:pPr>
            <w:r>
              <w:rPr>
                <w:rFonts w:hint="default"/>
                <w:b/>
                <w:lang w:val="en-US" w:eastAsia="zh-CN"/>
              </w:rPr>
              <w:t>对乙方非因执行本职工作而获取、掌握的丧属信息，同样不得利用此保密信息从事与工作无关的事情，不得披露给第三人。</w:t>
            </w:r>
          </w:p>
          <w:p>
            <w:pPr>
              <w:pStyle w:val="20"/>
              <w:jc w:val="left"/>
              <w:rPr>
                <w:rFonts w:hint="default"/>
                <w:b/>
                <w:lang w:val="en-US" w:eastAsia="zh-CN"/>
              </w:rPr>
            </w:pPr>
            <w:r>
              <w:rPr>
                <w:rFonts w:hint="default"/>
                <w:b/>
                <w:lang w:val="en-US" w:eastAsia="zh-CN"/>
              </w:rPr>
              <w:t>3、甲方有权要求乙方遵守甲方制定的有关保密规章制度，有权对乙方违反前述保密规章制度而泄密的行为，视情况轻重进行相应处罚，涉嫌违法报警处理。</w:t>
            </w:r>
          </w:p>
          <w:p>
            <w:pPr>
              <w:pStyle w:val="20"/>
              <w:jc w:val="left"/>
              <w:rPr>
                <w:rFonts w:hint="default"/>
                <w:b/>
                <w:lang w:val="en-US" w:eastAsia="zh-CN"/>
              </w:rPr>
            </w:pPr>
          </w:p>
          <w:p>
            <w:pPr>
              <w:pStyle w:val="20"/>
              <w:jc w:val="left"/>
              <w:rPr>
                <w:rFonts w:hint="default"/>
                <w:b/>
                <w:lang w:val="en-US" w:eastAsia="zh-CN"/>
              </w:rPr>
            </w:pPr>
            <w:r>
              <w:rPr>
                <w:rFonts w:hint="default"/>
                <w:b/>
                <w:lang w:val="en-US" w:eastAsia="zh-CN"/>
              </w:rPr>
              <w:t>承诺方(盖章):</w:t>
            </w:r>
          </w:p>
          <w:p>
            <w:pPr>
              <w:pStyle w:val="20"/>
              <w:jc w:val="left"/>
              <w:rPr>
                <w:rFonts w:hint="default"/>
                <w:b/>
                <w:lang w:val="en-US" w:eastAsia="zh-CN"/>
              </w:rPr>
            </w:pPr>
            <w:r>
              <w:rPr>
                <w:rFonts w:hint="default"/>
                <w:b/>
                <w:lang w:val="en-US" w:eastAsia="zh-CN"/>
              </w:rPr>
              <w:t>代表人(签字):</w:t>
            </w:r>
          </w:p>
          <w:p>
            <w:pPr>
              <w:pStyle w:val="20"/>
              <w:jc w:val="left"/>
              <w:rPr>
                <w:rFonts w:hint="default"/>
                <w:b/>
                <w:lang w:val="en-US" w:eastAsia="zh-CN"/>
              </w:rPr>
            </w:pPr>
            <w:r>
              <w:rPr>
                <w:rFonts w:hint="default"/>
                <w:b/>
                <w:lang w:val="en-US" w:eastAsia="zh-CN"/>
              </w:rPr>
              <w:t>日 期 ：  年  月   日</w:t>
            </w:r>
          </w:p>
          <w:p>
            <w:pPr>
              <w:pStyle w:val="20"/>
              <w:jc w:val="left"/>
              <w:rPr>
                <w:rFonts w:hint="default"/>
                <w:b/>
                <w:lang w:val="en-US" w:eastAsia="zh-CN"/>
              </w:rPr>
            </w:pPr>
          </w:p>
        </w:tc>
        <w:tc>
          <w:tcPr>
            <w:tcW w:w="126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1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sz w:val="24"/>
          <w:szCs w:val="24"/>
        </w:rPr>
        <w:t>说明：</w:t>
      </w:r>
    </w:p>
    <w:p>
      <w:pPr>
        <w:pStyle w:val="10"/>
        <w:shd w:val="clear" w:color="auto" w:fill="FFFFFF"/>
        <w:ind w:firstLine="480"/>
      </w:pPr>
      <w:r>
        <w:rPr>
          <w:rFonts w:hint="eastAsia"/>
        </w:rPr>
        <w:t>1.本表所列条款必须一一予以响应，“投标人响应情况”一栏应</w:t>
      </w:r>
      <w:r>
        <w:rPr>
          <w:rStyle w:val="14"/>
          <w:rFonts w:hint="eastAsia"/>
          <w:b w:val="0"/>
        </w:rPr>
        <w:t>填写具体的响应内容，有差异</w:t>
      </w:r>
      <w:r>
        <w:rPr>
          <w:rFonts w:hint="eastAsia"/>
        </w:rPr>
        <w:t>的要具体说明。</w:t>
      </w:r>
    </w:p>
    <w:p>
      <w:pPr>
        <w:pStyle w:val="10"/>
        <w:shd w:val="clear" w:color="auto" w:fill="FFFFFF"/>
        <w:ind w:firstLine="480"/>
      </w:pPr>
      <w:r>
        <w:rPr>
          <w:rFonts w:hint="eastAsia"/>
          <w:lang w:val="en-US" w:eastAsia="zh-CN"/>
        </w:rPr>
        <w:t>2</w:t>
      </w:r>
      <w:r>
        <w:rPr>
          <w:rFonts w:hint="eastAsia"/>
        </w:rPr>
        <w:t>.请投标人认真填写本表内容，如填写错误将可能导致投标无效。</w:t>
      </w:r>
    </w:p>
    <w:p>
      <w:pPr>
        <w:rPr>
          <w:rFonts w:ascii="宋体" w:hAnsi="宋体"/>
          <w:sz w:val="24"/>
          <w:szCs w:val="24"/>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OWNhZTY1MTE1NmZhZDlmNzdiZTYwMTExOGYwZTUifQ=="/>
  </w:docVars>
  <w:rsids>
    <w:rsidRoot w:val="002F3044"/>
    <w:rsid w:val="00076C5F"/>
    <w:rsid w:val="000C13F0"/>
    <w:rsid w:val="001079D2"/>
    <w:rsid w:val="00194F3E"/>
    <w:rsid w:val="001B369A"/>
    <w:rsid w:val="002048E3"/>
    <w:rsid w:val="0021128E"/>
    <w:rsid w:val="002F3044"/>
    <w:rsid w:val="003105EE"/>
    <w:rsid w:val="00321F0D"/>
    <w:rsid w:val="00387B33"/>
    <w:rsid w:val="004523E4"/>
    <w:rsid w:val="004913C5"/>
    <w:rsid w:val="004B30C6"/>
    <w:rsid w:val="00544002"/>
    <w:rsid w:val="00626F38"/>
    <w:rsid w:val="00706877"/>
    <w:rsid w:val="008103F4"/>
    <w:rsid w:val="008826E0"/>
    <w:rsid w:val="00906CA6"/>
    <w:rsid w:val="009238D2"/>
    <w:rsid w:val="00926E05"/>
    <w:rsid w:val="00967340"/>
    <w:rsid w:val="00A0648E"/>
    <w:rsid w:val="00A1664F"/>
    <w:rsid w:val="00A30155"/>
    <w:rsid w:val="00A50151"/>
    <w:rsid w:val="00A73AE4"/>
    <w:rsid w:val="00AE6255"/>
    <w:rsid w:val="00B47072"/>
    <w:rsid w:val="00BB1460"/>
    <w:rsid w:val="00BB7663"/>
    <w:rsid w:val="00C554C7"/>
    <w:rsid w:val="00C72131"/>
    <w:rsid w:val="00CD0E81"/>
    <w:rsid w:val="00CF3FAB"/>
    <w:rsid w:val="00CF5078"/>
    <w:rsid w:val="00DF0BC4"/>
    <w:rsid w:val="00E33BF2"/>
    <w:rsid w:val="00F84676"/>
    <w:rsid w:val="07723298"/>
    <w:rsid w:val="099A0675"/>
    <w:rsid w:val="0DA303ED"/>
    <w:rsid w:val="0E636820"/>
    <w:rsid w:val="103622EC"/>
    <w:rsid w:val="114C1F67"/>
    <w:rsid w:val="13AD5B51"/>
    <w:rsid w:val="1544534B"/>
    <w:rsid w:val="164171E7"/>
    <w:rsid w:val="1839780B"/>
    <w:rsid w:val="18DF720A"/>
    <w:rsid w:val="1A3F58D1"/>
    <w:rsid w:val="2116296D"/>
    <w:rsid w:val="220B2CE7"/>
    <w:rsid w:val="226E5D84"/>
    <w:rsid w:val="23843D33"/>
    <w:rsid w:val="24215E77"/>
    <w:rsid w:val="242458B5"/>
    <w:rsid w:val="24525F90"/>
    <w:rsid w:val="25A03A79"/>
    <w:rsid w:val="263C6865"/>
    <w:rsid w:val="28FB42D5"/>
    <w:rsid w:val="2AC9163A"/>
    <w:rsid w:val="2F6C6341"/>
    <w:rsid w:val="324013CD"/>
    <w:rsid w:val="33366B39"/>
    <w:rsid w:val="34E73897"/>
    <w:rsid w:val="3700570C"/>
    <w:rsid w:val="3E863541"/>
    <w:rsid w:val="3FB252F2"/>
    <w:rsid w:val="43A5588B"/>
    <w:rsid w:val="44A20A83"/>
    <w:rsid w:val="456D105F"/>
    <w:rsid w:val="47ED35F9"/>
    <w:rsid w:val="48935B62"/>
    <w:rsid w:val="4C0D48FE"/>
    <w:rsid w:val="4C6943F4"/>
    <w:rsid w:val="4E2067CB"/>
    <w:rsid w:val="52F46CB1"/>
    <w:rsid w:val="5350726F"/>
    <w:rsid w:val="54C46636"/>
    <w:rsid w:val="55917508"/>
    <w:rsid w:val="58EE2354"/>
    <w:rsid w:val="5A8829B9"/>
    <w:rsid w:val="5A930EFA"/>
    <w:rsid w:val="5BCD1EF5"/>
    <w:rsid w:val="5DD16604"/>
    <w:rsid w:val="60A97566"/>
    <w:rsid w:val="61D6726B"/>
    <w:rsid w:val="64952D64"/>
    <w:rsid w:val="66F8151F"/>
    <w:rsid w:val="686337D1"/>
    <w:rsid w:val="6C3876B4"/>
    <w:rsid w:val="6D013A68"/>
    <w:rsid w:val="6D397F64"/>
    <w:rsid w:val="6DA8798A"/>
    <w:rsid w:val="6EB14965"/>
    <w:rsid w:val="710A5CCE"/>
    <w:rsid w:val="75560EF0"/>
    <w:rsid w:val="763456C8"/>
    <w:rsid w:val="7CC4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19"/>
    <w:unhideWhenUsed/>
    <w:qFormat/>
    <w:uiPriority w:val="0"/>
    <w:rPr>
      <w:sz w:val="20"/>
    </w:rPr>
  </w:style>
  <w:style w:type="paragraph" w:styleId="5">
    <w:name w:val="Body Text"/>
    <w:basedOn w:val="1"/>
    <w:qFormat/>
    <w:uiPriority w:val="1"/>
    <w:pPr>
      <w:ind w:left="106"/>
    </w:pPr>
    <w:rPr>
      <w:sz w:val="19"/>
      <w:szCs w:val="19"/>
    </w:rPr>
  </w:style>
  <w:style w:type="paragraph" w:styleId="6">
    <w:name w:val="Body Text Indent"/>
    <w:basedOn w:val="1"/>
    <w:next w:val="1"/>
    <w:unhideWhenUsed/>
    <w:qFormat/>
    <w:uiPriority w:val="99"/>
    <w:pPr>
      <w:adjustRightInd w:val="0"/>
      <w:spacing w:line="312" w:lineRule="atLeast"/>
      <w:ind w:firstLine="574"/>
      <w:textAlignment w:val="baseline"/>
    </w:pPr>
    <w:rPr>
      <w:rFonts w:ascii="宋体"/>
      <w:kern w:val="0"/>
      <w:sz w:val="28"/>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line="360" w:lineRule="auto"/>
    </w:pPr>
    <w:rPr>
      <w:rFonts w:ascii="宋体" w:hAnsi="宋体" w:cs="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annotation reference"/>
    <w:qFormat/>
    <w:uiPriority w:val="99"/>
    <w:rPr>
      <w:rFonts w:ascii="Tahoma" w:hAnsi="Tahoma"/>
      <w:kern w:val="2"/>
      <w:sz w:val="21"/>
      <w:szCs w:val="21"/>
    </w:r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批注框文本 Char"/>
    <w:basedOn w:val="13"/>
    <w:link w:val="7"/>
    <w:semiHidden/>
    <w:qFormat/>
    <w:uiPriority w:val="99"/>
    <w:rPr>
      <w:sz w:val="18"/>
      <w:szCs w:val="18"/>
    </w:rPr>
  </w:style>
  <w:style w:type="character" w:customStyle="1" w:styleId="19">
    <w:name w:val="批注文字 Char"/>
    <w:basedOn w:val="13"/>
    <w:link w:val="4"/>
    <w:qFormat/>
    <w:uiPriority w:val="0"/>
    <w:rPr>
      <w:rFonts w:ascii="Times New Roman" w:hAnsi="Times New Roman" w:eastAsia="宋体" w:cs="Times New Roman"/>
      <w:kern w:val="0"/>
      <w:sz w:val="20"/>
      <w:szCs w:val="20"/>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qFormat/>
    <w:uiPriority w:val="0"/>
    <w:rPr>
      <w:rFonts w:ascii="仿宋" w:hAnsi="仿宋" w:eastAsia="仿宋" w:cs="仿宋"/>
      <w:b/>
      <w:bCs/>
      <w:color w:val="000000"/>
      <w:sz w:val="20"/>
      <w:szCs w:val="20"/>
      <w:u w:val="none"/>
    </w:rPr>
  </w:style>
  <w:style w:type="character" w:customStyle="1" w:styleId="22">
    <w:name w:val="font91"/>
    <w:qFormat/>
    <w:uiPriority w:val="0"/>
    <w:rPr>
      <w:rFonts w:hint="eastAsia" w:ascii="仿宋" w:hAnsi="仿宋" w:eastAsia="仿宋" w:cs="仿宋"/>
      <w:color w:val="000000"/>
      <w:sz w:val="20"/>
      <w:szCs w:val="20"/>
      <w:u w:val="none"/>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表格文字"/>
    <w:basedOn w:val="25"/>
    <w:qFormat/>
    <w:uiPriority w:val="99"/>
    <w:pPr>
      <w:spacing w:before="25" w:after="25" w:line="240" w:lineRule="auto"/>
      <w:ind w:firstLine="0"/>
      <w:jc w:val="left"/>
    </w:pPr>
    <w:rPr>
      <w:rFonts w:ascii="Calibri" w:hAnsi="Calibri"/>
      <w:bCs/>
      <w:spacing w:val="10"/>
      <w:kern w:val="0"/>
      <w:sz w:val="24"/>
    </w:rPr>
  </w:style>
  <w:style w:type="paragraph" w:customStyle="1" w:styleId="25">
    <w:name w:val="正文 New New New New New New New New New New New New New New New New New New New New New New New New New New New New New New New New New New New New"/>
    <w:next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15872</Words>
  <Characters>16180</Characters>
  <Lines>4</Lines>
  <Paragraphs>1</Paragraphs>
  <TotalTime>3</TotalTime>
  <ScaleCrop>false</ScaleCrop>
  <LinksUpToDate>false</LinksUpToDate>
  <CharactersWithSpaces>16371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魏晓滨</cp:lastModifiedBy>
  <dcterms:modified xsi:type="dcterms:W3CDTF">2025-07-18T03:40:59Z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9450DB66593949708AAF24F69E7296A4_13</vt:lpwstr>
  </property>
  <property fmtid="{D5CDD505-2E9C-101B-9397-08002B2CF9AE}" pid="4" name="KSOTemplateDocerSaveRecord">
    <vt:lpwstr>eyJoZGlkIjoiN2Y2NDhiNjJmZDEzNTMyMTJkMDU3NTk4YjcxNWQ4ZDQiLCJ1c2VySWQiOiI1NzQ4NTg3In0=</vt:lpwstr>
  </property>
</Properties>
</file>