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2"/>
        <w:gridCol w:w="2310"/>
        <w:gridCol w:w="632"/>
        <w:gridCol w:w="1380"/>
      </w:tblGrid>
      <w:tr w14:paraId="3D7E28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997CC00">
            <w:pPr>
              <w:pStyle w:val="69"/>
              <w:jc w:val="center"/>
              <w:rPr>
                <w:rFonts w:hint="default"/>
                <w:color w:val="000000" w:themeColor="text1"/>
                <w14:textFill>
                  <w14:solidFill>
                    <w14:schemeClr w14:val="tx1"/>
                  </w14:solidFill>
                </w14:textFill>
              </w:rPr>
            </w:pPr>
            <w:r>
              <w:rPr>
                <w:b/>
                <w:color w:val="000000" w:themeColor="text1"/>
                <w:sz w:val="21"/>
                <w14:textFill>
                  <w14:solidFill>
                    <w14:schemeClr w14:val="tx1"/>
                  </w14:solidFill>
                </w14:textFill>
              </w:rPr>
              <w:t>包号</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EC02D52">
            <w:pPr>
              <w:pStyle w:val="69"/>
              <w:jc w:val="center"/>
              <w:rPr>
                <w:rFonts w:hint="default"/>
                <w:color w:val="000000" w:themeColor="text1"/>
                <w14:textFill>
                  <w14:solidFill>
                    <w14:schemeClr w14:val="tx1"/>
                  </w14:solidFill>
                </w14:textFill>
              </w:rPr>
            </w:pPr>
            <w:r>
              <w:rPr>
                <w:b/>
                <w:color w:val="000000" w:themeColor="text1"/>
                <w:sz w:val="21"/>
                <w14:textFill>
                  <w14:solidFill>
                    <w14:schemeClr w14:val="tx1"/>
                  </w14:solidFill>
                </w14:textFill>
              </w:rPr>
              <w:t>标的名称</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E5DB94E">
            <w:pPr>
              <w:pStyle w:val="69"/>
              <w:jc w:val="center"/>
              <w:rPr>
                <w:rFonts w:hint="default"/>
                <w:color w:val="000000" w:themeColor="text1"/>
                <w14:textFill>
                  <w14:solidFill>
                    <w14:schemeClr w14:val="tx1"/>
                  </w14:solidFill>
                </w14:textFill>
              </w:rPr>
            </w:pPr>
            <w:r>
              <w:rPr>
                <w:b/>
                <w:color w:val="000000" w:themeColor="text1"/>
                <w:sz w:val="21"/>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6D28DFD">
            <w:pPr>
              <w:pStyle w:val="69"/>
              <w:jc w:val="center"/>
              <w:rPr>
                <w:rFonts w:hint="default"/>
                <w:color w:val="000000" w:themeColor="text1"/>
                <w14:textFill>
                  <w14:solidFill>
                    <w14:schemeClr w14:val="tx1"/>
                  </w14:solidFill>
                </w14:textFill>
              </w:rPr>
            </w:pPr>
            <w:r>
              <w:rPr>
                <w:b/>
                <w:color w:val="000000" w:themeColor="text1"/>
                <w:sz w:val="21"/>
                <w14:textFill>
                  <w14:solidFill>
                    <w14:schemeClr w14:val="tx1"/>
                  </w14:solidFill>
                </w14:textFill>
              </w:rPr>
              <w:t>采购预算</w:t>
            </w:r>
          </w:p>
          <w:p w14:paraId="1415A373">
            <w:pPr>
              <w:pStyle w:val="69"/>
              <w:jc w:val="center"/>
              <w:rPr>
                <w:rFonts w:hint="default"/>
                <w:color w:val="000000" w:themeColor="text1"/>
                <w14:textFill>
                  <w14:solidFill>
                    <w14:schemeClr w14:val="tx1"/>
                  </w14:solidFill>
                </w14:textFill>
              </w:rPr>
            </w:pPr>
            <w:r>
              <w:rPr>
                <w:b/>
                <w:color w:val="000000" w:themeColor="text1"/>
                <w:sz w:val="21"/>
                <w14:textFill>
                  <w14:solidFill>
                    <w14:schemeClr w14:val="tx1"/>
                  </w14:solidFill>
                </w14:textFill>
              </w:rPr>
              <w:t>（人民币）</w:t>
            </w:r>
          </w:p>
        </w:tc>
      </w:tr>
      <w:tr w14:paraId="7F64AE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54CCD2">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64F61A0">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麻醉系统</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BEA399">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1套</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FD9743">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w:t>
            </w:r>
            <w:r>
              <w:rPr>
                <w:color w:val="000000" w:themeColor="text1"/>
                <w14:textFill>
                  <w14:solidFill>
                    <w14:schemeClr w14:val="tx1"/>
                  </w14:solidFill>
                </w14:textFill>
              </w:rPr>
              <w:t>600,000.00</w:t>
            </w:r>
          </w:p>
        </w:tc>
      </w:tr>
      <w:tr w14:paraId="5BCFED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4B0F17">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E052D4">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全高清电子腹腔镜系统</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05E7D8">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1台</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386870">
            <w:pPr>
              <w:pStyle w:val="69"/>
              <w:jc w:val="center"/>
              <w:rPr>
                <w:rFonts w:hint="default"/>
                <w:color w:val="000000" w:themeColor="text1"/>
                <w14:textFill>
                  <w14:solidFill>
                    <w14:schemeClr w14:val="tx1"/>
                  </w14:solidFill>
                </w14:textFill>
              </w:rPr>
            </w:pPr>
            <w:r>
              <w:rPr>
                <w:color w:val="000000" w:themeColor="text1"/>
                <w:sz w:val="21"/>
                <w14:textFill>
                  <w14:solidFill>
                    <w14:schemeClr w14:val="tx1"/>
                  </w14:solidFill>
                </w14:textFill>
              </w:rPr>
              <w:t>¥</w:t>
            </w:r>
            <w:r>
              <w:rPr>
                <w:color w:val="000000" w:themeColor="text1"/>
                <w14:textFill>
                  <w14:solidFill>
                    <w14:schemeClr w14:val="tx1"/>
                  </w14:solidFill>
                </w14:textFill>
              </w:rPr>
              <w:t>1,280,000.00</w:t>
            </w:r>
          </w:p>
        </w:tc>
      </w:tr>
    </w:tbl>
    <w:p w14:paraId="0A6516E4">
      <w:pPr>
        <w:pStyle w:val="69"/>
        <w:ind w:firstLine="420"/>
        <w:jc w:val="both"/>
        <w:rPr>
          <w:rFonts w:hint="default"/>
          <w:color w:val="000000" w:themeColor="text1"/>
          <w14:textFill>
            <w14:solidFill>
              <w14:schemeClr w14:val="tx1"/>
            </w14:solidFill>
          </w14:textFill>
        </w:rPr>
      </w:pPr>
      <w:r>
        <w:rPr>
          <w:color w:val="000000" w:themeColor="text1"/>
          <w:sz w:val="21"/>
          <w14:textFill>
            <w14:solidFill>
              <w14:schemeClr w14:val="tx1"/>
            </w14:solidFill>
          </w14:textFill>
        </w:rPr>
        <w:t>本项目包1采购本国产品；包2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7936CF67">
      <w:pPr>
        <w:pStyle w:val="31"/>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14:paraId="7DF95EE7">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0D6C2064">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Pr>
        <w:spacing w:line="240" w:lineRule="auto"/>
        <w:rPr>
          <w:rFonts w:hint="eastAsia" w:ascii="宋体" w:hAnsi="宋体" w:eastAsia="宋体" w:cs="宋体"/>
          <w:sz w:val="21"/>
          <w:szCs w:val="21"/>
        </w:rPr>
      </w:pPr>
    </w:p>
    <w:p w14:paraId="4F5786C7">
      <w:pPr>
        <w:spacing w:line="240" w:lineRule="auto"/>
        <w:jc w:val="center"/>
        <w:rPr>
          <w:rFonts w:hint="eastAsia" w:ascii="宋体" w:hAnsi="宋体" w:eastAsia="宋体" w:cs="宋体"/>
          <w:b/>
          <w:bCs/>
          <w:sz w:val="21"/>
          <w:szCs w:val="21"/>
        </w:rPr>
      </w:pPr>
    </w:p>
    <w:p w14:paraId="4F3D34CA">
      <w:pPr>
        <w:pStyle w:val="69"/>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包1：麻醉系统</w:t>
      </w:r>
    </w:p>
    <w:p w14:paraId="25A78838">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一、采购需求</w:t>
      </w:r>
    </w:p>
    <w:tbl>
      <w:tblPr>
        <w:tblStyle w:val="23"/>
        <w:tblW w:w="5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02"/>
        <w:gridCol w:w="1433"/>
      </w:tblGrid>
      <w:tr w14:paraId="312B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22" w:type="dxa"/>
            <w:vAlign w:val="center"/>
          </w:tcPr>
          <w:p w14:paraId="295227A2">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850" w:type="dxa"/>
            <w:vAlign w:val="center"/>
          </w:tcPr>
          <w:p w14:paraId="73B9E8B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1102" w:type="dxa"/>
            <w:vAlign w:val="center"/>
          </w:tcPr>
          <w:p w14:paraId="4E05E2F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1433" w:type="dxa"/>
            <w:vAlign w:val="center"/>
          </w:tcPr>
          <w:p w14:paraId="70134E1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采购预算（万元）</w:t>
            </w:r>
          </w:p>
        </w:tc>
      </w:tr>
      <w:tr w14:paraId="6DE6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122" w:type="dxa"/>
            <w:vAlign w:val="center"/>
          </w:tcPr>
          <w:p w14:paraId="0664D50A">
            <w:pPr>
              <w:pStyle w:val="17"/>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麻醉系统</w:t>
            </w:r>
          </w:p>
        </w:tc>
        <w:tc>
          <w:tcPr>
            <w:tcW w:w="850" w:type="dxa"/>
            <w:vAlign w:val="center"/>
          </w:tcPr>
          <w:p w14:paraId="52CAF93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1102" w:type="dxa"/>
            <w:vAlign w:val="center"/>
          </w:tcPr>
          <w:p w14:paraId="7093701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433" w:type="dxa"/>
            <w:vAlign w:val="center"/>
          </w:tcPr>
          <w:p w14:paraId="1937D14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w:t>
            </w:r>
          </w:p>
        </w:tc>
      </w:tr>
    </w:tbl>
    <w:p w14:paraId="11CCC192">
      <w:pPr>
        <w:pStyle w:val="2"/>
        <w:ind w:firstLine="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报价包含各项税费、交通运输费、保险、装卸费、安装等合同实施过程中应预见或不可预见费用等所有费用。</w:t>
      </w:r>
    </w:p>
    <w:p w14:paraId="6AF9E026">
      <w:pPr>
        <w:pStyle w:val="2"/>
        <w:ind w:firstLine="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14:textFill>
            <w14:solidFill>
              <w14:schemeClr w14:val="tx1"/>
            </w14:solidFill>
          </w14:textFill>
        </w:rPr>
        <w:t>包含且不限于《医疗器械注册管理办法》、《医疗器械唯一标识系统规则》。</w:t>
      </w:r>
    </w:p>
    <w:p w14:paraId="44D73CAD">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（二）项目基本概况介绍</w:t>
      </w:r>
      <w:r>
        <w:rPr>
          <w:rFonts w:hint="eastAsia" w:ascii="宋体" w:hAnsi="宋体" w:eastAsia="宋体" w:cs="宋体"/>
          <w:color w:val="000000" w:themeColor="text1"/>
          <w:szCs w:val="21"/>
          <w14:textFill>
            <w14:solidFill>
              <w14:schemeClr w14:val="tx1"/>
            </w14:solidFill>
          </w14:textFill>
        </w:rPr>
        <w:t>（项目背景、项目需实现的功能或目标等）</w:t>
      </w:r>
    </w:p>
    <w:p w14:paraId="6F8E91D6">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本项目设备用于麻醉科。</w:t>
      </w:r>
    </w:p>
    <w:p w14:paraId="2107CAFB">
      <w:pPr>
        <w:pStyle w:val="2"/>
        <w:rPr>
          <w:rFonts w:ascii="宋体" w:hAnsi="宋体" w:eastAsia="宋体" w:cs="宋体"/>
          <w:color w:val="000000" w:themeColor="text1"/>
          <w:szCs w:val="21"/>
          <w14:textFill>
            <w14:solidFill>
              <w14:schemeClr w14:val="tx1"/>
            </w14:solidFill>
          </w14:textFill>
        </w:rPr>
      </w:pPr>
    </w:p>
    <w:p w14:paraId="37C571D9">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（三）参数要求</w:t>
      </w:r>
    </w:p>
    <w:p w14:paraId="3C01C9E2">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1.1工作条件及基本配件</w:t>
      </w:r>
    </w:p>
    <w:p w14:paraId="2E3A3427">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1.1.1工作环境，温度：10-40°C，相对湿度≤95%</w:t>
      </w:r>
    </w:p>
    <w:p w14:paraId="394BDDF9">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1.1.2电源：220V-240V，50/60Hz1，支持≥4个辅助电源接口。</w:t>
      </w:r>
    </w:p>
    <w:p w14:paraId="3A79044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1.1.3配置锂电子(非铅酸)后备电池，支持1块电池使用时间≥90分钟，至少具备2块电池且使用时间≥180分钟。</w:t>
      </w:r>
    </w:p>
    <w:p w14:paraId="7D53594E">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1.1.4 接口不少于：1个LAN接口支持网络和软件升级, 1个RS-232 接口，1个视频信号接口，2个USB接口；</w:t>
      </w:r>
      <w:r>
        <w:rPr>
          <w:rFonts w:hint="eastAsia" w:ascii="宋体" w:hAnsi="宋体" w:eastAsia="宋体" w:cs="宋体"/>
          <w:color w:val="000000" w:themeColor="text1"/>
          <w:szCs w:val="21"/>
          <w14:textFill>
            <w14:solidFill>
              <w14:schemeClr w14:val="tx1"/>
            </w14:solidFill>
          </w14:textFill>
        </w:rPr>
        <w:t>具备</w:t>
      </w:r>
      <w:r>
        <w:rPr>
          <w:rFonts w:hint="eastAsia" w:ascii="宋体" w:hAnsi="宋体" w:eastAsia="宋体" w:cs="宋体"/>
          <w:bCs/>
          <w:color w:val="000000" w:themeColor="text1"/>
          <w:szCs w:val="21"/>
          <w14:textFill>
            <w14:solidFill>
              <w14:schemeClr w14:val="tx1"/>
            </w14:solidFill>
          </w14:textFill>
        </w:rPr>
        <w:t>基于无线网卡的网路接口</w:t>
      </w:r>
    </w:p>
    <w:p w14:paraId="6478424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1.1.5机架：中央刹车系统，大脚轮配有防缆线缠绕功能，带工作台侧栏杆推车，可升级折叠辅助工作台</w:t>
      </w:r>
    </w:p>
    <w:p w14:paraId="319934F9">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▲1.1.6显示屏可360度旋转，俯仰角度可调节，保证站姿和坐姿都能轻松操作</w:t>
      </w:r>
    </w:p>
    <w:p w14:paraId="39745E01">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1.1.7适合内窥镜手术模式：具备工作台照明光，且亮度可调，能够在黑暗环境中提供麻醉机工作台面照明</w:t>
      </w:r>
    </w:p>
    <w:p w14:paraId="459EEC6C">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1.1.8非待机状态转动关机旋钮，主机具备10秒延迟关机功能，以避免误操作保证病人安全</w:t>
      </w:r>
    </w:p>
    <w:p w14:paraId="2FB4F09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1.1.9 用于对成人、儿童和新生儿的吸入麻醉及呼吸管理</w:t>
      </w:r>
    </w:p>
    <w:p w14:paraId="2C3759F4">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2.2气源</w:t>
      </w:r>
    </w:p>
    <w:p w14:paraId="4929A983">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2.2.1配置氧气、空气两气源，可升级氧气、空气和笑气三气源</w:t>
      </w:r>
    </w:p>
    <w:p w14:paraId="62E30BB7">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2.2.2具备氧笑联动系统，保证接入氧气和笑气时氧浓度不低于25%</w:t>
      </w:r>
    </w:p>
    <w:p w14:paraId="1C2253D7">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2.2.3快速充氧范围25 - 75 L/min</w:t>
      </w:r>
    </w:p>
    <w:p w14:paraId="25F03E11">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流量计</w:t>
      </w:r>
    </w:p>
    <w:p w14:paraId="0DC4E94E">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▲2.3.1全电子流量计 (可直接设置氧浓度和总流量) （总流量控制模式下总流量范围：0.2-20 L/min。O2 浓度范围： 21% - 100% (空气为平衡气)，26% - 100% (笑气为平衡气)）</w:t>
      </w:r>
    </w:p>
    <w:p w14:paraId="28F83635">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2.3.2全电子流量计可以设置成总流量模式，也可以设置成单管流量模式</w:t>
      </w:r>
    </w:p>
    <w:p w14:paraId="2C54BCC0">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2.3.3具备备用流量计</w:t>
      </w:r>
    </w:p>
    <w:p w14:paraId="345CD1B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2.3.4具备直观的适宜低流量麻醉的新鲜气体流量指示工具</w:t>
      </w:r>
    </w:p>
    <w:p w14:paraId="2BF0A3F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2.3.5配备麻药消耗速度显示和总消耗量统计</w:t>
      </w:r>
    </w:p>
    <w:p w14:paraId="04E9E4ED">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2.3.6具备新鲜气体流量暂停功能，方便吸痰等操作</w:t>
      </w:r>
    </w:p>
    <w:p w14:paraId="13A55236">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▲2.3.7具备辅助吸氧流量计，配置高流量给氧功能，流量范围 2-80 L/min，氧浓度设置范围21~100%</w:t>
      </w:r>
    </w:p>
    <w:p w14:paraId="7A8439A9">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2.4挥发罐</w:t>
      </w:r>
    </w:p>
    <w:p w14:paraId="324138ED">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2.4.1配置双麻醉罐位</w:t>
      </w:r>
    </w:p>
    <w:p w14:paraId="19827C4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2.4.2可升级第三个麻醉罐位</w:t>
      </w:r>
    </w:p>
    <w:p w14:paraId="546AD280">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2.4.3配置一个高品质七氟醚挥发罐，挥发罐和主机同品牌，非其他品牌代工贴牌（非OEM）产品，具备压力、流速和温度补偿</w:t>
      </w:r>
    </w:p>
    <w:p w14:paraId="58D986A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2.4.4 可升级同品牌地氟醚挥发罐，挥发罐和主机同品牌</w:t>
      </w:r>
    </w:p>
    <w:p w14:paraId="0F31D28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2.5呼吸回路</w:t>
      </w:r>
    </w:p>
    <w:p w14:paraId="0F9D5B8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2.5.1 一体化回路中具备机械式气道压力表，便于屏幕失效情况下观察患者气道压力，避免风险</w:t>
      </w:r>
    </w:p>
    <w:p w14:paraId="1DE33084">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2.5.2回路部件可以耐受134℃高温高压消毒以避免院内交叉感染(包括流量传感器)</w:t>
      </w:r>
    </w:p>
    <w:p w14:paraId="5FA2BF1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▲2.5.3二氧化碳吸收器（钠石灰罐）容量≤1500ml，更快速响应新鲜气体流量改变，适用于低微流量麻醉应用</w:t>
      </w:r>
    </w:p>
    <w:p w14:paraId="3F05102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2.5.4内置双流量传感器，分别在吸入端，呼出端，流量传感器用户无需工具可自行校准</w:t>
      </w:r>
    </w:p>
    <w:p w14:paraId="53EA7E60">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2.5.5可升级共同新鲜气体输出口（ACGO），输出口无需改装可直接连接特殊的开放式回路，如Bain回路、T管等。也可不选ACGO，以防止误操作</w:t>
      </w:r>
    </w:p>
    <w:p w14:paraId="52BCC8F1">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2.5.6具有回路整体加温功能，保证回路不受积水影响，保证流量传感器精准及向病人提供温暖气体，避免对呼吸道的刺激</w:t>
      </w:r>
    </w:p>
    <w:p w14:paraId="631AB62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2.5.7配置CO2旁路功能，在机械通气过程中，更换钠石灰罐无需关停机械通气，可方便直接更换</w:t>
      </w:r>
    </w:p>
    <w:p w14:paraId="405B5D69">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2.5.8具备智能回路识别报警系统，当钠石灰罐未安装到位时，机器能智能识别，并报警提示</w:t>
      </w:r>
    </w:p>
    <w:p w14:paraId="4BC66B70">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2.5.9呼吸系统泄漏量≤60mL/min（在3.0kPa压力条件下）</w:t>
      </w:r>
    </w:p>
    <w:p w14:paraId="0E47B8D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2.6 呼吸机 </w:t>
      </w:r>
    </w:p>
    <w:p w14:paraId="36BCD97C">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2.6.1气动电控呼吸机，全中文操作和显示</w:t>
      </w:r>
    </w:p>
    <w:p w14:paraId="69627547">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2.6.2提供辅助/控制通气，配置通气模式：VCV、PCV、压力控制容量保证通气（PCV-VG）和SIMV（SIMV-VC、SIMV-PC）、PS模式，可升级/升级SIMV-VG、CPAP/PS、APRV、AMV模式</w:t>
      </w:r>
    </w:p>
    <w:p w14:paraId="6EA7DAE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2.6.3可根据病人理想体重自动关联潮气量，调节潮气量时可显示潮气量/理想体重</w:t>
      </w:r>
    </w:p>
    <w:p w14:paraId="7FC1FA43">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2.6.4</w:t>
      </w:r>
      <w:bookmarkStart w:id="0" w:name="_Hlk168308721"/>
      <w:r>
        <w:rPr>
          <w:rFonts w:hint="eastAsia" w:ascii="宋体" w:hAnsi="宋体" w:eastAsia="宋体" w:cs="宋体"/>
          <w:bCs/>
          <w:color w:val="000000" w:themeColor="text1"/>
          <w:szCs w:val="21"/>
          <w14:textFill>
            <w14:solidFill>
              <w14:schemeClr w14:val="tx1"/>
            </w14:solidFill>
          </w14:textFill>
        </w:rPr>
        <w:t>容量控制（VCV）潮气量设置范围：10ml-1500ml</w:t>
      </w:r>
      <w:bookmarkEnd w:id="0"/>
    </w:p>
    <w:p w14:paraId="414849B5">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2.6.5吸气压力设置范围：5-70 cmH2O</w:t>
      </w:r>
    </w:p>
    <w:p w14:paraId="1D907BF4">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2.6.6支持压力：0，3cmH2O～60 cmH2O</w:t>
      </w:r>
    </w:p>
    <w:p w14:paraId="06FB05C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2.6.7呼吸频率：2-100次/分钟</w:t>
      </w:r>
    </w:p>
    <w:p w14:paraId="61271407">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2.6.8吸呼比：4:1到1:10</w:t>
      </w:r>
    </w:p>
    <w:p w14:paraId="7C3383BC">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2.6.9压力限制范围：10-100 cmH2O</w:t>
      </w:r>
    </w:p>
    <w:p w14:paraId="4BB69FCB">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2.6.10电子PEEP，显示屏设置，范围：OFF，2-50 cmH2O</w:t>
      </w:r>
    </w:p>
    <w:p w14:paraId="4578454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2.6.11吸气暂停：OFF，5%-60% </w:t>
      </w:r>
    </w:p>
    <w:p w14:paraId="65AAD82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2.6.12 呼吸机吸气阀峰值流速：180 L/min</w:t>
      </w:r>
    </w:p>
    <w:p w14:paraId="0284F905">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2.6.13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0BDDC80B">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2.6.14 具备心肺旁流模式CPB, 且心肺旁流模式可在手动通气模式和机控通气模式下启动</w:t>
      </w:r>
    </w:p>
    <w:p w14:paraId="4334A1E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▲2.6.15配置肺保护工具：支持两种复张手法——单周期和多周期，支持定时膨肺功能</w:t>
      </w:r>
    </w:p>
    <w:p w14:paraId="17A848B7">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▲2.6.16配置吸气保持和呼气保持功能，自动计算静态顺应性Cstat，吸气阻力Ri，内源性呼气末正压等参数</w:t>
      </w:r>
    </w:p>
    <w:p w14:paraId="7D594FA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▲2.6.17可升级高频喷射通气功能，提供高频叠加常频喷射通气模式，或提供高频喷射单机，并且支持高频叠加常频通气连接同一通气附件</w:t>
      </w:r>
    </w:p>
    <w:p w14:paraId="273EFA3A">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2.7数字和波形监测</w:t>
      </w:r>
    </w:p>
    <w:p w14:paraId="5C03AAF9">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2.7.1具备三级声光报警功能，有独立红黄报警灯显示</w:t>
      </w:r>
    </w:p>
    <w:p w14:paraId="200A0ECE">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3.7.2不小于18英寸彩色触摸屏，可同屏显示波形和呼吸环图</w:t>
      </w:r>
    </w:p>
    <w:p w14:paraId="75145609">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2.7.3支持显示P-V，V-F，P-F三种类型环图</w:t>
      </w:r>
    </w:p>
    <w:p w14:paraId="1A816CFB">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2.7.4电容触摸屏，支持手势操作</w:t>
      </w:r>
    </w:p>
    <w:p w14:paraId="030FEAF0">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2.7.5内置≥3个或以上槽位插件槽，可直接热插拔插件</w:t>
      </w:r>
    </w:p>
    <w:p w14:paraId="49F1AEE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2.7.6插件可在同品牌监护仪和麻醉机之间通用</w:t>
      </w:r>
    </w:p>
    <w:p w14:paraId="573C3C70">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2.7.7配置AG麻醉气体模块、可升级插件：BIS（BISx4）、NMT，EtCO2插件，以适应全凭静脉无需监测麻醉气体的需求。</w:t>
      </w:r>
    </w:p>
    <w:p w14:paraId="30EF0678">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2.7.8可升级监测参数：呼吸频率、潮气量、分钟通气量、吸呼比、气道压（峰压、平台压、平均压、PEEP）、气道阻力、顺应性、弹性、驱动压、机械能；麻醉气体分析（N2O，EtCO2，自动识别五种麻醉气体吸入呼出浓度监测）、呼吸环（P-V，P-F）监测；可升级氧电池法吸入氧浓度监测、BIS（BISx4）监测、NMT监测</w:t>
      </w:r>
    </w:p>
    <w:p w14:paraId="1A9C1C0C">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2.7.9同屏幕≥5通道波形显示（压力时间波形，流速时间波形，容量时间波形， CO2或麻醉气体浓度波形等）</w:t>
      </w:r>
    </w:p>
    <w:p w14:paraId="318256AB">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2.7.10潮气量监测范围：0-3000ml</w:t>
      </w:r>
    </w:p>
    <w:p w14:paraId="7F8C71BC">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2.7.11分钟通气量监测范围：0-100L/min</w:t>
      </w:r>
    </w:p>
    <w:p w14:paraId="30145422">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2.7.12可视化报警，技术报警提示中对于导致报警的原因给于文字和图形提示，具备自动报警限功能</w:t>
      </w:r>
    </w:p>
    <w:p w14:paraId="1D65D0A2">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2.7.13 图示化自检，系统自检失败时给于文字和图示提醒可能出错的原因</w:t>
      </w:r>
    </w:p>
    <w:p w14:paraId="5140CE5F">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2.7.14 可存储至少10000条事件记录，50张屏幕截图</w:t>
      </w:r>
    </w:p>
    <w:p w14:paraId="651294E2">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2.7.15 具备麻醉趋势图功能，可显示未来20分钟内吸入呼出麻药浓度和氧浓度的趋势</w:t>
      </w:r>
    </w:p>
    <w:p w14:paraId="72386335">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2.8麻醉工作站功能</w:t>
      </w:r>
    </w:p>
    <w:p w14:paraId="5F3D169C">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2.8.1可连接同一品牌监护仪，全面监测病人生命体征，监护仪参数可显示在麻醉机上</w:t>
      </w:r>
    </w:p>
    <w:p w14:paraId="3BC81465">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▲2.8.2 可连接同一品牌输注泵，可在麻醉机屏幕上调节输注泵设置参数，可基于药代药效模型计算吸入麻药和静脉麻药的综合药效</w:t>
      </w:r>
    </w:p>
    <w:p w14:paraId="16CD34AE">
      <w:pPr>
        <w:adjustRightInd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2.8.3 可扩展连接支持HL7协议的设备</w:t>
      </w:r>
    </w:p>
    <w:p w14:paraId="51EF4FE6">
      <w:pPr>
        <w:widowControl/>
        <w:tabs>
          <w:tab w:val="left" w:pos="420"/>
        </w:tabs>
        <w:rPr>
          <w:rStyle w:val="26"/>
          <w:rFonts w:ascii="宋体" w:hAnsi="宋体" w:eastAsia="宋体" w:cs="宋体"/>
          <w:b w:val="0"/>
          <w:bCs/>
          <w:color w:val="000000" w:themeColor="text1"/>
          <w:szCs w:val="21"/>
          <w:shd w:val="clear" w:color="auto" w:fill="FDFDFE"/>
          <w14:textFill>
            <w14:solidFill>
              <w14:schemeClr w14:val="tx1"/>
            </w14:solidFill>
          </w14:textFill>
        </w:rPr>
      </w:pPr>
      <w:r>
        <w:rPr>
          <w:rStyle w:val="26"/>
          <w:rFonts w:hint="eastAsia" w:ascii="宋体" w:hAnsi="宋体" w:eastAsia="宋体" w:cs="宋体"/>
          <w:color w:val="000000" w:themeColor="text1"/>
          <w:szCs w:val="21"/>
          <w:shd w:val="clear" w:color="auto" w:fill="FDFDFE"/>
          <w14:textFill>
            <w14:solidFill>
              <w14:schemeClr w14:val="tx1"/>
            </w14:solidFill>
          </w14:textFill>
        </w:rPr>
        <w:t>（四）配置清单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8300"/>
        <w:gridCol w:w="552"/>
        <w:gridCol w:w="552"/>
      </w:tblGrid>
      <w:tr w14:paraId="3C2A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cBorders>
            <w:shd w:val="clear" w:color="auto" w:fill="FFFFFF"/>
            <w:vAlign w:val="center"/>
          </w:tcPr>
          <w:p w14:paraId="438D61C4">
            <w:pPr>
              <w:pStyle w:val="2"/>
              <w:ind w:firstLine="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序号</w:t>
            </w:r>
          </w:p>
        </w:tc>
        <w:tc>
          <w:tcPr>
            <w:tcW w:w="0" w:type="auto"/>
            <w:shd w:val="clear" w:color="auto" w:fill="FFFFFF"/>
            <w:vAlign w:val="center"/>
          </w:tcPr>
          <w:p w14:paraId="45BC4A21">
            <w:pPr>
              <w:pStyle w:val="2"/>
              <w:ind w:firstLine="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配置名称</w:t>
            </w:r>
          </w:p>
        </w:tc>
        <w:tc>
          <w:tcPr>
            <w:tcW w:w="0" w:type="auto"/>
            <w:shd w:val="clear" w:color="auto" w:fill="FFFFFF"/>
            <w:vAlign w:val="center"/>
          </w:tcPr>
          <w:p w14:paraId="4CECFA90">
            <w:pPr>
              <w:pStyle w:val="2"/>
              <w:ind w:firstLine="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数量</w:t>
            </w:r>
          </w:p>
        </w:tc>
        <w:tc>
          <w:tcPr>
            <w:tcW w:w="0" w:type="auto"/>
            <w:shd w:val="clear" w:color="auto" w:fill="FFFFFF"/>
            <w:vAlign w:val="center"/>
          </w:tcPr>
          <w:p w14:paraId="285B4F1F">
            <w:pPr>
              <w:pStyle w:val="2"/>
              <w:ind w:firstLine="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单位</w:t>
            </w:r>
          </w:p>
        </w:tc>
      </w:tr>
      <w:tr w14:paraId="14CD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2E484939">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1AFEDBE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麻醉机主机</w:t>
            </w:r>
          </w:p>
        </w:tc>
        <w:tc>
          <w:tcPr>
            <w:tcW w:w="0" w:type="auto"/>
            <w:shd w:val="clear" w:color="auto" w:fill="FFFFFF"/>
            <w:vAlign w:val="center"/>
          </w:tcPr>
          <w:p w14:paraId="1B583806">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7479A792">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r>
      <w:tr w14:paraId="0277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56141EA4">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0" w:type="auto"/>
            <w:shd w:val="clear" w:color="auto" w:fill="FFFFFF"/>
            <w:vAlign w:val="center"/>
          </w:tcPr>
          <w:p w14:paraId="50B2B8C6">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三芯电源线</w:t>
            </w:r>
          </w:p>
        </w:tc>
        <w:tc>
          <w:tcPr>
            <w:tcW w:w="0" w:type="auto"/>
            <w:shd w:val="clear" w:color="auto" w:fill="FFFFFF"/>
            <w:vAlign w:val="center"/>
          </w:tcPr>
          <w:p w14:paraId="5476F932">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2D066456">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w:t>
            </w:r>
          </w:p>
        </w:tc>
      </w:tr>
      <w:tr w14:paraId="5FAB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6F3D9162">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0" w:type="auto"/>
            <w:shd w:val="clear" w:color="auto" w:fill="FFFFFF"/>
            <w:vAlign w:val="center"/>
          </w:tcPr>
          <w:p w14:paraId="38C2C27D">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高集成化回路</w:t>
            </w:r>
          </w:p>
        </w:tc>
        <w:tc>
          <w:tcPr>
            <w:tcW w:w="0" w:type="auto"/>
            <w:shd w:val="clear" w:color="auto" w:fill="FFFFFF"/>
            <w:vAlign w:val="center"/>
          </w:tcPr>
          <w:p w14:paraId="72686918">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514A2636">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04BA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6BC4D567">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0" w:type="auto"/>
            <w:shd w:val="clear" w:color="auto" w:fill="FFFFFF"/>
            <w:vAlign w:val="center"/>
          </w:tcPr>
          <w:p w14:paraId="3A93D53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吸/呼气流量传感器组件</w:t>
            </w:r>
          </w:p>
        </w:tc>
        <w:tc>
          <w:tcPr>
            <w:tcW w:w="0" w:type="auto"/>
            <w:shd w:val="clear" w:color="auto" w:fill="FFFFFF"/>
            <w:vAlign w:val="center"/>
          </w:tcPr>
          <w:p w14:paraId="6C71306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3B2FCF77">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6423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7E8C644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0" w:type="auto"/>
            <w:shd w:val="clear" w:color="auto" w:fill="FFFFFF"/>
            <w:vAlign w:val="center"/>
          </w:tcPr>
          <w:p w14:paraId="1F2B1014">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七氟醚蒸发器</w:t>
            </w:r>
          </w:p>
        </w:tc>
        <w:tc>
          <w:tcPr>
            <w:tcW w:w="0" w:type="auto"/>
            <w:shd w:val="clear" w:color="auto" w:fill="FFFFFF"/>
            <w:vAlign w:val="center"/>
          </w:tcPr>
          <w:p w14:paraId="5577D2AB">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11B7937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r>
      <w:tr w14:paraId="1418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2E4273B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0" w:type="auto"/>
            <w:shd w:val="clear" w:color="auto" w:fill="FFFFFF"/>
            <w:vAlign w:val="center"/>
          </w:tcPr>
          <w:p w14:paraId="44F25571">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一次性基本附件包</w:t>
            </w:r>
          </w:p>
        </w:tc>
        <w:tc>
          <w:tcPr>
            <w:tcW w:w="0" w:type="auto"/>
            <w:shd w:val="clear" w:color="auto" w:fill="FFFFFF"/>
            <w:vAlign w:val="center"/>
          </w:tcPr>
          <w:p w14:paraId="69C53B83">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78C0B6D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23C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61642B60">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0" w:type="auto"/>
            <w:shd w:val="clear" w:color="auto" w:fill="FFFFFF"/>
            <w:vAlign w:val="center"/>
          </w:tcPr>
          <w:p w14:paraId="46841535">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麻醉气体监测模块及附件</w:t>
            </w:r>
          </w:p>
        </w:tc>
        <w:tc>
          <w:tcPr>
            <w:tcW w:w="0" w:type="auto"/>
            <w:shd w:val="clear" w:color="auto" w:fill="FFFFFF"/>
            <w:vAlign w:val="center"/>
          </w:tcPr>
          <w:p w14:paraId="0C9AF041">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4C76F49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43AF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4E9509A6">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0" w:type="auto"/>
            <w:shd w:val="clear" w:color="auto" w:fill="FFFFFF"/>
            <w:vAlign w:val="center"/>
          </w:tcPr>
          <w:p w14:paraId="022CD50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高流量给氧功能（带湿化器）</w:t>
            </w:r>
          </w:p>
        </w:tc>
        <w:tc>
          <w:tcPr>
            <w:tcW w:w="0" w:type="auto"/>
            <w:shd w:val="clear" w:color="auto" w:fill="FFFFFF"/>
            <w:vAlign w:val="center"/>
          </w:tcPr>
          <w:p w14:paraId="5EED4A77">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60E0290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664F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4FD6AD34">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0" w:type="auto"/>
            <w:shd w:val="clear" w:color="auto" w:fill="FFFFFF"/>
            <w:vAlign w:val="center"/>
          </w:tcPr>
          <w:p w14:paraId="492DED4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主动排污装置</w:t>
            </w:r>
          </w:p>
        </w:tc>
        <w:tc>
          <w:tcPr>
            <w:tcW w:w="0" w:type="auto"/>
            <w:shd w:val="clear" w:color="auto" w:fill="FFFFFF"/>
            <w:vAlign w:val="center"/>
          </w:tcPr>
          <w:p w14:paraId="19BE2921">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7666B2EB">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0FDF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0332D437">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0" w:type="auto"/>
            <w:shd w:val="clear" w:color="auto" w:fill="FFFFFF"/>
            <w:vAlign w:val="center"/>
          </w:tcPr>
          <w:p w14:paraId="45BAA6D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钠石灰吸收罐</w:t>
            </w:r>
          </w:p>
        </w:tc>
        <w:tc>
          <w:tcPr>
            <w:tcW w:w="0" w:type="auto"/>
            <w:shd w:val="clear" w:color="auto" w:fill="FFFFFF"/>
            <w:vAlign w:val="center"/>
          </w:tcPr>
          <w:p w14:paraId="548E1114">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47DF239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r>
      <w:tr w14:paraId="6A3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5E02577B">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0" w:type="auto"/>
            <w:shd w:val="clear" w:color="auto" w:fill="FFFFFF"/>
            <w:vAlign w:val="center"/>
          </w:tcPr>
          <w:p w14:paraId="4D905CB2">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使用说明书</w:t>
            </w:r>
          </w:p>
        </w:tc>
        <w:tc>
          <w:tcPr>
            <w:tcW w:w="0" w:type="auto"/>
            <w:shd w:val="clear" w:color="auto" w:fill="FFFFFF"/>
            <w:vAlign w:val="center"/>
          </w:tcPr>
          <w:p w14:paraId="184DEA9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2A9F3FD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r>
      <w:tr w14:paraId="24E0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60687AF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0" w:type="auto"/>
            <w:shd w:val="clear" w:color="auto" w:fill="FFFFFF"/>
            <w:vAlign w:val="center"/>
          </w:tcPr>
          <w:p w14:paraId="6547F301">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设备保修卡</w:t>
            </w:r>
          </w:p>
        </w:tc>
        <w:tc>
          <w:tcPr>
            <w:tcW w:w="0" w:type="auto"/>
            <w:shd w:val="clear" w:color="auto" w:fill="FFFFFF"/>
            <w:vAlign w:val="center"/>
          </w:tcPr>
          <w:p w14:paraId="7607988B">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4B107F52">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份</w:t>
            </w:r>
          </w:p>
        </w:tc>
      </w:tr>
      <w:tr w14:paraId="2C43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0E713A12">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0" w:type="auto"/>
            <w:shd w:val="clear" w:color="auto" w:fill="FFFFFF"/>
            <w:vAlign w:val="center"/>
          </w:tcPr>
          <w:p w14:paraId="4BB614C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序列号小标贴</w:t>
            </w:r>
          </w:p>
        </w:tc>
        <w:tc>
          <w:tcPr>
            <w:tcW w:w="0" w:type="auto"/>
            <w:shd w:val="clear" w:color="auto" w:fill="FFFFFF"/>
            <w:vAlign w:val="center"/>
          </w:tcPr>
          <w:p w14:paraId="4F369BD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5E32F8B1">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份</w:t>
            </w:r>
          </w:p>
        </w:tc>
      </w:tr>
      <w:tr w14:paraId="0F4D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1789330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c>
          <w:tcPr>
            <w:tcW w:w="0" w:type="auto"/>
            <w:shd w:val="clear" w:color="auto" w:fill="FFFFFF"/>
            <w:vAlign w:val="center"/>
          </w:tcPr>
          <w:p w14:paraId="2498741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合格证</w:t>
            </w:r>
          </w:p>
        </w:tc>
        <w:tc>
          <w:tcPr>
            <w:tcW w:w="0" w:type="auto"/>
            <w:shd w:val="clear" w:color="auto" w:fill="FFFFFF"/>
            <w:vAlign w:val="center"/>
          </w:tcPr>
          <w:p w14:paraId="1A86931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0947ECB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份</w:t>
            </w:r>
          </w:p>
        </w:tc>
      </w:tr>
      <w:tr w14:paraId="0A29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1203665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0" w:type="auto"/>
            <w:shd w:val="clear" w:color="auto" w:fill="FFFFFF"/>
            <w:vAlign w:val="center"/>
          </w:tcPr>
          <w:p w14:paraId="5CFB88E3">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静吸复合麻醉通气功能</w:t>
            </w:r>
          </w:p>
        </w:tc>
        <w:tc>
          <w:tcPr>
            <w:tcW w:w="0" w:type="auto"/>
            <w:shd w:val="clear" w:color="auto" w:fill="FFFFFF"/>
            <w:vAlign w:val="center"/>
          </w:tcPr>
          <w:p w14:paraId="63037068">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0AEF5AE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内置</w:t>
            </w:r>
          </w:p>
        </w:tc>
      </w:tr>
      <w:tr w14:paraId="1BBB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vAlign w:val="center"/>
          </w:tcPr>
          <w:p w14:paraId="7965A284">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0" w:type="auto"/>
            <w:shd w:val="clear" w:color="auto" w:fill="FFFFFF"/>
            <w:vAlign w:val="center"/>
          </w:tcPr>
          <w:p w14:paraId="59CD7083">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通气模式配置:手动通气模式、VCV通气模式、PCV通气模式、PCV-VG通气模式、SIMV-VC通气模式、SIMV-PC通气模式、PS通气模式、肺复张工具及肺功能环</w:t>
            </w:r>
          </w:p>
        </w:tc>
        <w:tc>
          <w:tcPr>
            <w:tcW w:w="0" w:type="auto"/>
            <w:shd w:val="clear" w:color="auto" w:fill="FFFFFF"/>
            <w:vAlign w:val="center"/>
          </w:tcPr>
          <w:p w14:paraId="02A8A03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0" w:type="auto"/>
            <w:shd w:val="clear" w:color="auto" w:fill="FFFFFF"/>
            <w:vAlign w:val="center"/>
          </w:tcPr>
          <w:p w14:paraId="368C240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内置</w:t>
            </w:r>
          </w:p>
        </w:tc>
      </w:tr>
    </w:tbl>
    <w:p w14:paraId="6928E521">
      <w:pPr>
        <w:widowControl/>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b/>
          <w:bCs/>
          <w:color w:val="000000" w:themeColor="text1"/>
          <w:szCs w:val="21"/>
          <w14:textFill>
            <w14:solidFill>
              <w14:schemeClr w14:val="tx1"/>
            </w14:solidFill>
          </w14:textFill>
        </w:rPr>
        <w:t>（五）质保期及售后服务要求</w:t>
      </w:r>
    </w:p>
    <w:p w14:paraId="22C6B87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1.提供至少5年的免费质保服务，包括设备故障维修、软件升级等。</w:t>
      </w:r>
    </w:p>
    <w:p w14:paraId="4A803D8D">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2.设立24小时客服热线，确保在设备使用过程中能够及时解决各类问题。</w:t>
      </w:r>
    </w:p>
    <w:p w14:paraId="7914886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3.提供每季度至少一次的设备巡检和维护服务，确保设备长期稳定运行。</w:t>
      </w:r>
    </w:p>
    <w:p w14:paraId="225AC99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4.提供完善的培训和技术支持服务，确保医护人员能够熟练掌握设备操作。</w:t>
      </w:r>
    </w:p>
    <w:p w14:paraId="24BCE69E">
      <w:pPr>
        <w:widowControl/>
        <w:tabs>
          <w:tab w:val="left" w:pos="420"/>
        </w:tabs>
        <w:rPr>
          <w:rStyle w:val="26"/>
          <w:rFonts w:ascii="宋体" w:hAnsi="宋体" w:eastAsia="宋体" w:cs="宋体"/>
          <w:color w:val="000000" w:themeColor="text1"/>
          <w:szCs w:val="21"/>
          <w:shd w:val="clear" w:color="auto" w:fill="FDFDFE"/>
          <w14:textFill>
            <w14:solidFill>
              <w14:schemeClr w14:val="tx1"/>
            </w14:solidFill>
          </w14:textFill>
        </w:rPr>
      </w:pPr>
      <w:r>
        <w:rPr>
          <w:rStyle w:val="26"/>
          <w:rFonts w:hint="eastAsia" w:ascii="宋体" w:hAnsi="宋体" w:eastAsia="宋体" w:cs="宋体"/>
          <w:color w:val="000000" w:themeColor="text1"/>
          <w:szCs w:val="21"/>
          <w:shd w:val="clear" w:color="auto" w:fill="FDFDFE"/>
          <w14:textFill>
            <w14:solidFill>
              <w14:schemeClr w14:val="tx1"/>
            </w14:solidFill>
          </w14:textFill>
        </w:rPr>
        <w:t>（六）基本要求</w:t>
      </w:r>
    </w:p>
    <w:p w14:paraId="1AC0559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★1.所投设备具有有效的医疗器械注册证明（如国家有相关规定）。</w:t>
      </w:r>
    </w:p>
    <w:p w14:paraId="6B0E5AE2">
      <w:pPr>
        <w:rPr>
          <w:rFonts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▲2.如投标人为代理经销商，应提供制造商对所投产品的合法授权函。</w:t>
      </w:r>
    </w:p>
    <w:p w14:paraId="308E81B8">
      <w:pPr>
        <w:pStyle w:val="69"/>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（七）其他要求</w:t>
      </w:r>
    </w:p>
    <w:p w14:paraId="089D69FA">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投标文件中应提供项目实施方案、售后服务方案、培训方案等。</w:t>
      </w:r>
    </w:p>
    <w:p w14:paraId="73D72DE9">
      <w:pPr>
        <w:jc w:val="left"/>
        <w:rPr>
          <w:rFonts w:ascii="宋体" w:hAnsi="宋体" w:eastAsia="宋体" w:cs="宋体"/>
          <w:b/>
          <w:bCs/>
          <w:color w:val="000000" w:themeColor="text1"/>
          <w:szCs w:val="21"/>
          <w14:textFill>
            <w14:solidFill>
              <w14:schemeClr w14:val="tx1"/>
            </w14:solidFill>
          </w14:textFill>
        </w:rPr>
      </w:pPr>
    </w:p>
    <w:p w14:paraId="0FD4706C">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二、交货要求</w:t>
      </w:r>
    </w:p>
    <w:p w14:paraId="77D50A8F">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（一）交货期：合同签订后收到采购人供货通知后30日历天内交货、安装、调试。</w:t>
      </w:r>
    </w:p>
    <w:p w14:paraId="070EBDD0">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（二）交货地点：广州市第一人民医院（采购人指定地点）。中标人需按有关标准提供货物的包装，并采用恰当的方式将货物运抵交货地点。</w:t>
      </w:r>
    </w:p>
    <w:p w14:paraId="036AE21C">
      <w:pPr>
        <w:jc w:val="left"/>
        <w:rPr>
          <w:rFonts w:ascii="宋体" w:hAnsi="宋体" w:eastAsia="宋体" w:cs="宋体"/>
          <w:b/>
          <w:bCs/>
          <w:color w:val="000000" w:themeColor="text1"/>
          <w:szCs w:val="21"/>
          <w14:textFill>
            <w14:solidFill>
              <w14:schemeClr w14:val="tx1"/>
            </w14:solidFill>
          </w14:textFill>
        </w:rPr>
      </w:pPr>
    </w:p>
    <w:p w14:paraId="50BAB5B0">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三、包装、运输及到货检验</w:t>
      </w:r>
    </w:p>
    <w:p w14:paraId="27FA97EA">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1.设备需由原厂包装，包装箱内需有下列随箱资料：产品合格证（包括出厂试验数据）、产品使用说明书、随箱清单等。</w:t>
      </w:r>
    </w:p>
    <w:p w14:paraId="5324A67F">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2.中标人负责所有设备从出厂到安装现场的运输。</w:t>
      </w:r>
    </w:p>
    <w:p w14:paraId="44896B3F">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E6814E7">
      <w:pPr>
        <w:jc w:val="left"/>
        <w:rPr>
          <w:rFonts w:ascii="宋体" w:hAnsi="宋体" w:eastAsia="宋体" w:cs="宋体"/>
          <w:b/>
          <w:bCs/>
          <w:color w:val="000000" w:themeColor="text1"/>
          <w:szCs w:val="21"/>
          <w14:textFill>
            <w14:solidFill>
              <w14:schemeClr w14:val="tx1"/>
            </w14:solidFill>
          </w14:textFill>
        </w:rPr>
      </w:pPr>
    </w:p>
    <w:p w14:paraId="65EA62D6">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四、安装调试要求</w:t>
      </w:r>
    </w:p>
    <w:p w14:paraId="25A1BC91">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1.安装和调试应由具备相应资质和能力的专业技术人员执行，确保设备的正确安装和功能的正常发挥。</w:t>
      </w:r>
    </w:p>
    <w:p w14:paraId="73269892">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2.安装前应确保产品名称、型号、规格、生产企业信息、医疗器械注册证编号等信息明确无误。</w:t>
      </w:r>
    </w:p>
    <w:p w14:paraId="09371605">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3.在安装和调试过程中，必须遵守相应的操作规程和标准，以确保过程的准确性和可靠性。</w:t>
      </w:r>
    </w:p>
    <w:p w14:paraId="112B475D">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4.在验收过程中，应有详细的报告记录测试和调试的结果，确保所有功能都符合规定的要求。</w:t>
      </w:r>
    </w:p>
    <w:p w14:paraId="77636A96">
      <w:pPr>
        <w:jc w:val="left"/>
        <w:rPr>
          <w:rFonts w:ascii="宋体" w:hAnsi="宋体" w:eastAsia="宋体" w:cs="宋体"/>
          <w:b/>
          <w:bCs/>
          <w:color w:val="000000" w:themeColor="text1"/>
          <w:szCs w:val="21"/>
          <w14:textFill>
            <w14:solidFill>
              <w14:schemeClr w14:val="tx1"/>
            </w14:solidFill>
          </w14:textFill>
        </w:rPr>
      </w:pPr>
    </w:p>
    <w:p w14:paraId="57C69813">
      <w:pPr>
        <w:jc w:val="left"/>
        <w:rPr>
          <w:rFonts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五、验收要求和验收标准</w:t>
      </w:r>
    </w:p>
    <w:p w14:paraId="30F05EE7">
      <w:pPr>
        <w:jc w:val="left"/>
        <w:rPr>
          <w:rFonts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32890380">
      <w:pPr>
        <w:jc w:val="left"/>
        <w:rPr>
          <w:rFonts w:ascii="宋体" w:hAnsi="宋体" w:eastAsia="宋体" w:cs="宋体"/>
          <w:b/>
          <w:bCs/>
          <w:color w:val="000000" w:themeColor="text1"/>
          <w:szCs w:val="21"/>
          <w14:textFill>
            <w14:solidFill>
              <w14:schemeClr w14:val="tx1"/>
            </w14:solidFill>
          </w14:textFill>
        </w:rPr>
      </w:pPr>
    </w:p>
    <w:p w14:paraId="24E4C754">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六、培训要求</w:t>
      </w:r>
    </w:p>
    <w:p w14:paraId="2A5326AC">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1.须提供设备使用维护培训，使采购人使用人员能掌握设备的结构原理、检修方法与操作要点。</w:t>
      </w:r>
    </w:p>
    <w:p w14:paraId="07124901">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2.培训应包括医疗设备的安全使用知识，包括设备的使用期限、禁忌、注意事项等。</w:t>
      </w:r>
    </w:p>
    <w:p w14:paraId="5E171665">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3.培训内容应涵盖设备的维护和保养方法，以及特殊运输、贮存的条件和方法。</w:t>
      </w:r>
    </w:p>
    <w:p w14:paraId="7679A505">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4.培训应包括设备故障和问题应急处理，以便在紧急情况下能够迅速有效地采取措施。</w:t>
      </w:r>
    </w:p>
    <w:p w14:paraId="523513FC">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5.培训应包括对医疗器械质量控制的理解和实践，确保设备在使用过程中的质量和性能。</w:t>
      </w:r>
    </w:p>
    <w:p w14:paraId="1979AEDE">
      <w:pPr>
        <w:jc w:val="left"/>
        <w:rPr>
          <w:rFonts w:ascii="宋体" w:hAnsi="宋体" w:eastAsia="宋体" w:cs="宋体"/>
          <w:b/>
          <w:bCs/>
          <w:color w:val="000000" w:themeColor="text1"/>
          <w:szCs w:val="21"/>
          <w14:textFill>
            <w14:solidFill>
              <w14:schemeClr w14:val="tx1"/>
            </w14:solidFill>
          </w14:textFill>
        </w:rPr>
      </w:pPr>
    </w:p>
    <w:p w14:paraId="706161C5">
      <w:pPr>
        <w:jc w:val="left"/>
        <w:rPr>
          <w:rFonts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七、付款方式</w:t>
      </w:r>
    </w:p>
    <w:p w14:paraId="6D7162B9">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501B901A">
      <w:pPr>
        <w:widowControl/>
        <w:tabs>
          <w:tab w:val="left" w:pos="420"/>
        </w:tabs>
        <w:rPr>
          <w:rFonts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3A69AB70">
      <w:pPr>
        <w:jc w:val="left"/>
        <w:rPr>
          <w:rFonts w:ascii="宋体" w:hAnsi="宋体" w:eastAsia="宋体" w:cs="宋体"/>
          <w:b/>
          <w:bCs/>
          <w:color w:val="000000" w:themeColor="text1"/>
          <w:szCs w:val="21"/>
          <w14:textFill>
            <w14:solidFill>
              <w14:schemeClr w14:val="tx1"/>
            </w14:solidFill>
          </w14:textFill>
        </w:rPr>
      </w:pPr>
    </w:p>
    <w:p w14:paraId="04CBB07D">
      <w:pPr>
        <w:jc w:val="left"/>
        <w:rPr>
          <w:rFonts w:ascii="宋体" w:hAnsi="宋体" w:eastAsia="宋体" w:cs="宋体"/>
          <w:b/>
          <w:bCs/>
          <w:color w:val="000000" w:themeColor="text1"/>
          <w:szCs w:val="21"/>
          <w14:textFill>
            <w14:solidFill>
              <w14:schemeClr w14:val="tx1"/>
            </w14:solidFill>
          </w14:textFill>
        </w:rPr>
      </w:pPr>
    </w:p>
    <w:p w14:paraId="71DB2CE9">
      <w:pPr>
        <w:pStyle w:val="69"/>
        <w:ind w:firstLine="4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包2：全高清电子腹腔镜系统</w:t>
      </w:r>
    </w:p>
    <w:p w14:paraId="6C7DE6D4">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656"/>
        <w:gridCol w:w="656"/>
        <w:gridCol w:w="1976"/>
      </w:tblGrid>
      <w:tr w14:paraId="3A01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ign w:val="center"/>
          </w:tcPr>
          <w:p w14:paraId="2F7D061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0" w:type="auto"/>
            <w:noWrap/>
            <w:vAlign w:val="center"/>
          </w:tcPr>
          <w:p w14:paraId="5ED6663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0" w:type="auto"/>
            <w:noWrap/>
            <w:vAlign w:val="center"/>
          </w:tcPr>
          <w:p w14:paraId="6107B512">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0" w:type="auto"/>
            <w:noWrap/>
            <w:vAlign w:val="center"/>
          </w:tcPr>
          <w:p w14:paraId="7C86448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采购预算（万元）</w:t>
            </w:r>
          </w:p>
        </w:tc>
      </w:tr>
      <w:tr w14:paraId="068B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ign w:val="center"/>
          </w:tcPr>
          <w:p w14:paraId="6708782E">
            <w:pPr>
              <w:pStyle w:val="17"/>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全高清电子腹腔镜系统</w:t>
            </w:r>
          </w:p>
        </w:tc>
        <w:tc>
          <w:tcPr>
            <w:tcW w:w="0" w:type="auto"/>
            <w:noWrap/>
            <w:vAlign w:val="center"/>
          </w:tcPr>
          <w:p w14:paraId="1D2553E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15A9563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noWrap/>
            <w:vAlign w:val="center"/>
          </w:tcPr>
          <w:p w14:paraId="61891D8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128万元</w:t>
            </w:r>
          </w:p>
        </w:tc>
      </w:tr>
    </w:tbl>
    <w:p w14:paraId="738E8B8A">
      <w:pPr>
        <w:pStyle w:val="2"/>
        <w:ind w:firstLine="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报价包含各项税费、交通运输费、保险、装卸费、安装等合同实施过程中应预见或不可预见费用等所有费用。</w:t>
      </w:r>
    </w:p>
    <w:p w14:paraId="522D592A">
      <w:pPr>
        <w:pStyle w:val="2"/>
        <w:ind w:firstLine="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14:textFill>
            <w14:solidFill>
              <w14:schemeClr w14:val="tx1"/>
            </w14:solidFill>
          </w14:textFill>
        </w:rPr>
        <w:t>包含且不限于《医疗器械注册管理办法》、《医疗器械唯一标识系统规则》。</w:t>
      </w:r>
    </w:p>
    <w:p w14:paraId="4FB57716">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（二）项目基本概况介绍</w:t>
      </w:r>
    </w:p>
    <w:p w14:paraId="69E475A3">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本项目设备用于外科腔镜手术。</w:t>
      </w:r>
    </w:p>
    <w:p w14:paraId="30E33215">
      <w:pPr>
        <w:pStyle w:val="2"/>
        <w:ind w:firstLine="0"/>
        <w:rPr>
          <w:rFonts w:ascii="宋体" w:hAnsi="宋体" w:eastAsia="宋体" w:cs="宋体"/>
          <w:color w:val="000000" w:themeColor="text1"/>
          <w:szCs w:val="21"/>
          <w14:textFill>
            <w14:solidFill>
              <w14:schemeClr w14:val="tx1"/>
            </w14:solidFill>
          </w14:textFill>
        </w:rPr>
      </w:pPr>
    </w:p>
    <w:p w14:paraId="759BAC7F">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w:t>
      </w:r>
      <w:r>
        <w:rPr>
          <w:rFonts w:hint="eastAsia" w:ascii="宋体" w:hAnsi="宋体" w:eastAsia="宋体" w:cs="宋体"/>
          <w:b/>
          <w:bCs/>
          <w:color w:val="000000" w:themeColor="text1"/>
          <w:szCs w:val="21"/>
          <w14:textFill>
            <w14:solidFill>
              <w14:schemeClr w14:val="tx1"/>
            </w14:solidFill>
          </w14:textFill>
        </w:rPr>
        <w:t>参数要求</w:t>
      </w:r>
    </w:p>
    <w:p w14:paraId="31598696">
      <w:pPr>
        <w:rPr>
          <w:rFonts w:ascii="宋体" w:hAnsi="宋体" w:eastAsia="宋体" w:cs="宋体"/>
          <w:b/>
          <w:bCs/>
          <w:color w:val="000000" w:themeColor="text1"/>
          <w:szCs w:val="21"/>
          <w14:textFill>
            <w14:solidFill>
              <w14:schemeClr w14:val="tx1"/>
            </w14:solidFill>
          </w14:textFill>
        </w:rPr>
      </w:pPr>
      <w:bookmarkStart w:id="1" w:name="_Hlk523423821"/>
      <w:r>
        <w:rPr>
          <w:rFonts w:hint="eastAsia" w:ascii="宋体" w:hAnsi="宋体" w:eastAsia="宋体" w:cs="宋体"/>
          <w:b/>
          <w:bCs/>
          <w:color w:val="000000" w:themeColor="text1"/>
          <w:szCs w:val="21"/>
          <w14:textFill>
            <w14:solidFill>
              <w14:schemeClr w14:val="tx1"/>
            </w14:solidFill>
          </w14:textFill>
        </w:rPr>
        <w:t>一、4K图像处理装置</w:t>
      </w:r>
    </w:p>
    <w:p w14:paraId="5BB7CCFC">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1、信号输出：4K超高清数字信号输出可选择3G-SDI四通道输出端口，Full HD数字信号输出可选择3G-SDI/HD-SDI输出端口；</w:t>
      </w:r>
    </w:p>
    <w:p w14:paraId="32DC84F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▲2、4K UHDTV超高清数字信号输出分辨率达到≥4096*2160，扫描方式：逐行扫描，60桢/秒；可提供16:9、17:9的超高清数字化图像；</w:t>
      </w:r>
    </w:p>
    <w:p w14:paraId="63ADDF92">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▲3、具有特殊光波数字强调功能,可清晰显示粘膜表面微细毛细血管；</w:t>
      </w:r>
    </w:p>
    <w:p w14:paraId="05B33998">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▲4、主机具有液晶触摸面板，可进行系统的基本设置；</w:t>
      </w:r>
    </w:p>
    <w:p w14:paraId="07E1837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5、图像强调功能：结构强调A（0-8档）；结构强调B（0-8档）；轮廓强调功能（0-8档）；</w:t>
      </w:r>
    </w:p>
    <w:p w14:paraId="78EFF64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6、色彩强调功能:R±8档；B±8档；C(色度调节) ±8档；</w:t>
      </w:r>
    </w:p>
    <w:p w14:paraId="4801D3F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7、针对不同监视器，可调整不同分辨率输出；</w:t>
      </w:r>
    </w:p>
    <w:p w14:paraId="2130D96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8、测光功能：具有峰值测光和自动测光；</w:t>
      </w:r>
    </w:p>
    <w:p w14:paraId="3C5E2818">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9、图像冻结功能，具有冻结和预冻结方式；</w:t>
      </w:r>
    </w:p>
    <w:p w14:paraId="6B61EEFB">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▲10、可实现BT.2020色域标准，容易确定组织的边界（脂肪等），提高对病变处\血管的认识，可根据医生的手技爱好调整颜色；</w:t>
      </w:r>
    </w:p>
    <w:p w14:paraId="295652B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▲11、具有≥4种颜色模式调节功能；</w:t>
      </w:r>
    </w:p>
    <w:p w14:paraId="2FDE3B9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12、通过大屏幕以及电子变焦扩大视觉效果，≥2倍放大可实现全高清效果；</w:t>
      </w:r>
    </w:p>
    <w:p w14:paraId="17072E2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13、次屏幕显示功能：静态图像和动态图像同时显示；</w:t>
      </w:r>
    </w:p>
    <w:p w14:paraId="1CA1DB2A">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二、内窥镜冷光源</w:t>
      </w:r>
    </w:p>
    <w:p w14:paraId="0B7FADA1">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1、功率为≥300W高辉度短弧氙灯冷光源。</w:t>
      </w:r>
    </w:p>
    <w:p w14:paraId="4188050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2、灯泡寿命：可连续使用≥500小时以上（配有灯泡寿命计时器），具有后备应急灯系统（即一个光源带2种灯）</w:t>
      </w:r>
    </w:p>
    <w:p w14:paraId="6D8ADF7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▲3、具有特殊光波数字强调功能,可清晰显示粘膜表面微细毛细血管；</w:t>
      </w:r>
    </w:p>
    <w:p w14:paraId="5BD2755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4、自动调光和手动调光功能；</w:t>
      </w:r>
    </w:p>
    <w:p w14:paraId="12D2EC4D">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5、具有待机功能：灯泡开关，照明开关。</w:t>
      </w:r>
    </w:p>
    <w:p w14:paraId="1BE55F3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6、灯泡自动点亮功能。</w:t>
      </w:r>
    </w:p>
    <w:p w14:paraId="7BC78F1C">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7、光亮模式存储器。</w:t>
      </w:r>
    </w:p>
    <w:p w14:paraId="443C8F6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8、具有广泛的兼容性，适合于任何内镜使用的高级照明设备。</w:t>
      </w:r>
    </w:p>
    <w:p w14:paraId="715C374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9、可连接纤维内窥镜、普通光学视管等。</w:t>
      </w:r>
    </w:p>
    <w:p w14:paraId="427EC84A">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三</w:t>
      </w:r>
      <w:r>
        <w:rPr>
          <w:rFonts w:hint="eastAsia" w:ascii="宋体" w:hAnsi="宋体" w:eastAsia="宋体" w:cs="宋体"/>
          <w:b/>
          <w:bCs/>
          <w:color w:val="000000" w:themeColor="text1"/>
          <w:szCs w:val="21"/>
          <w14:textFill>
            <w14:solidFill>
              <w14:schemeClr w14:val="tx1"/>
            </w14:solidFill>
          </w14:textFill>
        </w:rPr>
        <w:t>、</w:t>
      </w:r>
      <w:bookmarkStart w:id="2" w:name="_Hlk72918923"/>
      <w:r>
        <w:rPr>
          <w:rFonts w:hint="eastAsia" w:ascii="宋体" w:hAnsi="宋体" w:eastAsia="宋体" w:cs="宋体"/>
          <w:b/>
          <w:bCs/>
          <w:color w:val="000000" w:themeColor="text1"/>
          <w:szCs w:val="21"/>
          <w14:textFill>
            <w14:solidFill>
              <w14:schemeClr w14:val="tx1"/>
            </w14:solidFill>
          </w14:textFill>
        </w:rPr>
        <w:t>4K腹腔内窥镜摄像头</w:t>
      </w:r>
    </w:p>
    <w:p w14:paraId="3043C051">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1、一体化4K超高清COMS摄像头，能针对所有直径的内窥镜进行图像大小的最优化。</w:t>
      </w:r>
    </w:p>
    <w:p w14:paraId="3443562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▲2、摄像头上集成了可单手控制的电子变焦放大/缩小的遥控按钮。</w:t>
      </w:r>
    </w:p>
    <w:p w14:paraId="2FCBB7FD">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▲3、UHDTV超高清数字信号输出分辨率达到≥4096*2160，扫描方式：逐行扫描，60桢/秒；可提供16:9、17:9超高清数字化图像；</w:t>
      </w:r>
    </w:p>
    <w:p w14:paraId="4116EF02">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▲4、具有特殊光波数字强调功能,可清晰显示粘膜表面微细毛细血管； </w:t>
      </w:r>
    </w:p>
    <w:p w14:paraId="7D167656">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5、背照型COMS传感器，能在弱光条件下获得更纯净的画质、更少的噪点。</w:t>
      </w:r>
    </w:p>
    <w:p w14:paraId="043CA0F8">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bookmarkEnd w:id="1"/>
      <w:r>
        <w:rPr>
          <w:rFonts w:hint="eastAsia" w:ascii="宋体" w:hAnsi="宋体" w:eastAsia="宋体" w:cs="宋体"/>
          <w:color w:val="000000" w:themeColor="text1"/>
          <w:szCs w:val="21"/>
          <w14:textFill>
            <w14:solidFill>
              <w14:schemeClr w14:val="tx1"/>
            </w14:solidFill>
          </w14:textFill>
        </w:rPr>
        <w:t>通过单键完成自动对焦（AF）,缩短手术时间、减少医生负担。</w:t>
      </w:r>
      <w:bookmarkEnd w:id="2"/>
    </w:p>
    <w:p w14:paraId="4101AD38">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四、4K内窥镜镜头</w:t>
      </w:r>
    </w:p>
    <w:p w14:paraId="7B2656D4">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1、视野方向30度，直径</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10mm；</w:t>
      </w:r>
    </w:p>
    <w:p w14:paraId="3ED9B6DF">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▲2、具备UHD超高清画质，全屏显示图像，周边图像无任何失真</w:t>
      </w:r>
    </w:p>
    <w:p w14:paraId="6A2E8FC7">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▲3、柱状ED透镜非球面设计。</w:t>
      </w:r>
    </w:p>
    <w:p w14:paraId="35D1138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4、可浸泡、气熏或高温高压消毒灭菌；</w:t>
      </w:r>
    </w:p>
    <w:p w14:paraId="096D05C7">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5、超广角，视野周边不扭曲（平面），视野清晰；</w:t>
      </w:r>
    </w:p>
    <w:p w14:paraId="66F5C9DA">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6、通过卡锁装置与摄像头接合，使用简单；</w:t>
      </w:r>
    </w:p>
    <w:p w14:paraId="61D3FF14">
      <w:pPr>
        <w:pStyle w:val="2"/>
        <w:ind w:firstLine="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7、视场角≥88°，工作长度≥318mm</w:t>
      </w:r>
    </w:p>
    <w:p w14:paraId="21510003">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w:t>
      </w:r>
      <w:r>
        <w:rPr>
          <w:rFonts w:hint="eastAsia" w:ascii="宋体" w:hAnsi="宋体" w:eastAsia="宋体" w:cs="宋体"/>
          <w:b/>
          <w:bCs/>
          <w:color w:val="000000" w:themeColor="text1"/>
          <w:szCs w:val="21"/>
          <w14:textFill>
            <w14:solidFill>
              <w14:schemeClr w14:val="tx1"/>
            </w14:solidFill>
          </w14:textFill>
        </w:rPr>
        <w:t>、高流量全自动气腹机</w:t>
      </w:r>
    </w:p>
    <w:p w14:paraId="14C3252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▲1、全电脑控制，漏气自动补偿，最大气流量≥45升/分钟；</w:t>
      </w:r>
    </w:p>
    <w:p w14:paraId="43FEFD7F">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2、有内置减压阀，可连接钢瓶或中央供气；</w:t>
      </w:r>
    </w:p>
    <w:p w14:paraId="52E07159">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3、有高、中、低三档流量设定，有实际流量的数字及面板显示功能；</w:t>
      </w:r>
    </w:p>
    <w:p w14:paraId="0C17A5E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▲4、腔体模式：正常/小；特有的更加细致的流量调整，适用于儿科手术；</w:t>
      </w:r>
    </w:p>
    <w:p w14:paraId="0ACFDF94">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5、有腹内压设定，实际腹内压数字及面板显示；</w:t>
      </w:r>
    </w:p>
    <w:p w14:paraId="16132EC6">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6、有钢瓶压力过低，腹内压过高以及管道堵塞报警功能；</w:t>
      </w:r>
    </w:p>
    <w:p w14:paraId="5331CBE6">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7、具有排烟排雾功能，可与高频电刀、超声刀主机连接，通过脚踏开关实现自动排烟排雾；</w:t>
      </w:r>
    </w:p>
    <w:p w14:paraId="16D74B8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8、电击保护等级：不低于CF级。</w:t>
      </w:r>
    </w:p>
    <w:p w14:paraId="2105E36F">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六、4K液晶监视器</w:t>
      </w:r>
    </w:p>
    <w:p w14:paraId="363AA7DD">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1、完全符合医用安全标准。</w:t>
      </w:r>
    </w:p>
    <w:p w14:paraId="6D8A300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▲2、≥31英寸,分辨率：≥4960*2160,屏幕宽高比17:9</w:t>
      </w:r>
      <w:r>
        <w:rPr>
          <w:rFonts w:hint="eastAsia"/>
        </w:rPr>
        <w:t>或</w:t>
      </w:r>
      <w:r>
        <w:rPr>
          <w:rFonts w:hint="eastAsia" w:ascii="宋体" w:hAnsi="宋体" w:eastAsia="宋体" w:cs="宋体"/>
          <w:color w:val="000000" w:themeColor="text1"/>
          <w:szCs w:val="21"/>
          <w14:textFill>
            <w14:solidFill>
              <w14:schemeClr w14:val="tx1"/>
            </w14:solidFill>
          </w14:textFill>
        </w:rPr>
        <w:t>16:9。</w:t>
      </w:r>
    </w:p>
    <w:p w14:paraId="5E57357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3、高亮度，高对比度，上下、左右≥89度视野角度。</w:t>
      </w:r>
    </w:p>
    <w:p w14:paraId="05DE5DE7">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▲4、具有A.I.M.E图像增强功能，对内窥镜图像快速地进行颜色强调、对比度强调，构造强调，整体对焦清晰，更易进行观察。</w:t>
      </w:r>
    </w:p>
    <w:p w14:paraId="4E18384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5、输入：HDMI、3G/HD/SD-SDI、DVI-D、BNC。</w:t>
      </w:r>
    </w:p>
    <w:p w14:paraId="5503A84B">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6、输出：SDI、DVI-D、DC。</w:t>
      </w:r>
    </w:p>
    <w:p w14:paraId="7A8CF853">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56"/>
        <w:gridCol w:w="658"/>
        <w:gridCol w:w="658"/>
      </w:tblGrid>
      <w:tr w14:paraId="2081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1740E138">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0" w:type="auto"/>
            <w:noWrap/>
            <w:vAlign w:val="center"/>
          </w:tcPr>
          <w:p w14:paraId="73DC6571">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名称</w:t>
            </w:r>
          </w:p>
        </w:tc>
        <w:tc>
          <w:tcPr>
            <w:tcW w:w="0" w:type="auto"/>
            <w:noWrap/>
            <w:vAlign w:val="center"/>
          </w:tcPr>
          <w:p w14:paraId="4111369A">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单位</w:t>
            </w:r>
          </w:p>
        </w:tc>
        <w:tc>
          <w:tcPr>
            <w:tcW w:w="0" w:type="auto"/>
            <w:noWrap/>
            <w:vAlign w:val="center"/>
          </w:tcPr>
          <w:p w14:paraId="59842329">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r>
      <w:tr w14:paraId="1D74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6A5CC6A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noWrap/>
            <w:vAlign w:val="center"/>
          </w:tcPr>
          <w:p w14:paraId="6EC37C6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4K图像处理装置</w:t>
            </w:r>
          </w:p>
        </w:tc>
        <w:tc>
          <w:tcPr>
            <w:tcW w:w="0" w:type="auto"/>
            <w:noWrap/>
            <w:vAlign w:val="center"/>
          </w:tcPr>
          <w:p w14:paraId="731E83D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7E88859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559E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420338A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0" w:type="auto"/>
            <w:noWrap/>
            <w:vAlign w:val="center"/>
          </w:tcPr>
          <w:p w14:paraId="11F128A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内窥镜冷光源</w:t>
            </w:r>
          </w:p>
        </w:tc>
        <w:tc>
          <w:tcPr>
            <w:tcW w:w="0" w:type="auto"/>
            <w:noWrap/>
            <w:vAlign w:val="center"/>
          </w:tcPr>
          <w:p w14:paraId="73440DA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7CB0F87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7279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13A967E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0" w:type="auto"/>
            <w:noWrap/>
            <w:vAlign w:val="center"/>
          </w:tcPr>
          <w:p w14:paraId="6AF2B2F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气腹机</w:t>
            </w:r>
          </w:p>
        </w:tc>
        <w:tc>
          <w:tcPr>
            <w:tcW w:w="0" w:type="auto"/>
            <w:noWrap/>
            <w:vAlign w:val="center"/>
          </w:tcPr>
          <w:p w14:paraId="5615559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0ABCD72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19D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100EF4C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0" w:type="auto"/>
            <w:noWrap/>
            <w:vAlign w:val="center"/>
          </w:tcPr>
          <w:p w14:paraId="7CBD390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4K摄像头</w:t>
            </w:r>
          </w:p>
        </w:tc>
        <w:tc>
          <w:tcPr>
            <w:tcW w:w="0" w:type="auto"/>
            <w:noWrap/>
            <w:vAlign w:val="center"/>
          </w:tcPr>
          <w:p w14:paraId="502D4AF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w:t>
            </w:r>
          </w:p>
        </w:tc>
        <w:tc>
          <w:tcPr>
            <w:tcW w:w="0" w:type="auto"/>
            <w:noWrap/>
            <w:vAlign w:val="center"/>
          </w:tcPr>
          <w:p w14:paraId="3B59E46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2D8C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7B91C77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0" w:type="auto"/>
            <w:noWrap/>
            <w:vAlign w:val="center"/>
          </w:tcPr>
          <w:p w14:paraId="26BFA83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胸腹腔内窥镜</w:t>
            </w:r>
          </w:p>
        </w:tc>
        <w:tc>
          <w:tcPr>
            <w:tcW w:w="0" w:type="auto"/>
            <w:noWrap/>
            <w:vAlign w:val="center"/>
          </w:tcPr>
          <w:p w14:paraId="6DC59E7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w:t>
            </w:r>
          </w:p>
        </w:tc>
        <w:tc>
          <w:tcPr>
            <w:tcW w:w="0" w:type="auto"/>
            <w:noWrap/>
            <w:vAlign w:val="center"/>
          </w:tcPr>
          <w:p w14:paraId="26689FE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77CF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36BACB7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0" w:type="auto"/>
            <w:noWrap/>
            <w:vAlign w:val="center"/>
          </w:tcPr>
          <w:p w14:paraId="1FE0BEE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导光束，4.25mm</w:t>
            </w:r>
          </w:p>
        </w:tc>
        <w:tc>
          <w:tcPr>
            <w:tcW w:w="0" w:type="auto"/>
            <w:noWrap/>
            <w:vAlign w:val="center"/>
          </w:tcPr>
          <w:p w14:paraId="4AA43E9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w:t>
            </w:r>
          </w:p>
        </w:tc>
        <w:tc>
          <w:tcPr>
            <w:tcW w:w="0" w:type="auto"/>
            <w:noWrap/>
            <w:vAlign w:val="center"/>
          </w:tcPr>
          <w:p w14:paraId="5C2A982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0DC4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3C80CCE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0" w:type="auto"/>
            <w:noWrap/>
            <w:vAlign w:val="center"/>
          </w:tcPr>
          <w:p w14:paraId="185A1EE8">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器械消毒盒，用于光学视管</w:t>
            </w:r>
          </w:p>
        </w:tc>
        <w:tc>
          <w:tcPr>
            <w:tcW w:w="0" w:type="auto"/>
            <w:noWrap/>
            <w:vAlign w:val="center"/>
          </w:tcPr>
          <w:p w14:paraId="337589C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个</w:t>
            </w:r>
          </w:p>
        </w:tc>
        <w:tc>
          <w:tcPr>
            <w:tcW w:w="0" w:type="auto"/>
            <w:noWrap/>
            <w:vAlign w:val="center"/>
          </w:tcPr>
          <w:p w14:paraId="3E744228">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0996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555001D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0" w:type="auto"/>
            <w:noWrap/>
            <w:vAlign w:val="center"/>
          </w:tcPr>
          <w:p w14:paraId="54F428B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液晶监视器</w:t>
            </w:r>
          </w:p>
        </w:tc>
        <w:tc>
          <w:tcPr>
            <w:tcW w:w="0" w:type="auto"/>
            <w:noWrap/>
            <w:vAlign w:val="center"/>
          </w:tcPr>
          <w:p w14:paraId="70D5E18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38ADF428">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2C8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1771954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0" w:type="auto"/>
            <w:noWrap/>
            <w:vAlign w:val="center"/>
          </w:tcPr>
          <w:p w14:paraId="3F3F181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台车</w:t>
            </w:r>
          </w:p>
        </w:tc>
        <w:tc>
          <w:tcPr>
            <w:tcW w:w="0" w:type="auto"/>
            <w:noWrap/>
            <w:vAlign w:val="center"/>
          </w:tcPr>
          <w:p w14:paraId="1290B0C8">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66AE0A4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400E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04F4CAB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0" w:type="auto"/>
            <w:noWrap/>
            <w:vAlign w:val="center"/>
          </w:tcPr>
          <w:p w14:paraId="45D1329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光学视镜</w:t>
            </w:r>
          </w:p>
        </w:tc>
        <w:tc>
          <w:tcPr>
            <w:tcW w:w="0" w:type="auto"/>
            <w:noWrap/>
            <w:vAlign w:val="center"/>
          </w:tcPr>
          <w:p w14:paraId="06F0B05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w:t>
            </w:r>
          </w:p>
        </w:tc>
        <w:tc>
          <w:tcPr>
            <w:tcW w:w="0" w:type="auto"/>
            <w:noWrap/>
            <w:vAlign w:val="center"/>
          </w:tcPr>
          <w:p w14:paraId="38A6F64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r>
      <w:tr w14:paraId="0A55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4CEA123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0" w:type="auto"/>
            <w:noWrap/>
            <w:vAlign w:val="center"/>
          </w:tcPr>
          <w:p w14:paraId="267F810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医用监视器</w:t>
            </w:r>
          </w:p>
        </w:tc>
        <w:tc>
          <w:tcPr>
            <w:tcW w:w="0" w:type="auto"/>
            <w:noWrap/>
            <w:vAlign w:val="center"/>
          </w:tcPr>
          <w:p w14:paraId="13D7BF2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c>
          <w:tcPr>
            <w:tcW w:w="0" w:type="auto"/>
            <w:noWrap/>
            <w:vAlign w:val="center"/>
          </w:tcPr>
          <w:p w14:paraId="006EDBF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392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2358C22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0" w:type="auto"/>
            <w:noWrap/>
            <w:vAlign w:val="center"/>
          </w:tcPr>
          <w:p w14:paraId="64AA91E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碳纤维头架</w:t>
            </w:r>
          </w:p>
        </w:tc>
        <w:tc>
          <w:tcPr>
            <w:tcW w:w="0" w:type="auto"/>
            <w:noWrap/>
            <w:vAlign w:val="center"/>
          </w:tcPr>
          <w:p w14:paraId="63C5B9B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个</w:t>
            </w:r>
          </w:p>
        </w:tc>
        <w:tc>
          <w:tcPr>
            <w:tcW w:w="0" w:type="auto"/>
            <w:noWrap/>
            <w:vAlign w:val="center"/>
          </w:tcPr>
          <w:p w14:paraId="3D317C8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r w14:paraId="5F9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ign w:val="center"/>
          </w:tcPr>
          <w:p w14:paraId="2B15228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0" w:type="auto"/>
            <w:noWrap/>
            <w:vAlign w:val="center"/>
          </w:tcPr>
          <w:p w14:paraId="621E701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机器臂</w:t>
            </w:r>
          </w:p>
        </w:tc>
        <w:tc>
          <w:tcPr>
            <w:tcW w:w="0" w:type="auto"/>
            <w:noWrap/>
            <w:vAlign w:val="center"/>
          </w:tcPr>
          <w:p w14:paraId="378E379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个</w:t>
            </w:r>
          </w:p>
        </w:tc>
        <w:tc>
          <w:tcPr>
            <w:tcW w:w="0" w:type="auto"/>
            <w:noWrap/>
            <w:vAlign w:val="center"/>
          </w:tcPr>
          <w:p w14:paraId="70817A0C">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r>
    </w:tbl>
    <w:p w14:paraId="2BEF0808">
      <w:pPr>
        <w:rPr>
          <w:rFonts w:ascii="宋体" w:hAnsi="宋体" w:eastAsia="宋体" w:cs="宋体"/>
          <w:b/>
          <w:bCs/>
          <w:color w:val="000000" w:themeColor="text1"/>
          <w:szCs w:val="21"/>
          <w14:textFill>
            <w14:solidFill>
              <w14:schemeClr w14:val="tx1"/>
            </w14:solidFill>
          </w14:textFill>
        </w:rPr>
      </w:pPr>
    </w:p>
    <w:p w14:paraId="7949937A">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（五）质保期及售后服务要求</w:t>
      </w:r>
    </w:p>
    <w:p w14:paraId="6EF20C96">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1.提供至少5年的免费质保服务，包括设备故障维修、软件升级等。</w:t>
      </w:r>
    </w:p>
    <w:p w14:paraId="73C820B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2.设立24小时客服热线，确保在设备使用过程中能够及时解决各类问题。</w:t>
      </w:r>
    </w:p>
    <w:p w14:paraId="254C2B63">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3.提供每季度至少一次的设备巡检和维护服务，确保设备长期稳定运行。</w:t>
      </w:r>
    </w:p>
    <w:p w14:paraId="6D1CB2F0">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4.提供完善的培训和技术支持服务，确保医护人员能够熟练掌握设备操作</w:t>
      </w:r>
      <w:r>
        <w:rPr>
          <w:rFonts w:hint="eastAsia" w:ascii="宋体" w:hAnsi="宋体" w:eastAsia="宋体" w:cs="宋体"/>
          <w:color w:val="000000" w:themeColor="text1"/>
          <w:szCs w:val="21"/>
          <w:shd w:val="clear" w:color="auto" w:fill="FDFDFE"/>
          <w14:textFill>
            <w14:solidFill>
              <w14:schemeClr w14:val="tx1"/>
            </w14:solidFill>
          </w14:textFill>
        </w:rPr>
        <w:t>。</w:t>
      </w:r>
    </w:p>
    <w:p w14:paraId="4071D0EC">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5.投标文件中需提供应急售后服务方案承诺函，承诺在遇到供应商无法解决的售后问题时由制造商提供售后服务处理，出具承诺函并加盖供应商及制造商公章（格式自拟）。</w:t>
      </w:r>
    </w:p>
    <w:p w14:paraId="21C82ECA">
      <w:pPr>
        <w:jc w:val="left"/>
        <w:rPr>
          <w:rStyle w:val="26"/>
          <w:rFonts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（六）基本要求</w:t>
      </w:r>
    </w:p>
    <w:p w14:paraId="318F77CB">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所投设备具有有效的医疗器械注册证明（如国家有相关规定）；所投产品如是整机注册证的，提供整机注册证并须包含：4K图像处理装置（包括4K摄像头）、内窥镜冷光源、气腹机、胸腹腔内窥镜等主要组成部分；如非整机注册证则须提供齐全上述主要组成部分的单独注册证。</w:t>
      </w:r>
    </w:p>
    <w:p w14:paraId="05AC5649">
      <w:pPr>
        <w:rPr>
          <w:rFonts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▲2.如投标人为代理经销商，应提供制造商对所投产品的合法授权函。</w:t>
      </w:r>
    </w:p>
    <w:p w14:paraId="2A81D4B2">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▲3.所投产品制造商应在国内具有厂家办事机构、厂家维修站、教学合作培训中心及厂家内镜培训基地，可以及时协调临床培训、售后服务、内镜维修、负责用户的内镜使用技术培训指导及用户临床支持。</w:t>
      </w:r>
    </w:p>
    <w:p w14:paraId="0F06E13C">
      <w:pPr>
        <w:pStyle w:val="69"/>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b/>
          <w:color w:val="000000" w:themeColor="text1"/>
          <w:sz w:val="21"/>
          <w:szCs w:val="21"/>
          <w14:textFill>
            <w14:solidFill>
              <w14:schemeClr w14:val="tx1"/>
            </w14:solidFill>
          </w14:textFill>
        </w:rPr>
        <w:t>（七）其他要求</w:t>
      </w:r>
    </w:p>
    <w:p w14:paraId="7FF4FCC9">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投标文件中应提供项目实施方案、售后服务方案、培训方案等。</w:t>
      </w:r>
    </w:p>
    <w:p w14:paraId="20D9444D">
      <w:pPr>
        <w:jc w:val="left"/>
        <w:rPr>
          <w:rFonts w:ascii="宋体" w:hAnsi="宋体" w:eastAsia="宋体" w:cs="宋体"/>
          <w:b/>
          <w:bCs/>
          <w:color w:val="000000" w:themeColor="text1"/>
          <w:szCs w:val="21"/>
          <w14:textFill>
            <w14:solidFill>
              <w14:schemeClr w14:val="tx1"/>
            </w14:solidFill>
          </w14:textFill>
        </w:rPr>
      </w:pPr>
    </w:p>
    <w:p w14:paraId="494EBF01">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二、交货要求</w:t>
      </w:r>
    </w:p>
    <w:p w14:paraId="000C7B9E">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（一）交货期：合同签订后收到采购人供货通知后30日历天内交货、安装、调试。</w:t>
      </w:r>
    </w:p>
    <w:p w14:paraId="21E384F5">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（二）交货地点：广州市第一人民医院（采购人指定地点）。中标人需按有关标准提供货物的包装，并采用恰当的方式将货物运抵交货地点。</w:t>
      </w:r>
    </w:p>
    <w:p w14:paraId="07B88AC3">
      <w:pPr>
        <w:jc w:val="left"/>
        <w:rPr>
          <w:rFonts w:ascii="宋体" w:hAnsi="宋体" w:eastAsia="宋体" w:cs="宋体"/>
          <w:b/>
          <w:bCs/>
          <w:color w:val="000000" w:themeColor="text1"/>
          <w:szCs w:val="21"/>
          <w14:textFill>
            <w14:solidFill>
              <w14:schemeClr w14:val="tx1"/>
            </w14:solidFill>
          </w14:textFill>
        </w:rPr>
      </w:pPr>
    </w:p>
    <w:p w14:paraId="2ED44424">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三、包装、运输及到货检验</w:t>
      </w:r>
    </w:p>
    <w:p w14:paraId="64FAC0F6">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1.设备需由原厂包装，包装箱内需有下列随箱资料：产品合格证（包括出厂试验数据）、产品使用说明书、随箱清单等。</w:t>
      </w:r>
    </w:p>
    <w:p w14:paraId="32618E76">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2.中标人负责所有设备从出厂到安装现场的运输。</w:t>
      </w:r>
    </w:p>
    <w:p w14:paraId="1C011CB1">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627DDF0E">
      <w:pPr>
        <w:jc w:val="left"/>
        <w:rPr>
          <w:rFonts w:ascii="宋体" w:hAnsi="宋体" w:eastAsia="宋体" w:cs="宋体"/>
          <w:b/>
          <w:bCs/>
          <w:color w:val="000000" w:themeColor="text1"/>
          <w:szCs w:val="21"/>
          <w14:textFill>
            <w14:solidFill>
              <w14:schemeClr w14:val="tx1"/>
            </w14:solidFill>
          </w14:textFill>
        </w:rPr>
      </w:pPr>
    </w:p>
    <w:p w14:paraId="37843B77">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四、安装调试要求</w:t>
      </w:r>
    </w:p>
    <w:p w14:paraId="5EA127FA">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1.安装和调试应由具备相应资质和能力的专业技术人员执行，确保设备的正确安装和功能的正常发挥。</w:t>
      </w:r>
    </w:p>
    <w:p w14:paraId="4F258070">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2.安装前应确保产品名称、型号、规格、生产企业信息、医疗器械注册证编号等信息明确无误。</w:t>
      </w:r>
    </w:p>
    <w:p w14:paraId="48F7FDCF">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3.在安装和调试过程中，必须遵守相应的操作规程和标准，以确保过程的准确性和可靠性。</w:t>
      </w:r>
    </w:p>
    <w:p w14:paraId="5B8EB8D7">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4.在验收过程中，应有详细的报告记录测试和调试的结果，确保所有功能都符合规定的要求。</w:t>
      </w:r>
    </w:p>
    <w:p w14:paraId="7670D0A9">
      <w:pPr>
        <w:jc w:val="left"/>
        <w:rPr>
          <w:rFonts w:ascii="宋体" w:hAnsi="宋体" w:eastAsia="宋体" w:cs="宋体"/>
          <w:b/>
          <w:bCs/>
          <w:color w:val="000000" w:themeColor="text1"/>
          <w:szCs w:val="21"/>
          <w14:textFill>
            <w14:solidFill>
              <w14:schemeClr w14:val="tx1"/>
            </w14:solidFill>
          </w14:textFill>
        </w:rPr>
      </w:pPr>
    </w:p>
    <w:p w14:paraId="379AF2E6">
      <w:pPr>
        <w:jc w:val="left"/>
        <w:rPr>
          <w:rFonts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五、验收要求和验收标准</w:t>
      </w:r>
    </w:p>
    <w:p w14:paraId="2F402E32">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2EA27E2F">
      <w:pPr>
        <w:jc w:val="left"/>
        <w:rPr>
          <w:rFonts w:ascii="宋体" w:hAnsi="宋体" w:eastAsia="宋体" w:cs="宋体"/>
          <w:b/>
          <w:bCs/>
          <w:color w:val="000000" w:themeColor="text1"/>
          <w:szCs w:val="21"/>
          <w14:textFill>
            <w14:solidFill>
              <w14:schemeClr w14:val="tx1"/>
            </w14:solidFill>
          </w14:textFill>
        </w:rPr>
      </w:pPr>
    </w:p>
    <w:p w14:paraId="5436811B">
      <w:pPr>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六、培训要求</w:t>
      </w:r>
    </w:p>
    <w:p w14:paraId="6EDC7D0E">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1.须提供设备使用维护培训，使采购人使用人员能掌握设备的结构原理、检修方法与操作要点。</w:t>
      </w:r>
    </w:p>
    <w:p w14:paraId="7AA260AE">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2.培训应包括医疗设备的安全使用知识，包括设备的使用期限、禁忌、注意事项等。</w:t>
      </w:r>
    </w:p>
    <w:p w14:paraId="41490DBC">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3.培训内容应涵盖设备的维护和保养方法，以及特殊运输、贮存的条件和方法。</w:t>
      </w:r>
    </w:p>
    <w:p w14:paraId="15C4FDAF">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4.培训应包括设备故障和问题应急处理，以便在紧急情况下能够迅速有效地采取措施。</w:t>
      </w:r>
    </w:p>
    <w:p w14:paraId="2FD95E73">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5.培训应包括对医疗器械质量控制的理解和实践，确保设备在使用过程中的质量和性能。</w:t>
      </w:r>
    </w:p>
    <w:p w14:paraId="0CAA9D7D">
      <w:pPr>
        <w:jc w:val="left"/>
        <w:rPr>
          <w:rFonts w:ascii="宋体" w:hAnsi="宋体" w:eastAsia="宋体" w:cs="宋体"/>
          <w:b/>
          <w:bCs/>
          <w:color w:val="000000" w:themeColor="text1"/>
          <w:szCs w:val="21"/>
          <w14:textFill>
            <w14:solidFill>
              <w14:schemeClr w14:val="tx1"/>
            </w14:solidFill>
          </w14:textFill>
        </w:rPr>
      </w:pPr>
    </w:p>
    <w:p w14:paraId="755D16F1">
      <w:pPr>
        <w:jc w:val="left"/>
        <w:rPr>
          <w:rFonts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七、付款方式</w:t>
      </w:r>
    </w:p>
    <w:p w14:paraId="3E7DF1E5">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3CF1DF9D">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68736DC9">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bookmarkStart w:id="6" w:name="_GoBack"/>
      <w:bookmarkEnd w:id="6"/>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3" w:name="_Toc435514855"/>
      <w:bookmarkStart w:id="4" w:name="_Toc275865606"/>
      <w:bookmarkStart w:id="5" w:name="_Toc435515295"/>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3"/>
      <w:bookmarkEnd w:id="4"/>
      <w:bookmarkEnd w:id="5"/>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9"/>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1"/>
        <w:rPr>
          <w:rFonts w:hint="eastAsia" w:ascii="宋体" w:hAnsi="宋体" w:eastAsia="宋体" w:cs="宋体"/>
        </w:rPr>
      </w:pPr>
    </w:p>
    <w:p w14:paraId="77B2DD34">
      <w:pPr>
        <w:pStyle w:val="31"/>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76"/>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38913C4"/>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8FA31D6"/>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1B65E8"/>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59D5110"/>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5235B9"/>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2"/>
    <w:qFormat/>
    <w:uiPriority w:val="9"/>
    <w:pPr>
      <w:ind w:left="3144" w:right="3120"/>
      <w:jc w:val="center"/>
      <w:outlineLvl w:val="0"/>
    </w:pPr>
    <w:rPr>
      <w:rFonts w:cs="Times New Roman"/>
      <w:b/>
      <w:bCs/>
      <w:kern w:val="44"/>
      <w:sz w:val="44"/>
      <w:szCs w:val="44"/>
    </w:rPr>
  </w:style>
  <w:style w:type="paragraph" w:styleId="4">
    <w:name w:val="heading 2"/>
    <w:basedOn w:val="1"/>
    <w:next w:val="1"/>
    <w:link w:val="61"/>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7"/>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5"/>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3"/>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4"/>
    <w:unhideWhenUsed/>
    <w:qFormat/>
    <w:uiPriority w:val="99"/>
    <w:rPr>
      <w:rFonts w:cs="Times New Roman"/>
    </w:rPr>
  </w:style>
  <w:style w:type="paragraph" w:styleId="10">
    <w:name w:val="Body Text"/>
    <w:basedOn w:val="1"/>
    <w:link w:val="49"/>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9"/>
    <w:unhideWhenUsed/>
    <w:qFormat/>
    <w:uiPriority w:val="99"/>
    <w:rPr>
      <w:rFonts w:cs="Times New Roman"/>
      <w:sz w:val="18"/>
      <w:szCs w:val="18"/>
    </w:rPr>
  </w:style>
  <w:style w:type="paragraph" w:styleId="16">
    <w:name w:val="footer"/>
    <w:basedOn w:val="1"/>
    <w:link w:val="65"/>
    <w:unhideWhenUsed/>
    <w:qFormat/>
    <w:uiPriority w:val="0"/>
    <w:pPr>
      <w:tabs>
        <w:tab w:val="center" w:pos="4153"/>
        <w:tab w:val="right" w:pos="8306"/>
      </w:tabs>
      <w:snapToGrid w:val="0"/>
    </w:pPr>
    <w:rPr>
      <w:rFonts w:cs="Times New Roman"/>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Body Text Indent 3"/>
    <w:basedOn w:val="1"/>
    <w:link w:val="60"/>
    <w:unhideWhenUsed/>
    <w:qFormat/>
    <w:uiPriority w:val="99"/>
    <w:pPr>
      <w:spacing w:after="120"/>
      <w:ind w:left="420" w:leftChars="200"/>
    </w:pPr>
    <w:rPr>
      <w:rFonts w:cs="Times New Roman"/>
      <w:sz w:val="16"/>
      <w:szCs w:val="16"/>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56"/>
    <w:unhideWhenUsed/>
    <w:qFormat/>
    <w:uiPriority w:val="99"/>
    <w:rPr>
      <w:b/>
      <w:bCs/>
    </w:rPr>
  </w:style>
  <w:style w:type="paragraph" w:styleId="21">
    <w:name w:val="Body Text First Indent"/>
    <w:basedOn w:val="10"/>
    <w:link w:val="53"/>
    <w:unhideWhenUsed/>
    <w:qFormat/>
    <w:uiPriority w:val="99"/>
    <w:pPr>
      <w:spacing w:after="120"/>
      <w:ind w:left="0" w:firstLine="420" w:firstLineChars="100"/>
    </w:pPr>
    <w:rPr>
      <w:szCs w:val="22"/>
    </w:rPr>
  </w:style>
  <w:style w:type="paragraph" w:styleId="22">
    <w:name w:val="Body Text First Indent 2"/>
    <w:basedOn w:val="11"/>
    <w:qFormat/>
    <w:uiPriority w:val="0"/>
    <w:pPr>
      <w:spacing w:after="120"/>
      <w:ind w:left="420" w:leftChars="200"/>
    </w:pPr>
    <w:rPr>
      <w:rFonts w:ascii="Calibri" w:hAnsi="Calibri"/>
      <w:sz w:val="21"/>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qFormat/>
    <w:uiPriority w:val="0"/>
    <w:rPr>
      <w:rFonts w:cs="Times New Roman"/>
    </w:rPr>
  </w:style>
  <w:style w:type="character" w:styleId="28">
    <w:name w:val="FollowedHyperlink"/>
    <w:basedOn w:val="25"/>
    <w:unhideWhenUsed/>
    <w:qFormat/>
    <w:uiPriority w:val="99"/>
    <w:rPr>
      <w:color w:val="003B70"/>
      <w:u w:val="none"/>
    </w:rPr>
  </w:style>
  <w:style w:type="character" w:styleId="29">
    <w:name w:val="Hyperlink"/>
    <w:basedOn w:val="25"/>
    <w:unhideWhenUsed/>
    <w:qFormat/>
    <w:uiPriority w:val="99"/>
    <w:rPr>
      <w:color w:val="003B70"/>
      <w:u w:val="none"/>
    </w:rPr>
  </w:style>
  <w:style w:type="character" w:styleId="30">
    <w:name w:val="annotation reference"/>
    <w:basedOn w:val="25"/>
    <w:unhideWhenUsed/>
    <w:qFormat/>
    <w:uiPriority w:val="99"/>
    <w:rPr>
      <w:sz w:val="21"/>
      <w:szCs w:val="21"/>
    </w:rPr>
  </w:style>
  <w:style w:type="paragraph" w:customStyle="1" w:styleId="31">
    <w:name w:val="表格文字"/>
    <w:basedOn w:val="32"/>
    <w:next w:val="1"/>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5">
    <w:name w:val="图_0"/>
    <w:basedOn w:val="36"/>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rPr>
      <w:sz w:val="24"/>
      <w:szCs w:val="24"/>
    </w:rPr>
  </w:style>
  <w:style w:type="paragraph" w:customStyle="1" w:styleId="38">
    <w:name w:val="_Style 3"/>
    <w:basedOn w:val="1"/>
    <w:next w:val="18"/>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9">
    <w:name w:val="Char Char Char"/>
    <w:basedOn w:val="1"/>
    <w:qFormat/>
    <w:uiPriority w:val="0"/>
    <w:rPr>
      <w:rFonts w:ascii="宋体" w:hAnsi="宋体"/>
      <w:b/>
      <w:sz w:val="28"/>
      <w:szCs w:val="28"/>
    </w:rPr>
  </w:style>
  <w:style w:type="paragraph" w:customStyle="1" w:styleId="40">
    <w:name w:val="正文1"/>
    <w:basedOn w:val="1"/>
    <w:next w:val="41"/>
    <w:qFormat/>
    <w:uiPriority w:val="0"/>
    <w:pPr>
      <w:spacing w:line="360" w:lineRule="auto"/>
    </w:pPr>
    <w:rPr>
      <w:rFonts w:ascii="宋体" w:hAnsi="华文宋体"/>
      <w:kern w:val="20"/>
      <w:sz w:val="24"/>
      <w:szCs w:val="20"/>
    </w:rPr>
  </w:style>
  <w:style w:type="paragraph" w:customStyle="1" w:styleId="41">
    <w:name w:val="普通正文"/>
    <w:basedOn w:val="40"/>
    <w:qFormat/>
    <w:uiPriority w:val="0"/>
    <w:pPr>
      <w:widowControl/>
      <w:spacing w:line="360" w:lineRule="atLeast"/>
      <w:ind w:firstLine="425"/>
    </w:pPr>
    <w:rPr>
      <w:kern w:val="21"/>
    </w:rPr>
  </w:style>
  <w:style w:type="paragraph" w:customStyle="1" w:styleId="42">
    <w:name w:val="TOC2"/>
    <w:basedOn w:val="1"/>
    <w:next w:val="1"/>
    <w:qFormat/>
    <w:uiPriority w:val="0"/>
    <w:pPr>
      <w:ind w:left="420" w:leftChars="200"/>
    </w:pPr>
    <w:rPr>
      <w:rFonts w:ascii="Calibri" w:hAnsi="Calibri" w:eastAsia="仿宋"/>
      <w:sz w:val="24"/>
    </w:rPr>
  </w:style>
  <w:style w:type="paragraph" w:styleId="43">
    <w:name w:val="List Paragraph"/>
    <w:basedOn w:val="1"/>
    <w:qFormat/>
    <w:uiPriority w:val="1"/>
    <w:pPr>
      <w:ind w:left="206" w:firstLine="384"/>
    </w:pPr>
    <w:rPr>
      <w:sz w:val="24"/>
      <w:szCs w:val="24"/>
    </w:rPr>
  </w:style>
  <w:style w:type="paragraph" w:customStyle="1" w:styleId="44">
    <w:name w:val="_Style 40"/>
    <w:unhideWhenUsed/>
    <w:qFormat/>
    <w:uiPriority w:val="99"/>
    <w:rPr>
      <w:rFonts w:ascii="宋体" w:hAnsi="Times New Roman" w:eastAsia="宋体" w:cs="宋体"/>
      <w:sz w:val="22"/>
      <w:szCs w:val="22"/>
      <w:lang w:val="en-US" w:eastAsia="zh-CN" w:bidi="ar-SA"/>
    </w:rPr>
  </w:style>
  <w:style w:type="paragraph" w:customStyle="1" w:styleId="45">
    <w:name w:val="纯文本_0"/>
    <w:basedOn w:val="36"/>
    <w:qFormat/>
    <w:uiPriority w:val="0"/>
    <w:rPr>
      <w:rFonts w:ascii="宋体" w:hAnsi="Courier New"/>
      <w:kern w:val="0"/>
      <w:sz w:val="20"/>
      <w:szCs w:val="21"/>
    </w:rPr>
  </w:style>
  <w:style w:type="paragraph" w:customStyle="1" w:styleId="46">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41"/>
    <w:qFormat/>
    <w:uiPriority w:val="0"/>
    <w:rPr>
      <w:rFonts w:ascii="Calibri" w:hAnsi="Calibri" w:cs="Calibri"/>
      <w:color w:val="000000"/>
      <w:sz w:val="21"/>
      <w:szCs w:val="21"/>
      <w:u w:val="none"/>
    </w:rPr>
  </w:style>
  <w:style w:type="character" w:customStyle="1" w:styleId="49">
    <w:name w:val="正文文本 Char"/>
    <w:link w:val="10"/>
    <w:semiHidden/>
    <w:qFormat/>
    <w:uiPriority w:val="99"/>
    <w:rPr>
      <w:rFonts w:ascii="宋体" w:hAnsi="Times New Roman" w:eastAsia="宋体" w:cs="宋体"/>
      <w:kern w:val="0"/>
      <w:sz w:val="22"/>
    </w:rPr>
  </w:style>
  <w:style w:type="character" w:customStyle="1" w:styleId="50">
    <w:name w:val="_Style 0"/>
    <w:qFormat/>
    <w:uiPriority w:val="0"/>
    <w:rPr>
      <w:i/>
      <w:iCs/>
      <w:color w:val="808080"/>
    </w:rPr>
  </w:style>
  <w:style w:type="character" w:customStyle="1" w:styleId="51">
    <w:name w:val="页眉 Char"/>
    <w:link w:val="17"/>
    <w:qFormat/>
    <w:uiPriority w:val="99"/>
    <w:rPr>
      <w:rFonts w:ascii="宋体" w:hAnsi="Times New Roman" w:eastAsia="宋体" w:cs="宋体"/>
      <w:kern w:val="0"/>
      <w:sz w:val="18"/>
      <w:szCs w:val="18"/>
    </w:rPr>
  </w:style>
  <w:style w:type="character" w:customStyle="1" w:styleId="52">
    <w:name w:val="标题 1 Char"/>
    <w:link w:val="3"/>
    <w:qFormat/>
    <w:uiPriority w:val="9"/>
    <w:rPr>
      <w:rFonts w:ascii="宋体" w:hAnsi="Times New Roman" w:eastAsia="宋体" w:cs="宋体"/>
      <w:b/>
      <w:bCs/>
      <w:kern w:val="44"/>
      <w:sz w:val="44"/>
      <w:szCs w:val="44"/>
    </w:rPr>
  </w:style>
  <w:style w:type="character" w:customStyle="1" w:styleId="53">
    <w:name w:val="正文首行缩进 Char"/>
    <w:link w:val="21"/>
    <w:semiHidden/>
    <w:qFormat/>
    <w:uiPriority w:val="99"/>
    <w:rPr>
      <w:rFonts w:ascii="宋体" w:hAnsi="Times New Roman" w:eastAsia="宋体" w:cs="宋体"/>
      <w:kern w:val="0"/>
      <w:sz w:val="22"/>
      <w:szCs w:val="22"/>
    </w:rPr>
  </w:style>
  <w:style w:type="character" w:customStyle="1" w:styleId="54">
    <w:name w:val="批注文字 Char"/>
    <w:link w:val="9"/>
    <w:qFormat/>
    <w:uiPriority w:val="99"/>
    <w:rPr>
      <w:rFonts w:ascii="宋体" w:hAnsi="Times New Roman" w:eastAsia="宋体" w:cs="宋体"/>
      <w:sz w:val="22"/>
      <w:szCs w:val="22"/>
    </w:rPr>
  </w:style>
  <w:style w:type="character" w:customStyle="1" w:styleId="55">
    <w:name w:val="标题 4 Char"/>
    <w:link w:val="6"/>
    <w:semiHidden/>
    <w:qFormat/>
    <w:uiPriority w:val="9"/>
    <w:rPr>
      <w:rFonts w:ascii="等线 Light" w:hAnsi="等线 Light" w:eastAsia="等线 Light" w:cs="Times New Roman"/>
      <w:b/>
      <w:bCs/>
      <w:kern w:val="0"/>
      <w:sz w:val="28"/>
      <w:szCs w:val="28"/>
    </w:rPr>
  </w:style>
  <w:style w:type="character" w:customStyle="1" w:styleId="56">
    <w:name w:val="批注主题 Char"/>
    <w:link w:val="20"/>
    <w:semiHidden/>
    <w:qFormat/>
    <w:uiPriority w:val="99"/>
    <w:rPr>
      <w:rFonts w:ascii="宋体" w:hAnsi="Times New Roman" w:eastAsia="宋体" w:cs="宋体"/>
      <w:b/>
      <w:bCs/>
      <w:sz w:val="22"/>
      <w:szCs w:val="22"/>
    </w:rPr>
  </w:style>
  <w:style w:type="character" w:customStyle="1" w:styleId="57">
    <w:name w:val="标题 3 Char"/>
    <w:link w:val="5"/>
    <w:semiHidden/>
    <w:qFormat/>
    <w:uiPriority w:val="9"/>
    <w:rPr>
      <w:rFonts w:ascii="宋体" w:hAnsi="Times New Roman" w:eastAsia="宋体" w:cs="宋体"/>
      <w:b/>
      <w:bCs/>
      <w:kern w:val="0"/>
      <w:sz w:val="32"/>
      <w:szCs w:val="32"/>
    </w:rPr>
  </w:style>
  <w:style w:type="character" w:customStyle="1" w:styleId="58">
    <w:name w:val="p141_0"/>
    <w:qFormat/>
    <w:uiPriority w:val="0"/>
    <w:rPr>
      <w:rFonts w:ascii="Calibri" w:hAnsi="Calibri"/>
      <w:sz w:val="21"/>
      <w:szCs w:val="21"/>
    </w:rPr>
  </w:style>
  <w:style w:type="character" w:customStyle="1" w:styleId="59">
    <w:name w:val="批注框文本 Char"/>
    <w:link w:val="15"/>
    <w:semiHidden/>
    <w:qFormat/>
    <w:uiPriority w:val="99"/>
    <w:rPr>
      <w:rFonts w:ascii="宋体" w:hAnsi="Times New Roman" w:eastAsia="宋体" w:cs="宋体"/>
      <w:sz w:val="18"/>
      <w:szCs w:val="18"/>
    </w:rPr>
  </w:style>
  <w:style w:type="character" w:customStyle="1" w:styleId="60">
    <w:name w:val="正文文本缩进 3 Char"/>
    <w:link w:val="18"/>
    <w:semiHidden/>
    <w:qFormat/>
    <w:uiPriority w:val="99"/>
    <w:rPr>
      <w:rFonts w:ascii="宋体" w:hAnsi="Times New Roman" w:eastAsia="宋体" w:cs="宋体"/>
      <w:sz w:val="16"/>
      <w:szCs w:val="16"/>
    </w:rPr>
  </w:style>
  <w:style w:type="character" w:customStyle="1" w:styleId="61">
    <w:name w:val="标题 2 Char"/>
    <w:link w:val="4"/>
    <w:semiHidden/>
    <w:qFormat/>
    <w:uiPriority w:val="9"/>
    <w:rPr>
      <w:rFonts w:ascii="等线 Light" w:hAnsi="等线 Light" w:eastAsia="等线 Light" w:cs="Times New Roman"/>
      <w:b/>
      <w:bCs/>
      <w:kern w:val="0"/>
      <w:sz w:val="32"/>
      <w:szCs w:val="32"/>
    </w:rPr>
  </w:style>
  <w:style w:type="character" w:customStyle="1" w:styleId="62">
    <w:name w:val="正文文本 字符1"/>
    <w:semiHidden/>
    <w:qFormat/>
    <w:uiPriority w:val="99"/>
    <w:rPr>
      <w:rFonts w:ascii="宋体" w:hAnsi="Times New Roman" w:eastAsia="宋体" w:cs="宋体"/>
      <w:kern w:val="0"/>
      <w:sz w:val="22"/>
    </w:rPr>
  </w:style>
  <w:style w:type="character" w:customStyle="1" w:styleId="63">
    <w:name w:val="标题 5 Char"/>
    <w:link w:val="7"/>
    <w:semiHidden/>
    <w:qFormat/>
    <w:uiPriority w:val="9"/>
    <w:rPr>
      <w:rFonts w:ascii="宋体" w:hAnsi="Times New Roman" w:eastAsia="宋体" w:cs="宋体"/>
      <w:b/>
      <w:bCs/>
      <w:kern w:val="0"/>
      <w:sz w:val="28"/>
      <w:szCs w:val="28"/>
    </w:rPr>
  </w:style>
  <w:style w:type="character" w:customStyle="1" w:styleId="64">
    <w:name w:val="不明显强调1"/>
    <w:qFormat/>
    <w:uiPriority w:val="0"/>
    <w:rPr>
      <w:i/>
      <w:iCs/>
      <w:color w:val="808080"/>
    </w:rPr>
  </w:style>
  <w:style w:type="character" w:customStyle="1" w:styleId="65">
    <w:name w:val="页脚 Char"/>
    <w:link w:val="16"/>
    <w:qFormat/>
    <w:uiPriority w:val="0"/>
    <w:rPr>
      <w:rFonts w:ascii="宋体" w:hAnsi="Times New Roman" w:eastAsia="宋体" w:cs="宋体"/>
      <w:kern w:val="0"/>
      <w:sz w:val="18"/>
      <w:szCs w:val="18"/>
    </w:rPr>
  </w:style>
  <w:style w:type="paragraph" w:customStyle="1" w:styleId="66">
    <w:name w:val="首行缩进"/>
    <w:basedOn w:val="1"/>
    <w:qFormat/>
    <w:uiPriority w:val="0"/>
    <w:pPr>
      <w:spacing w:line="360" w:lineRule="auto"/>
      <w:ind w:firstLine="420"/>
    </w:pPr>
    <w:rPr>
      <w:rFonts w:ascii="宋体" w:hAnsi="宋体" w:eastAsia="宋体"/>
    </w:rPr>
  </w:style>
  <w:style w:type="character" w:customStyle="1" w:styleId="67">
    <w:name w:val="font21"/>
    <w:basedOn w:val="25"/>
    <w:qFormat/>
    <w:uiPriority w:val="0"/>
    <w:rPr>
      <w:rFonts w:hint="eastAsia" w:ascii="宋体" w:hAnsi="宋体" w:eastAsia="宋体" w:cs="宋体"/>
      <w:color w:val="333333"/>
      <w:sz w:val="20"/>
      <w:szCs w:val="20"/>
      <w:u w:val="none"/>
    </w:rPr>
  </w:style>
  <w:style w:type="paragraph" w:customStyle="1" w:styleId="68">
    <w:name w:val="Char Char1 Char Char Char Char Char Char Char Char Char Char"/>
    <w:basedOn w:val="1"/>
    <w:qFormat/>
    <w:uiPriority w:val="0"/>
    <w:rPr>
      <w:rFonts w:ascii="Tahoma" w:hAnsi="Tahoma"/>
      <w:sz w:val="24"/>
      <w:szCs w:val="20"/>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character" w:customStyle="1" w:styleId="70">
    <w:name w:val="font51"/>
    <w:basedOn w:val="25"/>
    <w:qFormat/>
    <w:uiPriority w:val="0"/>
    <w:rPr>
      <w:rFonts w:hint="eastAsia" w:ascii="宋体" w:hAnsi="宋体" w:eastAsia="宋体" w:cs="宋体"/>
      <w:b/>
      <w:bCs/>
      <w:color w:val="000000"/>
      <w:sz w:val="22"/>
      <w:szCs w:val="22"/>
      <w:u w:val="none"/>
    </w:rPr>
  </w:style>
  <w:style w:type="character" w:customStyle="1" w:styleId="71">
    <w:name w:val="font01"/>
    <w:basedOn w:val="25"/>
    <w:qFormat/>
    <w:uiPriority w:val="0"/>
    <w:rPr>
      <w:rFonts w:hint="eastAsia" w:ascii="等线" w:hAnsi="等线" w:eastAsia="等线" w:cs="等线"/>
      <w:color w:val="000000"/>
      <w:sz w:val="22"/>
      <w:szCs w:val="22"/>
      <w:u w:val="none"/>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4">
    <w:name w:val="正文缩进1"/>
    <w:basedOn w:val="1"/>
    <w:qFormat/>
    <w:uiPriority w:val="0"/>
    <w:pPr>
      <w:ind w:firstLine="420"/>
    </w:pPr>
    <w:rPr>
      <w:szCs w:val="20"/>
    </w:rPr>
  </w:style>
  <w:style w:type="paragraph" w:customStyle="1" w:styleId="75">
    <w:name w:val="正文-manu"/>
    <w:basedOn w:val="1"/>
    <w:qFormat/>
    <w:uiPriority w:val="0"/>
    <w:pPr>
      <w:spacing w:line="300" w:lineRule="auto"/>
    </w:pPr>
    <w:rPr>
      <w:b/>
      <w:kern w:val="0"/>
      <w:sz w:val="24"/>
      <w:szCs w:val="20"/>
    </w:rPr>
  </w:style>
  <w:style w:type="paragraph" w:customStyle="1" w:styleId="76">
    <w:name w:val="技_三级"/>
    <w:basedOn w:val="1"/>
    <w:qFormat/>
    <w:uiPriority w:val="0"/>
    <w:pPr>
      <w:numPr>
        <w:ilvl w:val="2"/>
        <w:numId w:val="1"/>
      </w:numPr>
      <w:tabs>
        <w:tab w:val="left" w:pos="720"/>
      </w:tabs>
      <w:ind w:left="10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7426</Words>
  <Characters>8308</Characters>
  <Lines>634</Lines>
  <Paragraphs>178</Paragraphs>
  <TotalTime>0</TotalTime>
  <ScaleCrop>false</ScaleCrop>
  <LinksUpToDate>false</LinksUpToDate>
  <CharactersWithSpaces>8784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2025-08-19T01:55:06Z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2052-12.1.0.21915</vt:lpwstr>
  </property>
  <property fmtid="{D5CDD505-2E9C-101B-9397-08002B2CF9AE}" pid="4" name="ICV">
    <vt:lpwstr>A254415CA20A4AB485A36E38AA2BA942</vt:lpwstr>
  </property>
  <property fmtid="{D5CDD505-2E9C-101B-9397-08002B2CF9AE}" pid="5" name="KSOTemplateDocerSaveRecord">
    <vt:lpwstr>eyJoZGlkIjoiN2RjM2RkZTY2ZWEzNTVjNzM5NjNiMDljMGFkY2QxNWQiLCJ1c2VySWQiOiI2NDYzNTY4ODUifQ==</vt:lpwstr>
  </property>
</Properties>
</file>