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440701-2025-00733</w:t>
      </w:r>
    </w:p>
    <w:p>
      <w:pPr>
        <w:pStyle w:val="null3"/>
        <w:jc w:val="center"/>
        <w:outlineLvl w:val="3"/>
      </w:pPr>
      <w:r>
        <w:rPr>
          <w:sz w:val="24"/>
          <w:b/>
        </w:rPr>
        <w:t>采购项目编号：</w:t>
      </w:r>
      <w:r>
        <w:rPr>
          <w:sz w:val="24"/>
          <w:b/>
        </w:rPr>
        <w:t>0724-2511Z1A13413</w:t>
      </w:r>
    </w:p>
    <w:p>
      <w:pPr>
        <w:pStyle w:val="null3"/>
        <w:jc w:val="center"/>
        <w:outlineLvl w:val="3"/>
      </w:pPr>
      <w:r>
        <w:rPr>
          <w:sz w:val="24"/>
          <w:b/>
        </w:rPr>
        <w:t>项目名称：</w:t>
      </w:r>
      <w:r>
        <w:rPr>
          <w:sz w:val="24"/>
          <w:b/>
        </w:rPr>
        <w:t>江门市中心医院云桌面项目</w:t>
      </w:r>
    </w:p>
    <w:p>
      <w:pPr>
        <w:pStyle w:val="null3"/>
        <w:jc w:val="center"/>
        <w:outlineLvl w:val="3"/>
      </w:pPr>
      <w:r>
        <w:rPr>
          <w:sz w:val="24"/>
          <w:b/>
        </w:rPr>
        <w:t>采购人：</w:t>
      </w:r>
      <w:r>
        <w:rPr>
          <w:sz w:val="24"/>
          <w:b/>
        </w:rPr>
        <w:t>江门市中心医院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江门市中心医院</w:t>
      </w:r>
      <w:r>
        <w:rPr/>
        <w:t>的委托，采用</w:t>
      </w:r>
      <w:r>
        <w:rPr/>
        <w:t>公开招标</w:t>
      </w:r>
      <w:r>
        <w:rPr/>
        <w:t>方式组织采购</w:t>
      </w:r>
      <w:r>
        <w:rPr/>
        <w:t>江门市中心医院云桌面项目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江门市中心医院云桌面项目</w:t>
      </w:r>
    </w:p>
    <w:p>
      <w:pPr>
        <w:pStyle w:val="null3"/>
        <w:ind w:firstLine="480"/>
      </w:pPr>
      <w:r>
        <w:rPr/>
        <w:t>采购计划编号：</w:t>
      </w:r>
      <w:r>
        <w:rPr/>
        <w:t>440701-2025-00733</w:t>
      </w:r>
    </w:p>
    <w:p>
      <w:pPr>
        <w:pStyle w:val="null3"/>
        <w:ind w:firstLine="480"/>
      </w:pPr>
      <w:r>
        <w:rPr/>
        <w:t>采购项目编号：</w:t>
      </w:r>
      <w:r>
        <w:rPr/>
        <w:t>0724-2511Z1A13413</w:t>
      </w:r>
    </w:p>
    <w:p>
      <w:pPr>
        <w:pStyle w:val="null3"/>
        <w:ind w:firstLine="480"/>
      </w:pPr>
      <w:r>
        <w:rPr/>
        <w:t>采购方式：</w:t>
      </w:r>
      <w:r>
        <w:rPr/>
        <w:t>公开招标</w:t>
      </w:r>
    </w:p>
    <w:p>
      <w:pPr>
        <w:pStyle w:val="null3"/>
        <w:ind w:firstLine="480"/>
      </w:pPr>
      <w:r>
        <w:rPr/>
        <w:t>预算金额：</w:t>
      </w:r>
      <w:r>
        <w:rPr/>
        <w:t>2,200,000.00</w:t>
      </w:r>
      <w:r>
        <w:rPr/>
        <w:t>元</w:t>
      </w:r>
    </w:p>
    <w:p>
      <w:pPr>
        <w:pStyle w:val="null3"/>
        <w:outlineLvl w:val="3"/>
      </w:pPr>
      <w:r>
        <w:rPr>
          <w:sz w:val="24"/>
          <w:b/>
        </w:rPr>
        <w:t>2.项目内容及需求情况（采购项目技术规格、参数及要求）</w:t>
      </w:r>
    </w:p>
    <w:p>
      <w:pPr>
        <w:pStyle w:val="null3"/>
      </w:pPr>
      <w:r>
        <w:rPr/>
        <w:t>采购包1(云桌面项目):</w:t>
      </w:r>
    </w:p>
    <w:p>
      <w:pPr>
        <w:pStyle w:val="null3"/>
      </w:pPr>
      <w:r>
        <w:rPr/>
        <w:t>采购包预算金额：2,200,000.00元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其他办公设备</w:t>
            </w:r>
          </w:p>
        </w:tc>
        <w:tc>
          <w:tcPr>
            <w:tcW w:type="dxa" w:w="2136"/>
          </w:tcPr>
          <w:p>
            <w:pPr>
              <w:pStyle w:val="null3"/>
            </w:pPr>
            <w:r>
              <w:rPr/>
              <w:t>云桌面项目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3）具有良好的商业信誉和健全的财务会计制度：提供2022-2024年任意一年的财务状况报告或基本开户行出具的资信证明。</w:t>
      </w:r>
    </w:p>
    <w:p>
      <w:pPr>
        <w:pStyle w:val="null3"/>
      </w:pPr>
      <w:r>
        <w:rPr/>
        <w:t>4）履行合同所必需的设备和专业技术能力：按投标（响应）文件格式填报设备及专业技术能力情况或提供承诺函承诺相关内容。</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outlineLvl w:val="3"/>
      </w:pPr>
      <w:r>
        <w:rPr>
          <w:sz w:val="24"/>
          <w:b/>
        </w:rPr>
        <w:t>3.本项目特定的资格要求：</w:t>
      </w:r>
    </w:p>
    <w:p>
      <w:pPr>
        <w:pStyle w:val="null3"/>
      </w:pPr>
      <w:r>
        <w:rPr/>
        <w:t>采购包1（云桌面项目）：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江门市中心医院</w:t>
      </w:r>
    </w:p>
    <w:p>
      <w:pPr>
        <w:pStyle w:val="null3"/>
        <w:ind w:firstLine="480"/>
      </w:pPr>
      <w:r>
        <w:rPr/>
        <w:t xml:space="preserve"> 地址：</w:t>
      </w:r>
      <w:r>
        <w:rPr/>
        <w:t>广东省江门市蓬江区海傍街23号</w:t>
      </w:r>
    </w:p>
    <w:p>
      <w:pPr>
        <w:pStyle w:val="null3"/>
        <w:ind w:firstLine="480"/>
      </w:pPr>
      <w:r>
        <w:rPr/>
        <w:t xml:space="preserve"> 联系方式：</w:t>
      </w:r>
      <w:r>
        <w:rPr/>
        <w:t>0750-3165954</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020-37861065、020-37860530、020-37860519</w:t>
      </w:r>
    </w:p>
    <w:p>
      <w:pPr>
        <w:pStyle w:val="null3"/>
        <w:outlineLvl w:val="3"/>
      </w:pPr>
      <w:r>
        <w:rPr>
          <w:sz w:val="24"/>
          <w:b/>
        </w:rPr>
        <w:t xml:space="preserve"> 3.项目联系方式</w:t>
      </w:r>
    </w:p>
    <w:p>
      <w:pPr>
        <w:pStyle w:val="null3"/>
        <w:ind w:firstLine="480"/>
      </w:pPr>
      <w:r>
        <w:rPr/>
        <w:t xml:space="preserve"> 项目联系人：</w:t>
      </w:r>
      <w:r>
        <w:rPr/>
        <w:t>林程宏、黎安翘、罗海山</w:t>
      </w:r>
    </w:p>
    <w:p>
      <w:pPr>
        <w:pStyle w:val="null3"/>
        <w:ind w:firstLine="480"/>
      </w:pPr>
      <w:r>
        <w:rPr/>
        <w:t xml:space="preserve"> 电话：</w:t>
      </w:r>
      <w:r>
        <w:rPr/>
        <w:t>020-37861065、020-37860530、020-37860519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用户需求书</w:t>
      </w:r>
    </w:p>
    <w:p>
      <w:pPr>
        <w:pStyle w:val="null3"/>
        <w:jc w:val="both"/>
        <w:outlineLvl w:val="0"/>
      </w:pPr>
      <w:r>
        <w:rPr>
          <w:sz w:val="21"/>
          <w:b/>
        </w:rPr>
        <w:t>1</w:t>
      </w:r>
      <w:r>
        <w:rPr>
          <w:sz w:val="21"/>
          <w:b/>
        </w:rPr>
        <w:t>、</w:t>
      </w:r>
      <w:r>
        <w:rPr>
          <w:sz w:val="21"/>
          <w:b/>
        </w:rPr>
        <w:t>总体要求</w:t>
      </w:r>
    </w:p>
    <w:p>
      <w:pPr>
        <w:pStyle w:val="null3"/>
        <w:ind w:firstLine="420"/>
        <w:jc w:val="both"/>
      </w:pPr>
      <w:r>
        <w:rPr>
          <w:sz w:val="21"/>
        </w:rPr>
        <w:t>本次项目建设桌面云平台为提升采购人终端运维工作效率，强化数据安全，实现资源集中管理和灵活分配。方便数据共享访问，提升协同办公能力，具备数据备份与恢复功能，保障医院信息资产安全。</w:t>
      </w:r>
    </w:p>
    <w:p>
      <w:pPr>
        <w:pStyle w:val="null3"/>
        <w:ind w:firstLine="420"/>
        <w:jc w:val="both"/>
      </w:pPr>
      <w:r>
        <w:rPr>
          <w:sz w:val="21"/>
        </w:rPr>
        <w:t>1、资源高效利用：集中管理计算资源，按需灵活分配，避免资源浪费。</w:t>
      </w:r>
    </w:p>
    <w:p>
      <w:pPr>
        <w:pStyle w:val="null3"/>
        <w:ind w:firstLine="420"/>
        <w:jc w:val="both"/>
      </w:pPr>
      <w:r>
        <w:rPr>
          <w:sz w:val="21"/>
        </w:rPr>
        <w:t>2、数据安全增强：所有数据集中存储于服务器，加密保护，访问控制严格，确保数据安全。</w:t>
      </w:r>
    </w:p>
    <w:p>
      <w:pPr>
        <w:pStyle w:val="null3"/>
        <w:ind w:firstLine="420"/>
        <w:jc w:val="both"/>
      </w:pPr>
      <w:r>
        <w:rPr>
          <w:sz w:val="21"/>
        </w:rPr>
        <w:t>3、维护升级便捷：系统维护和升级集中在服务器端减少逐个PC维护的工作量，提高效率。</w:t>
      </w:r>
    </w:p>
    <w:p>
      <w:pPr>
        <w:pStyle w:val="null3"/>
        <w:ind w:firstLine="420"/>
        <w:jc w:val="both"/>
      </w:pPr>
      <w:r>
        <w:rPr>
          <w:sz w:val="21"/>
        </w:rPr>
        <w:t>4、降低成本能耗：云桌面系统能耗低，长期运行可节约能源成本。</w:t>
      </w:r>
    </w:p>
    <w:p>
      <w:pPr>
        <w:pStyle w:val="null3"/>
        <w:jc w:val="both"/>
        <w:outlineLvl w:val="0"/>
      </w:pPr>
      <w:r>
        <w:rPr>
          <w:sz w:val="21"/>
          <w:b/>
        </w:rPr>
        <w:t>2</w:t>
      </w:r>
      <w:r>
        <w:rPr>
          <w:sz w:val="21"/>
          <w:b/>
        </w:rPr>
        <w:t>、</w:t>
      </w:r>
      <w:r>
        <w:rPr>
          <w:sz w:val="21"/>
          <w:b/>
        </w:rPr>
        <w:t>建设周期</w:t>
      </w:r>
    </w:p>
    <w:p>
      <w:pPr>
        <w:pStyle w:val="null3"/>
        <w:ind w:firstLine="560"/>
        <w:jc w:val="both"/>
      </w:pPr>
      <w:r>
        <w:rPr>
          <w:sz w:val="21"/>
        </w:rPr>
        <w:t>自合同签订之日起</w:t>
      </w:r>
      <w:r>
        <w:rPr>
          <w:sz w:val="21"/>
        </w:rPr>
        <w:t>四</w:t>
      </w:r>
      <w:r>
        <w:rPr>
          <w:sz w:val="21"/>
        </w:rPr>
        <w:t>个月内完成项目验收。</w:t>
      </w:r>
    </w:p>
    <w:p>
      <w:pPr>
        <w:pStyle w:val="null3"/>
        <w:jc w:val="both"/>
        <w:outlineLvl w:val="0"/>
      </w:pPr>
      <w:r>
        <w:rPr>
          <w:sz w:val="21"/>
          <w:b/>
        </w:rPr>
        <w:t>3</w:t>
      </w:r>
      <w:r>
        <w:rPr>
          <w:sz w:val="21"/>
          <w:b/>
        </w:rPr>
        <w:t>、</w:t>
      </w:r>
      <w:r>
        <w:rPr>
          <w:sz w:val="21"/>
          <w:b/>
        </w:rPr>
        <w:t>云桌面设内容</w:t>
      </w:r>
    </w:p>
    <w:p>
      <w:pPr>
        <w:pStyle w:val="null3"/>
        <w:jc w:val="both"/>
        <w:outlineLvl w:val="1"/>
      </w:pPr>
      <w:r>
        <w:rPr>
          <w:sz w:val="21"/>
          <w:b/>
        </w:rPr>
        <w:t>3.1</w:t>
      </w:r>
      <w:r>
        <w:rPr>
          <w:sz w:val="21"/>
          <w:b/>
        </w:rPr>
        <w:t>建设清单</w:t>
      </w:r>
    </w:p>
    <w:tbl>
      <w:tblPr>
        <w:tblW w:w="0" w:type="auto"/>
        <w:tblBorders>
          <w:top w:val="none" w:color="000000" w:sz="4"/>
          <w:left w:val="none" w:color="000000" w:sz="4"/>
          <w:bottom w:val="none" w:color="000000" w:sz="4"/>
          <w:right w:val="none" w:color="000000" w:sz="4"/>
          <w:insideH w:val="none"/>
          <w:insideV w:val="none"/>
        </w:tblBorders>
      </w:tblPr>
      <w:tblGrid>
        <w:gridCol w:w="622"/>
        <w:gridCol w:w="3194"/>
        <w:gridCol w:w="622"/>
        <w:gridCol w:w="622"/>
        <w:gridCol w:w="2053"/>
      </w:tblGrid>
      <w:tr>
        <w:tc>
          <w:tcPr>
            <w:tcW w:type="dxa" w:w="6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分项名称</w:t>
            </w:r>
          </w:p>
        </w:tc>
        <w:tc>
          <w:tcPr>
            <w:tcW w:type="dxa" w:w="6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6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20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超融合一体机</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核心产品、主要标的</w:t>
            </w:r>
          </w:p>
        </w:tc>
      </w:tr>
      <w:tr>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服务器光口交换机</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瘦终端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胖终端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云桌面软件</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2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主要标的</w:t>
            </w:r>
          </w:p>
        </w:tc>
      </w:tr>
      <w:tr>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显示器</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有线键盘、鼠标</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2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outlineLvl w:val="1"/>
      </w:pPr>
      <w:r>
        <w:rPr>
          <w:sz w:val="21"/>
          <w:b/>
        </w:rPr>
        <w:t>3.2</w:t>
      </w:r>
      <w:r>
        <w:rPr>
          <w:sz w:val="21"/>
          <w:b/>
        </w:rPr>
        <w:t>具体技术（参数）要求</w:t>
      </w:r>
    </w:p>
    <w:p>
      <w:pPr>
        <w:pStyle w:val="null3"/>
        <w:jc w:val="both"/>
        <w:outlineLvl w:val="2"/>
      </w:pPr>
      <w:r>
        <w:rPr>
          <w:sz w:val="21"/>
          <w:b/>
        </w:rPr>
        <w:t>3.2.1</w:t>
      </w:r>
      <w:r>
        <w:rPr>
          <w:sz w:val="21"/>
          <w:b/>
        </w:rPr>
        <w:t>超融合一体机</w:t>
      </w:r>
    </w:p>
    <w:tbl>
      <w:tblPr>
        <w:tblW w:w="0" w:type="auto"/>
        <w:tblBorders>
          <w:top w:val="none" w:color="000000" w:sz="4"/>
          <w:left w:val="none" w:color="000000" w:sz="4"/>
          <w:bottom w:val="none" w:color="000000" w:sz="4"/>
          <w:right w:val="none" w:color="000000" w:sz="4"/>
          <w:insideH w:val="none"/>
          <w:insideV w:val="none"/>
        </w:tblBorders>
      </w:tblPr>
      <w:tblGrid>
        <w:gridCol w:w="1522"/>
        <w:gridCol w:w="1522"/>
        <w:gridCol w:w="5263"/>
      </w:tblGrid>
      <w:tr>
        <w:tc>
          <w:tcPr>
            <w:tcW w:type="dxa" w:w="1522"/>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参数性质</w:t>
            </w:r>
          </w:p>
        </w:tc>
        <w:tc>
          <w:tcPr>
            <w:tcW w:type="dxa" w:w="152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526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具体技术</w:t>
            </w:r>
            <w:r>
              <w:rPr>
                <w:sz w:val="21"/>
              </w:rPr>
              <w:t>(参数)要求</w:t>
            </w:r>
          </w:p>
        </w:tc>
      </w:tr>
      <w:tr>
        <w:tc>
          <w:tcPr>
            <w:tcW w:type="dxa" w:w="15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5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2颗</w:t>
            </w:r>
            <w:r>
              <w:rPr>
                <w:sz w:val="21"/>
              </w:rPr>
              <w:t>Intel金牌6548Y</w:t>
            </w:r>
            <w:r>
              <w:rPr>
                <w:sz w:val="21"/>
              </w:rPr>
              <w:t>处理器</w:t>
            </w:r>
            <w:r>
              <w:rPr>
                <w:sz w:val="21"/>
              </w:rPr>
              <w:t>或同等性能</w:t>
            </w:r>
            <w:r>
              <w:rPr>
                <w:sz w:val="21"/>
              </w:rPr>
              <w:t>CPU</w:t>
            </w:r>
            <w:r>
              <w:rPr>
                <w:sz w:val="21"/>
              </w:rPr>
              <w:t>，</w:t>
            </w:r>
            <w:r>
              <w:rPr>
                <w:sz w:val="21"/>
              </w:rPr>
              <w:t>本次要求配置</w:t>
            </w:r>
            <w:r>
              <w:rPr>
                <w:sz w:val="21"/>
              </w:rPr>
              <w:t>≥2颗C</w:t>
            </w:r>
            <w:r>
              <w:rPr>
                <w:sz w:val="21"/>
              </w:rPr>
              <w:t>PU</w:t>
            </w:r>
            <w:r>
              <w:rPr>
                <w:sz w:val="21"/>
              </w:rPr>
              <w:t>，单颗性能基本频率</w:t>
            </w:r>
            <w:r>
              <w:rPr>
                <w:sz w:val="21"/>
              </w:rPr>
              <w:t>≥</w:t>
            </w:r>
            <w:r>
              <w:rPr>
                <w:sz w:val="21"/>
              </w:rPr>
              <w:t>2.8GHz</w:t>
            </w:r>
            <w:r>
              <w:rPr>
                <w:sz w:val="21"/>
              </w:rPr>
              <w:t>、内核数</w:t>
            </w:r>
            <w:r>
              <w:rPr>
                <w:sz w:val="21"/>
              </w:rPr>
              <w:t>≥</w:t>
            </w:r>
            <w:r>
              <w:rPr>
                <w:sz w:val="21"/>
              </w:rPr>
              <w:t>48</w:t>
            </w:r>
            <w:r>
              <w:rPr>
                <w:sz w:val="21"/>
              </w:rPr>
              <w:t>、总线程数</w:t>
            </w:r>
            <w:r>
              <w:rPr>
                <w:sz w:val="21"/>
              </w:rPr>
              <w:t>≥</w:t>
            </w:r>
            <w:r>
              <w:rPr>
                <w:sz w:val="21"/>
              </w:rPr>
              <w:t>96</w:t>
            </w:r>
            <w:r>
              <w:rPr>
                <w:sz w:val="21"/>
              </w:rPr>
              <w:t>。</w:t>
            </w:r>
          </w:p>
        </w:tc>
      </w:tr>
      <w:tr>
        <w:tc>
          <w:tcPr>
            <w:tcW w:type="dxa" w:w="1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支持多达</w:t>
            </w:r>
            <w:r>
              <w:rPr>
                <w:sz w:val="21"/>
              </w:rPr>
              <w:t>≥</w:t>
            </w:r>
            <w:r>
              <w:rPr>
                <w:sz w:val="21"/>
              </w:rPr>
              <w:t>32个DDR4内存槽位，速率最高支持3200MT/s，支持RDIMM，双路处理器最大容量</w:t>
            </w:r>
            <w:r>
              <w:rPr>
                <w:sz w:val="21"/>
              </w:rPr>
              <w:t>≥</w:t>
            </w:r>
            <w:r>
              <w:rPr>
                <w:sz w:val="21"/>
              </w:rPr>
              <w:t>8TB</w:t>
            </w:r>
            <w:r>
              <w:rPr>
                <w:sz w:val="21"/>
              </w:rPr>
              <w:t>，本次要求配置</w:t>
            </w:r>
            <w:r>
              <w:rPr>
                <w:sz w:val="21"/>
              </w:rPr>
              <w:t>≥</w:t>
            </w:r>
            <w:r>
              <w:rPr>
                <w:sz w:val="21"/>
              </w:rPr>
              <w:t>16*32</w:t>
            </w:r>
            <w:r>
              <w:rPr>
                <w:sz w:val="21"/>
              </w:rPr>
              <w:t>G</w:t>
            </w:r>
            <w:r>
              <w:rPr>
                <w:sz w:val="21"/>
              </w:rPr>
              <w:t xml:space="preserve"> DDR4-3200</w:t>
            </w:r>
            <w:r>
              <w:rPr>
                <w:sz w:val="21"/>
              </w:rPr>
              <w:t>内存。</w:t>
            </w:r>
          </w:p>
        </w:tc>
      </w:tr>
      <w:tr>
        <w:tc>
          <w:tcPr>
            <w:tcW w:type="dxa" w:w="1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支持多达</w:t>
            </w:r>
            <w:r>
              <w:rPr>
                <w:sz w:val="21"/>
              </w:rPr>
              <w:t>16个3.5英寸SATA/SAS硬盘</w:t>
            </w:r>
            <w:r>
              <w:rPr>
                <w:sz w:val="21"/>
              </w:rPr>
              <w:t>，要求提供制造商官网截图证明并提供链接，本次要求配置</w:t>
            </w:r>
            <w:r>
              <w:rPr>
                <w:sz w:val="21"/>
              </w:rPr>
              <w:t>≥2块4</w:t>
            </w:r>
            <w:r>
              <w:rPr>
                <w:sz w:val="21"/>
              </w:rPr>
              <w:t>80</w:t>
            </w:r>
            <w:r>
              <w:rPr>
                <w:sz w:val="21"/>
              </w:rPr>
              <w:t>G</w:t>
            </w:r>
            <w:r>
              <w:rPr>
                <w:sz w:val="21"/>
              </w:rPr>
              <w:t xml:space="preserve"> SA</w:t>
            </w:r>
            <w:r>
              <w:rPr>
                <w:sz w:val="21"/>
              </w:rPr>
              <w:t>S</w:t>
            </w:r>
            <w:r>
              <w:rPr>
                <w:sz w:val="21"/>
              </w:rPr>
              <w:t xml:space="preserve"> SSD</w:t>
            </w:r>
            <w:r>
              <w:rPr>
                <w:sz w:val="21"/>
              </w:rPr>
              <w:t>系统盘，</w:t>
            </w:r>
            <w:r>
              <w:rPr>
                <w:sz w:val="21"/>
              </w:rPr>
              <w:t>≥2块1</w:t>
            </w:r>
            <w:r>
              <w:rPr>
                <w:sz w:val="21"/>
              </w:rPr>
              <w:t>.92</w:t>
            </w:r>
            <w:r>
              <w:rPr>
                <w:sz w:val="21"/>
              </w:rPr>
              <w:t>T</w:t>
            </w:r>
            <w:r>
              <w:rPr>
                <w:sz w:val="21"/>
              </w:rPr>
              <w:t xml:space="preserve"> NVM</w:t>
            </w:r>
            <w:r>
              <w:rPr>
                <w:sz w:val="21"/>
              </w:rPr>
              <w:t>e</w:t>
            </w:r>
            <w:r>
              <w:rPr>
                <w:sz w:val="21"/>
              </w:rPr>
              <w:t xml:space="preserve"> SSD</w:t>
            </w:r>
            <w:r>
              <w:rPr>
                <w:sz w:val="21"/>
              </w:rPr>
              <w:t>缓存盘，</w:t>
            </w:r>
            <w:r>
              <w:rPr>
                <w:sz w:val="21"/>
              </w:rPr>
              <w:t>≥6块8T</w:t>
            </w:r>
            <w:r>
              <w:rPr>
                <w:sz w:val="21"/>
              </w:rPr>
              <w:t xml:space="preserve"> SA</w:t>
            </w:r>
            <w:r>
              <w:rPr>
                <w:sz w:val="21"/>
              </w:rPr>
              <w:t>S</w:t>
            </w:r>
            <w:r>
              <w:rPr>
                <w:sz w:val="21"/>
              </w:rPr>
              <w:t xml:space="preserve"> HDD</w:t>
            </w:r>
            <w:r>
              <w:rPr>
                <w:sz w:val="21"/>
              </w:rPr>
              <w:t>数据盘</w:t>
            </w:r>
          </w:p>
        </w:tc>
      </w:tr>
      <w:tr>
        <w:tc>
          <w:tcPr>
            <w:tcW w:type="dxa" w:w="1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可选支持高达</w:t>
            </w:r>
            <w:r>
              <w:rPr>
                <w:sz w:val="21"/>
              </w:rPr>
              <w:t>8GB缓存，支持超级电容保护</w:t>
            </w:r>
            <w:r>
              <w:rPr>
                <w:sz w:val="21"/>
              </w:rPr>
              <w:t>，本次要求配置</w:t>
            </w:r>
            <w:r>
              <w:rPr>
                <w:sz w:val="21"/>
              </w:rPr>
              <w:t>≥4G缓存，1</w:t>
            </w:r>
            <w:r>
              <w:rPr>
                <w:sz w:val="21"/>
              </w:rPr>
              <w:t>2</w:t>
            </w:r>
            <w:r>
              <w:rPr>
                <w:sz w:val="21"/>
              </w:rPr>
              <w:t>G</w:t>
            </w:r>
            <w:r>
              <w:rPr>
                <w:sz w:val="21"/>
              </w:rPr>
              <w:t xml:space="preserve"> SAS RAID</w:t>
            </w:r>
            <w:r>
              <w:rPr>
                <w:sz w:val="21"/>
              </w:rPr>
              <w:t>卡，含超级电容。</w:t>
            </w:r>
          </w:p>
        </w:tc>
      </w:tr>
      <w:tr>
        <w:tc>
          <w:tcPr>
            <w:tcW w:type="dxa" w:w="1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支持多达</w:t>
            </w:r>
            <w:r>
              <w:rPr>
                <w:sz w:val="21"/>
              </w:rPr>
              <w:t>≥</w:t>
            </w:r>
            <w:r>
              <w:rPr>
                <w:sz w:val="21"/>
              </w:rPr>
              <w:t>10个PCIe4.0/3.0标准槽位</w:t>
            </w:r>
            <w:r>
              <w:rPr>
                <w:sz w:val="21"/>
              </w:rPr>
              <w:t>，要求提供制造商并提供链接截图证明</w:t>
            </w:r>
          </w:p>
        </w:tc>
      </w:tr>
      <w:tr>
        <w:tc>
          <w:tcPr>
            <w:tcW w:type="dxa" w:w="1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标配</w:t>
            </w:r>
            <w:r>
              <w:rPr>
                <w:sz w:val="21"/>
              </w:rPr>
              <w:t>≥</w:t>
            </w:r>
            <w:r>
              <w:rPr>
                <w:sz w:val="21"/>
              </w:rPr>
              <w:t>2个VGA，</w:t>
            </w:r>
            <w:r>
              <w:rPr>
                <w:sz w:val="21"/>
              </w:rPr>
              <w:t>≥</w:t>
            </w:r>
            <w:r>
              <w:rPr>
                <w:sz w:val="21"/>
              </w:rPr>
              <w:t>6 个USB接口（2前置，2后置，2内置）</w:t>
            </w:r>
            <w:r>
              <w:rPr>
                <w:sz w:val="21"/>
              </w:rPr>
              <w:t>要求提供制造商并提供链接截图证明</w:t>
            </w:r>
          </w:p>
        </w:tc>
      </w:tr>
      <w:tr>
        <w:tc>
          <w:tcPr>
            <w:tcW w:type="dxa" w:w="1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5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本次要求配置</w:t>
            </w:r>
            <w:r>
              <w:rPr>
                <w:sz w:val="21"/>
              </w:rPr>
              <w:t>≥2张</w:t>
            </w:r>
            <w:r>
              <w:rPr>
                <w:sz w:val="21"/>
              </w:rPr>
              <w:t>2端口万兆光接口网卡</w:t>
            </w:r>
            <w:r>
              <w:rPr>
                <w:sz w:val="21"/>
              </w:rPr>
              <w:t>（满配万兆多模模块），配置</w:t>
            </w:r>
            <w:r>
              <w:rPr>
                <w:sz w:val="21"/>
              </w:rPr>
              <w:t>≥1张</w:t>
            </w:r>
            <w:r>
              <w:rPr>
                <w:sz w:val="21"/>
              </w:rPr>
              <w:t>4端口1GE电接口网卡</w:t>
            </w:r>
          </w:p>
        </w:tc>
      </w:tr>
      <w:tr>
        <w:tc>
          <w:tcPr>
            <w:tcW w:type="dxa" w:w="1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5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要求配置</w:t>
            </w:r>
            <w:r>
              <w:rPr>
                <w:sz w:val="21"/>
              </w:rPr>
              <w:t>≥</w:t>
            </w:r>
            <w:r>
              <w:rPr>
                <w:sz w:val="21"/>
              </w:rPr>
              <w:t>6</w:t>
            </w:r>
            <w:r>
              <w:rPr>
                <w:sz w:val="21"/>
              </w:rPr>
              <w:t>个高速风扇，</w:t>
            </w:r>
            <w:r>
              <w:rPr>
                <w:sz w:val="21"/>
              </w:rPr>
              <w:t>≥2个1</w:t>
            </w:r>
            <w:r>
              <w:rPr>
                <w:sz w:val="21"/>
              </w:rPr>
              <w:t>300</w:t>
            </w:r>
            <w:r>
              <w:rPr>
                <w:sz w:val="21"/>
              </w:rPr>
              <w:t>w白金电源</w:t>
            </w:r>
          </w:p>
        </w:tc>
      </w:tr>
      <w:tr>
        <w:tc>
          <w:tcPr>
            <w:tcW w:type="dxa" w:w="1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5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当服务器因可更换硬件故障导致启动进程挂死在</w:t>
            </w:r>
            <w:r>
              <w:rPr>
                <w:sz w:val="21"/>
              </w:rPr>
              <w:t>POST阶段时，可以使用应急诊断功能，要求提供功能截图</w:t>
            </w:r>
          </w:p>
        </w:tc>
      </w:tr>
      <w:tr>
        <w:tc>
          <w:tcPr>
            <w:tcW w:type="dxa" w:w="1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为保证软件快速安装，服务器支持外接</w:t>
            </w:r>
            <w:r>
              <w:rPr>
                <w:sz w:val="21"/>
              </w:rPr>
              <w:t>USB WIFI模块，管理员可使用手机或PC通过无线登录BMC,要求提供功能截图</w:t>
            </w:r>
          </w:p>
        </w:tc>
      </w:tr>
      <w:tr>
        <w:tc>
          <w:tcPr>
            <w:tcW w:type="dxa" w:w="1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5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配置独立</w:t>
            </w:r>
            <w:r>
              <w:rPr>
                <w:sz w:val="21"/>
              </w:rPr>
              <w:t>Raid阵列卡，支持RAID0/1/5；</w:t>
            </w:r>
          </w:p>
        </w:tc>
      </w:tr>
    </w:tbl>
    <w:p>
      <w:pPr>
        <w:pStyle w:val="null3"/>
        <w:jc w:val="both"/>
        <w:outlineLvl w:val="2"/>
      </w:pPr>
      <w:r>
        <w:rPr>
          <w:sz w:val="21"/>
          <w:b/>
        </w:rPr>
        <w:t>3.2.2</w:t>
      </w:r>
      <w:r>
        <w:rPr>
          <w:sz w:val="21"/>
          <w:b/>
        </w:rPr>
        <w:t>服务器光口交换机</w:t>
      </w:r>
    </w:p>
    <w:tbl>
      <w:tblPr>
        <w:tblW w:w="0" w:type="auto"/>
        <w:tblBorders>
          <w:top w:val="none" w:color="000000" w:sz="4"/>
          <w:left w:val="none" w:color="000000" w:sz="4"/>
          <w:bottom w:val="none" w:color="000000" w:sz="4"/>
          <w:right w:val="none" w:color="000000" w:sz="4"/>
          <w:insideH w:val="none"/>
          <w:insideV w:val="none"/>
        </w:tblBorders>
      </w:tblPr>
      <w:tblGrid>
        <w:gridCol w:w="1522"/>
        <w:gridCol w:w="1522"/>
        <w:gridCol w:w="5263"/>
      </w:tblGrid>
      <w:tr>
        <w:tc>
          <w:tcPr>
            <w:tcW w:type="dxa" w:w="1522"/>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参数性质</w:t>
            </w:r>
          </w:p>
        </w:tc>
        <w:tc>
          <w:tcPr>
            <w:tcW w:type="dxa" w:w="152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526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具体技术</w:t>
            </w:r>
            <w:r>
              <w:rPr>
                <w:sz w:val="21"/>
              </w:rPr>
              <w:t>(参数)要求</w:t>
            </w:r>
          </w:p>
        </w:tc>
      </w:tr>
      <w:tr>
        <w:tc>
          <w:tcPr>
            <w:tcW w:type="dxa" w:w="15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交换容量</w:t>
            </w:r>
            <w:r>
              <w:rPr>
                <w:sz w:val="21"/>
              </w:rPr>
              <w:t>≥2.5Tbps，包转发率≥720Mpps。</w:t>
            </w:r>
          </w:p>
        </w:tc>
      </w:tr>
      <w:tr>
        <w:tc>
          <w:tcPr>
            <w:tcW w:type="dxa" w:w="1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实配</w:t>
            </w:r>
            <w:r>
              <w:rPr>
                <w:sz w:val="21"/>
              </w:rPr>
              <w:t>10GE光接口≥24个，40GE光接口≥2个；业务扩展槽≥2个，且均支持扩展万兆光、25G光、40G光等业务板卡。</w:t>
            </w:r>
          </w:p>
        </w:tc>
      </w:tr>
      <w:tr>
        <w:tc>
          <w:tcPr>
            <w:tcW w:type="dxa" w:w="1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24块SFP+万兆模块(850nm,300m,LC)</w:t>
            </w:r>
          </w:p>
        </w:tc>
      </w:tr>
      <w:tr>
        <w:tc>
          <w:tcPr>
            <w:tcW w:type="dxa" w:w="1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≥2个电源插槽</w:t>
            </w:r>
          </w:p>
        </w:tc>
      </w:tr>
      <w:tr>
        <w:tc>
          <w:tcPr>
            <w:tcW w:type="dxa" w:w="1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≥2个接口扩展槽位</w:t>
            </w:r>
          </w:p>
        </w:tc>
      </w:tr>
      <w:tr>
        <w:tc>
          <w:tcPr>
            <w:tcW w:type="dxa" w:w="1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≥2*交流电源</w:t>
            </w:r>
          </w:p>
        </w:tc>
      </w:tr>
      <w:tr>
        <w:tc>
          <w:tcPr>
            <w:tcW w:type="dxa" w:w="1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5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支持跨设备链路聚合技术</w:t>
            </w:r>
          </w:p>
        </w:tc>
      </w:tr>
      <w:tr>
        <w:tc>
          <w:tcPr>
            <w:tcW w:type="dxa" w:w="1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5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支持业界专业的</w:t>
            </w:r>
            <w:r>
              <w:rPr>
                <w:sz w:val="21"/>
              </w:rPr>
              <w:t>10KV业务端口防雷能力</w:t>
            </w:r>
          </w:p>
        </w:tc>
      </w:tr>
      <w:tr>
        <w:tc>
          <w:tcPr>
            <w:tcW w:type="dxa" w:w="1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5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支持硬件层级双</w:t>
            </w:r>
            <w:r>
              <w:rPr>
                <w:sz w:val="21"/>
              </w:rPr>
              <w:t>boot，采用两个FLASH芯片存储boot软件（系统引导程序），实现硬件级boot冗余备份</w:t>
            </w:r>
          </w:p>
        </w:tc>
      </w:tr>
      <w:tr>
        <w:tc>
          <w:tcPr>
            <w:tcW w:type="dxa" w:w="1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要求设备支持选配防火墙板卡，提供制造商官网</w:t>
            </w:r>
            <w:r>
              <w:rPr>
                <w:sz w:val="21"/>
              </w:rPr>
              <w:t>截图</w:t>
            </w:r>
            <w:r>
              <w:rPr>
                <w:sz w:val="21"/>
              </w:rPr>
              <w:t>证明材料</w:t>
            </w:r>
            <w:r>
              <w:rPr>
                <w:sz w:val="21"/>
              </w:rPr>
              <w:t>并提供链接</w:t>
            </w:r>
            <w:r>
              <w:rPr>
                <w:sz w:val="21"/>
              </w:rPr>
              <w:t>。</w:t>
            </w:r>
          </w:p>
        </w:tc>
      </w:tr>
      <w:tr>
        <w:tc>
          <w:tcPr>
            <w:tcW w:type="dxa" w:w="1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5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要求设备可作为整网的管理设备，以设备内置及图形化操作的方式，实现对网络的统一运维及管理，包括设备角色选定、</w:t>
            </w:r>
            <w:r>
              <w:rPr>
                <w:sz w:val="21"/>
              </w:rPr>
              <w:t>FTP服务器配置、全局配置及网管口配置，组管理、设备或组升级备份、监控及设备故障替换，组网拓扑可视及管理、设备列表展示。要求提供制造商官网</w:t>
            </w:r>
            <w:r>
              <w:rPr>
                <w:sz w:val="21"/>
              </w:rPr>
              <w:t>截图</w:t>
            </w:r>
            <w:r>
              <w:rPr>
                <w:sz w:val="21"/>
              </w:rPr>
              <w:t>证明材料</w:t>
            </w:r>
            <w:r>
              <w:rPr>
                <w:sz w:val="21"/>
              </w:rPr>
              <w:t>并提供链接</w:t>
            </w:r>
            <w:r>
              <w:rPr>
                <w:sz w:val="21"/>
              </w:rPr>
              <w:t>。</w:t>
            </w:r>
          </w:p>
        </w:tc>
      </w:tr>
    </w:tbl>
    <w:p>
      <w:pPr>
        <w:pStyle w:val="null3"/>
        <w:jc w:val="both"/>
        <w:outlineLvl w:val="2"/>
      </w:pPr>
      <w:r>
        <w:rPr>
          <w:sz w:val="21"/>
          <w:b/>
        </w:rPr>
        <w:t>3.2.3</w:t>
      </w:r>
      <w:r>
        <w:rPr>
          <w:sz w:val="21"/>
          <w:b/>
        </w:rPr>
        <w:t>瘦终端</w:t>
      </w:r>
    </w:p>
    <w:tbl>
      <w:tblPr>
        <w:tblW w:w="0" w:type="auto"/>
        <w:tblBorders>
          <w:top w:val="none" w:color="000000" w:sz="4"/>
          <w:left w:val="none" w:color="000000" w:sz="4"/>
          <w:bottom w:val="none" w:color="000000" w:sz="4"/>
          <w:right w:val="none" w:color="000000" w:sz="4"/>
          <w:insideH w:val="none"/>
          <w:insideV w:val="none"/>
        </w:tblBorders>
      </w:tblPr>
      <w:tblGrid>
        <w:gridCol w:w="1521"/>
        <w:gridCol w:w="1521"/>
        <w:gridCol w:w="5265"/>
      </w:tblGrid>
      <w:tr>
        <w:tc>
          <w:tcPr>
            <w:tcW w:type="dxa" w:w="1521"/>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参数性质</w:t>
            </w:r>
          </w:p>
        </w:tc>
        <w:tc>
          <w:tcPr>
            <w:tcW w:type="dxa" w:w="152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526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具体技术</w:t>
            </w:r>
            <w:r>
              <w:rPr>
                <w:sz w:val="21"/>
              </w:rPr>
              <w:t>(参数)要求</w:t>
            </w:r>
          </w:p>
        </w:tc>
      </w:tr>
      <w:tr>
        <w:tc>
          <w:tcPr>
            <w:tcW w:type="dxa" w:w="15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2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软硬件一体化设备，内置终端操作系统和软件，提供终端操作系统软件著作权证书复印件。</w:t>
            </w:r>
          </w:p>
        </w:tc>
      </w:tr>
      <w:tr>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需提供终端</w:t>
            </w:r>
            <w:r>
              <w:rPr>
                <w:sz w:val="21"/>
              </w:rPr>
              <w:t>CCC中国国家强制性产品认证证书复印件。</w:t>
            </w:r>
          </w:p>
        </w:tc>
      </w:tr>
      <w:tr>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需提供终端</w:t>
            </w:r>
            <w:r>
              <w:rPr>
                <w:sz w:val="21"/>
              </w:rPr>
              <w:t>CQC中国节能</w:t>
            </w:r>
            <w:r>
              <w:rPr>
                <w:sz w:val="21"/>
              </w:rPr>
              <w:t>产品</w:t>
            </w:r>
            <w:r>
              <w:rPr>
                <w:sz w:val="21"/>
              </w:rPr>
              <w:t>认证证书复印件。</w:t>
            </w:r>
          </w:p>
        </w:tc>
      </w:tr>
      <w:tr>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处理器性能不低于</w:t>
            </w:r>
            <w:r>
              <w:rPr>
                <w:sz w:val="21"/>
              </w:rPr>
              <w:t>Cortex A</w:t>
            </w:r>
            <w:r>
              <w:rPr>
                <w:sz w:val="21"/>
              </w:rPr>
              <w:t>55</w:t>
            </w:r>
            <w:r>
              <w:rPr>
                <w:sz w:val="21"/>
              </w:rPr>
              <w:t>四核，主频不低于</w:t>
            </w:r>
            <w:r>
              <w:rPr>
                <w:sz w:val="21"/>
              </w:rPr>
              <w:t xml:space="preserve">2.0 </w:t>
            </w:r>
            <w:r>
              <w:rPr>
                <w:sz w:val="21"/>
              </w:rPr>
              <w:t>GHz。</w:t>
            </w:r>
          </w:p>
        </w:tc>
      </w:tr>
      <w:tr>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要求配置内存容量</w:t>
            </w:r>
            <w:r>
              <w:rPr>
                <w:sz w:val="21"/>
              </w:rPr>
              <w:t>≥</w:t>
            </w:r>
            <w:r>
              <w:rPr>
                <w:sz w:val="21"/>
              </w:rPr>
              <w:t>2</w:t>
            </w:r>
            <w:r>
              <w:rPr>
                <w:sz w:val="21"/>
              </w:rPr>
              <w:t>GB</w:t>
            </w:r>
            <w:r>
              <w:rPr>
                <w:sz w:val="21"/>
              </w:rPr>
              <w:t>，内置存储空间</w:t>
            </w:r>
            <w:r>
              <w:rPr>
                <w:sz w:val="21"/>
              </w:rPr>
              <w:t>≥</w:t>
            </w:r>
            <w:r>
              <w:rPr>
                <w:sz w:val="21"/>
              </w:rPr>
              <w:t>8</w:t>
            </w:r>
            <w:r>
              <w:rPr>
                <w:sz w:val="21"/>
              </w:rPr>
              <w:t>GB。</w:t>
            </w:r>
          </w:p>
        </w:tc>
      </w:tr>
      <w:tr>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配置</w:t>
            </w:r>
            <w:r>
              <w:rPr>
                <w:sz w:val="21"/>
              </w:rPr>
              <w:t>USB 2.0接口≥</w:t>
            </w:r>
            <w:r>
              <w:rPr>
                <w:sz w:val="21"/>
              </w:rPr>
              <w:t>2</w:t>
            </w:r>
            <w:r>
              <w:rPr>
                <w:sz w:val="21"/>
              </w:rPr>
              <w:t>个，</w:t>
            </w:r>
            <w:r>
              <w:rPr>
                <w:sz w:val="21"/>
              </w:rPr>
              <w:t xml:space="preserve">USB </w:t>
            </w:r>
            <w:r>
              <w:rPr>
                <w:sz w:val="21"/>
              </w:rPr>
              <w:t>3</w:t>
            </w:r>
            <w:r>
              <w:rPr>
                <w:sz w:val="21"/>
              </w:rPr>
              <w:t>.0接口≥4个， USB Type</w:t>
            </w:r>
            <w:r>
              <w:rPr>
                <w:sz w:val="21"/>
              </w:rPr>
              <w:t>-</w:t>
            </w:r>
            <w:r>
              <w:rPr>
                <w:sz w:val="21"/>
              </w:rPr>
              <w:t>C 接口≥1个，VGA显示接口≥1个, HDMI显示接口≥1个，千兆网口≥1个，音频输入输出口≥1对，红外接收器≥1个。要求提供制造商官网截图证明并提供链接。</w:t>
            </w:r>
          </w:p>
        </w:tc>
      </w:tr>
      <w:tr>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5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为保证产品便于安装，产品需提供支持</w:t>
            </w:r>
            <w:r>
              <w:rPr>
                <w:sz w:val="21"/>
              </w:rPr>
              <w:t>VESA标</w:t>
            </w:r>
            <w:r>
              <w:rPr>
                <w:sz w:val="21"/>
              </w:rPr>
              <w:t>准背挂装置。</w:t>
            </w:r>
          </w:p>
        </w:tc>
      </w:tr>
    </w:tbl>
    <w:p>
      <w:pPr>
        <w:pStyle w:val="null3"/>
        <w:jc w:val="both"/>
        <w:outlineLvl w:val="2"/>
      </w:pPr>
      <w:r>
        <w:rPr>
          <w:sz w:val="21"/>
          <w:b/>
        </w:rPr>
        <w:t>3.2.4</w:t>
      </w:r>
      <w:r>
        <w:rPr>
          <w:sz w:val="21"/>
          <w:b/>
        </w:rPr>
        <w:t>胖终端</w:t>
      </w:r>
    </w:p>
    <w:tbl>
      <w:tblPr>
        <w:tblW w:w="0" w:type="auto"/>
        <w:tblBorders>
          <w:top w:val="none" w:color="000000" w:sz="4"/>
          <w:left w:val="none" w:color="000000" w:sz="4"/>
          <w:bottom w:val="none" w:color="000000" w:sz="4"/>
          <w:right w:val="none" w:color="000000" w:sz="4"/>
          <w:insideH w:val="none"/>
          <w:insideV w:val="none"/>
        </w:tblBorders>
      </w:tblPr>
      <w:tblGrid>
        <w:gridCol w:w="1521"/>
        <w:gridCol w:w="1521"/>
        <w:gridCol w:w="5265"/>
      </w:tblGrid>
      <w:tr>
        <w:tc>
          <w:tcPr>
            <w:tcW w:type="dxa" w:w="1521"/>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参数性质</w:t>
            </w:r>
          </w:p>
        </w:tc>
        <w:tc>
          <w:tcPr>
            <w:tcW w:type="dxa" w:w="152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526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具体技术</w:t>
            </w:r>
            <w:r>
              <w:rPr>
                <w:sz w:val="21"/>
              </w:rPr>
              <w:t>(参数)要求</w:t>
            </w:r>
          </w:p>
        </w:tc>
      </w:tr>
      <w:tr>
        <w:tc>
          <w:tcPr>
            <w:tcW w:type="dxa" w:w="15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2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软硬件一体化设备，内置终端操作系统和软件，提供终端操作系统软件著作权证书复印件。</w:t>
            </w:r>
          </w:p>
        </w:tc>
      </w:tr>
      <w:tr>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需提供终端</w:t>
            </w:r>
            <w:r>
              <w:rPr>
                <w:sz w:val="21"/>
              </w:rPr>
              <w:t>CCC中国国家强制性产品认证证书复印件。</w:t>
            </w:r>
          </w:p>
        </w:tc>
      </w:tr>
      <w:tr>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需提供终端</w:t>
            </w:r>
            <w:r>
              <w:rPr>
                <w:sz w:val="21"/>
              </w:rPr>
              <w:t>CQC中国节能</w:t>
            </w:r>
            <w:r>
              <w:rPr>
                <w:sz w:val="21"/>
              </w:rPr>
              <w:t>产品</w:t>
            </w:r>
            <w:r>
              <w:rPr>
                <w:sz w:val="21"/>
              </w:rPr>
              <w:t>认证证书复印件。</w:t>
            </w:r>
          </w:p>
        </w:tc>
      </w:tr>
      <w:tr>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处理器性能不低于</w:t>
            </w:r>
            <w:r>
              <w:rPr>
                <w:sz w:val="21"/>
              </w:rPr>
              <w:t>Intel第十二代六核十二线程，主频≥2.5 GHz。</w:t>
            </w:r>
          </w:p>
        </w:tc>
      </w:tr>
      <w:tr>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要求配置内存容量</w:t>
            </w:r>
            <w:r>
              <w:rPr>
                <w:sz w:val="21"/>
              </w:rPr>
              <w:t>≥16GB DDR4，内置存储空间≥512GB SSD。</w:t>
            </w:r>
          </w:p>
        </w:tc>
      </w:tr>
      <w:tr>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配置</w:t>
            </w:r>
            <w:r>
              <w:rPr>
                <w:sz w:val="21"/>
              </w:rPr>
              <w:t>USB 2.0接口≥4个，USB 3.0接口≥4个， VGA显示接口≥1个, HDMI显示接口≥1个，DP显示接口≥1个，千兆网口≥1个，音频输入输出口≥1对。</w:t>
            </w:r>
          </w:p>
        </w:tc>
      </w:tr>
    </w:tbl>
    <w:p>
      <w:pPr>
        <w:pStyle w:val="null3"/>
        <w:jc w:val="both"/>
        <w:outlineLvl w:val="2"/>
      </w:pPr>
      <w:r>
        <w:rPr>
          <w:sz w:val="21"/>
          <w:b/>
        </w:rPr>
        <w:t>3.2.5</w:t>
      </w:r>
      <w:r>
        <w:rPr>
          <w:sz w:val="21"/>
          <w:b/>
        </w:rPr>
        <w:t>云桌面软件</w:t>
      </w:r>
    </w:p>
    <w:tbl>
      <w:tblPr>
        <w:tblW w:w="0" w:type="auto"/>
        <w:tblBorders>
          <w:top w:val="none" w:color="000000" w:sz="4"/>
          <w:left w:val="none" w:color="000000" w:sz="4"/>
          <w:bottom w:val="none" w:color="000000" w:sz="4"/>
          <w:right w:val="none" w:color="000000" w:sz="4"/>
          <w:insideH w:val="none"/>
          <w:insideV w:val="none"/>
        </w:tblBorders>
      </w:tblPr>
      <w:tblGrid>
        <w:gridCol w:w="1522"/>
        <w:gridCol w:w="1522"/>
        <w:gridCol w:w="5263"/>
      </w:tblGrid>
      <w:tr>
        <w:tc>
          <w:tcPr>
            <w:tcW w:type="dxa" w:w="1522"/>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参数性质</w:t>
            </w:r>
          </w:p>
        </w:tc>
        <w:tc>
          <w:tcPr>
            <w:tcW w:type="dxa" w:w="152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526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具体技术</w:t>
            </w:r>
            <w:r>
              <w:rPr>
                <w:sz w:val="21"/>
              </w:rPr>
              <w:t>(参数)要求</w:t>
            </w:r>
          </w:p>
        </w:tc>
      </w:tr>
      <w:tr>
        <w:tc>
          <w:tcPr>
            <w:tcW w:type="dxa" w:w="15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国产产品，为提升桌面云接入性能及稳定性，本项目要求服务器、网络设备、终端与桌面云软件同一品牌。</w:t>
            </w:r>
          </w:p>
        </w:tc>
      </w:tr>
      <w:tr>
        <w:tc>
          <w:tcPr>
            <w:tcW w:type="dxa" w:w="1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系统自带云盘服务，无需额外增加网盘服务器及软件或系统授权，即可实现用户数据在不同桌面或者</w:t>
            </w:r>
            <w:r>
              <w:rPr>
                <w:sz w:val="21"/>
              </w:rPr>
              <w:t>PC电脑上数据漫游及共享，要求云盘具备不少于两种的访问方式。并提供产品功能截图，保留中标后测试的权利</w:t>
            </w:r>
            <w:r>
              <w:rPr>
                <w:sz w:val="21"/>
              </w:rPr>
              <w:t>。</w:t>
            </w:r>
          </w:p>
        </w:tc>
      </w:tr>
      <w:tr>
        <w:tc>
          <w:tcPr>
            <w:tcW w:type="dxa" w:w="1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系统内置初始化及关键功能配置向导，当服务器或服务器集群在第一次部署或常用操作日常配置时，平台均可提供简化步骤的向导操作，有效防止用户误操作。需提供完整界面的截图，保留中标后测试的权利。</w:t>
            </w:r>
          </w:p>
        </w:tc>
      </w:tr>
      <w:tr>
        <w:tc>
          <w:tcPr>
            <w:tcW w:type="dxa" w:w="1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为简化交付复杂度，要求虚拟化管理平台原生自带</w:t>
            </w:r>
            <w:r>
              <w:rPr>
                <w:sz w:val="21"/>
              </w:rPr>
              <w:t>DHCP功能，用户无需单独部署DHCP服务器即可对虚拟机及终端自动分配IP地址，降低部署难度；并提供产品功能截图，保留中标后测试的权利</w:t>
            </w:r>
            <w:r>
              <w:rPr>
                <w:sz w:val="21"/>
              </w:rPr>
              <w:t>。</w:t>
            </w:r>
          </w:p>
        </w:tc>
      </w:tr>
      <w:tr>
        <w:tc>
          <w:tcPr>
            <w:tcW w:type="dxa" w:w="1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同一个管理平台下支持创建或导入</w:t>
            </w:r>
            <w:r>
              <w:rPr>
                <w:sz w:val="21"/>
              </w:rPr>
              <w:t>VDI、IDV和VOI不同类型桌面镜像文件，既能够支持为多架构桌面设置专属镜像模板，也可以为多架构云桌面绑定通用镜像模板，多种模板策略按需选择。需提供产品功能截图，保留中标后测试的权利</w:t>
            </w:r>
            <w:r>
              <w:rPr>
                <w:sz w:val="21"/>
              </w:rPr>
              <w:t>。</w:t>
            </w:r>
          </w:p>
        </w:tc>
      </w:tr>
      <w:tr>
        <w:tc>
          <w:tcPr>
            <w:tcW w:type="dxa" w:w="1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云桌面管理平台自带消息推送功能，方便管理员通过云桌面管理平台对所有在线桌面发送消息通知。如：在系统升级之前提前发送通知，给升级留出时间窗口。也可以通过发送消息来做系统安全警示。推送时间分为立即推送和定时推送，推送对象可以是部分或全部桌面或桌面池，且平台会自动统计已经确认的回执信息。</w:t>
            </w:r>
          </w:p>
        </w:tc>
      </w:tr>
      <w:tr>
        <w:tc>
          <w:tcPr>
            <w:tcW w:type="dxa" w:w="1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5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支持以终端分组为单位批量进行终端控制，开机或关机、导出终端、定时清理超过保留期限仍未被分配终端信息、转移终端分组。需提供完整界面的截图，保留中标后测试的权利。</w:t>
            </w:r>
          </w:p>
        </w:tc>
      </w:tr>
      <w:tr>
        <w:tc>
          <w:tcPr>
            <w:tcW w:type="dxa" w:w="1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5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为防止普通用户安装使用违规应用软件，管理员可通过设置进程名、文件或目录来实现云桌面违规软件的控制，从而达到防止用户滥用非法的违规软件的效果。为了便于设置策略，要求支持针对软件进行模糊匹配和全匹配两种方式，也支持设置黑白名单。为了减低管理的复杂度，该功能要求不依赖于第三方组件实现，并且该功能不额外增加投标成本。需提供完整的功能界面截图，保留中标后测试的权利。</w:t>
            </w:r>
          </w:p>
        </w:tc>
      </w:tr>
      <w:tr>
        <w:tc>
          <w:tcPr>
            <w:tcW w:type="dxa" w:w="1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5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支持针对桌面池配置定时任务策略，定时任务包括但不限于关机、开机、重启、手工桌面池还原、创建快照、还原快照和部署桌面、驱动更新。提供含</w:t>
            </w:r>
            <w:r>
              <w:rPr>
                <w:sz w:val="21"/>
              </w:rPr>
              <w:t>国家认可的第三方测试报告并加盖制造商公章</w:t>
            </w:r>
            <w:r>
              <w:rPr>
                <w:sz w:val="21"/>
              </w:rPr>
              <w:t>。</w:t>
            </w:r>
          </w:p>
        </w:tc>
      </w:tr>
      <w:tr>
        <w:tc>
          <w:tcPr>
            <w:tcW w:type="dxa" w:w="1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管理平台支持对接多级</w:t>
            </w:r>
            <w:r>
              <w:rPr>
                <w:sz w:val="21"/>
              </w:rPr>
              <w:t>AD域控，当多级域控中子域与跟域相互信任后，云桌面支持授权认证使用根域账号，云桌面则加入子域。提供含国家认可的第三方测试报告并加盖制造商公章，保留中标后测试的权利。</w:t>
            </w:r>
          </w:p>
        </w:tc>
      </w:tr>
      <w:tr>
        <w:tc>
          <w:tcPr>
            <w:tcW w:type="dxa" w:w="1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5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用户可以在桌面连接客户端界面上自助执行快照备份，虚拟桌面异常（比如：中毒、连续多次蓝屏）时，可以通过快照自助回退到正常状态。提供含</w:t>
            </w:r>
            <w:r>
              <w:rPr>
                <w:sz w:val="21"/>
              </w:rPr>
              <w:t>国家认可的第三方测试报告并加盖制造商公章，保留中标后测试的权利。</w:t>
            </w:r>
          </w:p>
        </w:tc>
      </w:tr>
      <w:tr>
        <w:tc>
          <w:tcPr>
            <w:tcW w:type="dxa" w:w="1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5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支持虚拟机自助申请开户功能，在自助申请平台上，管理员可根据不同场景的要求定制不同的虚拟桌面标准套餐。普通用户可通过自助平台直接申请标准套餐的云桌面，也可根据需要自行选择云桌面的</w:t>
            </w:r>
            <w:r>
              <w:rPr>
                <w:sz w:val="21"/>
              </w:rPr>
              <w:t>CPU个数、内存大小以及磁盘容量。申请电子流审批通过后，虚拟桌面授权自动建立。</w:t>
            </w:r>
          </w:p>
        </w:tc>
      </w:tr>
      <w:tr>
        <w:tc>
          <w:tcPr>
            <w:tcW w:type="dxa" w:w="1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5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用户登录到网络上的任意一台计算机时，会自动加载所属配置文件，不会因动态桌面池随机分配桌面、桌面系统故障、系统盘还原等原因导用户其配置文件丢失。支持同一户相同系统下不同架构终端（</w:t>
            </w:r>
            <w:r>
              <w:rPr>
                <w:sz w:val="21"/>
              </w:rPr>
              <w:t>VDI/IDV /VOI)的用户配置漫游</w:t>
            </w:r>
            <w:r>
              <w:rPr>
                <w:sz w:val="21"/>
              </w:rPr>
              <w:t>。</w:t>
            </w:r>
          </w:p>
        </w:tc>
      </w:tr>
      <w:tr>
        <w:tc>
          <w:tcPr>
            <w:tcW w:type="dxa" w:w="1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5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为满足医院多种办公场景并存的要求，要求云桌面系统支持主流云桌面应用架构，具备发布</w:t>
            </w:r>
            <w:r>
              <w:rPr>
                <w:sz w:val="21"/>
              </w:rPr>
              <w:t>VDI、IDV、VOI/TCI、虚拟应用、共享桌面及物理机桌面等多种桌面及应用服务的能力，可通过一个平台进行统一纳管；提供含国家认可的第三方测试报告并加盖制造商公章，保留中标后测试的权利。</w:t>
            </w:r>
          </w:p>
        </w:tc>
      </w:tr>
      <w:tr>
        <w:tc>
          <w:tcPr>
            <w:tcW w:type="dxa" w:w="1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5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产品制造制造商需要对紧急情况产生的各种风险应作出快速和有效的反应，体现企业应急管理能力，需通过</w:t>
            </w:r>
            <w:r>
              <w:rPr>
                <w:sz w:val="21"/>
              </w:rPr>
              <w:t>ISO 22320应急管理体系认证。要求提供证书复印件和国家认监委官网截图并加盖设备</w:t>
            </w:r>
            <w:r>
              <w:rPr>
                <w:sz w:val="21"/>
              </w:rPr>
              <w:t>制造商</w:t>
            </w:r>
            <w:r>
              <w:rPr>
                <w:sz w:val="21"/>
              </w:rPr>
              <w:t>公章</w:t>
            </w:r>
            <w:r>
              <w:rPr>
                <w:sz w:val="21"/>
              </w:rPr>
              <w:t>。</w:t>
            </w:r>
          </w:p>
        </w:tc>
      </w:tr>
      <w:tr>
        <w:tc>
          <w:tcPr>
            <w:tcW w:type="dxa" w:w="1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5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要求提供不少于</w:t>
            </w:r>
            <w:r>
              <w:rPr>
                <w:sz w:val="21"/>
              </w:rPr>
              <w:t>400个</w:t>
            </w:r>
            <w:r>
              <w:rPr>
                <w:sz w:val="21"/>
              </w:rPr>
              <w:t>瘦终端</w:t>
            </w:r>
            <w:r>
              <w:rPr>
                <w:sz w:val="21"/>
              </w:rPr>
              <w:t>接入授权，</w:t>
            </w:r>
            <w:r>
              <w:rPr>
                <w:sz w:val="21"/>
              </w:rPr>
              <w:t>不少于</w:t>
            </w:r>
            <w:r>
              <w:rPr>
                <w:sz w:val="21"/>
              </w:rPr>
              <w:t>200个</w:t>
            </w:r>
            <w:r>
              <w:rPr>
                <w:sz w:val="21"/>
              </w:rPr>
              <w:t>胖</w:t>
            </w:r>
            <w:r>
              <w:rPr>
                <w:sz w:val="21"/>
              </w:rPr>
              <w:t>终端接入授权</w:t>
            </w:r>
            <w:r>
              <w:rPr>
                <w:sz w:val="21"/>
              </w:rPr>
              <w:t>，同时</w:t>
            </w:r>
            <w:r>
              <w:rPr>
                <w:sz w:val="21"/>
              </w:rPr>
              <w:t>要求授权不限制资源发布类型</w:t>
            </w:r>
            <w:r>
              <w:rPr>
                <w:sz w:val="21"/>
              </w:rPr>
              <w:t>。</w:t>
            </w:r>
          </w:p>
        </w:tc>
      </w:tr>
      <w:tr>
        <w:tc>
          <w:tcPr>
            <w:tcW w:type="dxa" w:w="1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5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如果投标人非投标产品制造商的，提供制造商出具的售后服务承诺函</w:t>
            </w:r>
          </w:p>
        </w:tc>
      </w:tr>
    </w:tbl>
    <w:p>
      <w:pPr>
        <w:pStyle w:val="null3"/>
        <w:jc w:val="both"/>
        <w:outlineLvl w:val="2"/>
      </w:pPr>
      <w:r>
        <w:rPr>
          <w:sz w:val="21"/>
          <w:b/>
        </w:rPr>
        <w:t>3.2.6</w:t>
      </w:r>
      <w:r>
        <w:rPr>
          <w:sz w:val="21"/>
          <w:b/>
        </w:rPr>
        <w:t>显示器</w:t>
      </w:r>
    </w:p>
    <w:tbl>
      <w:tblPr>
        <w:tblW w:w="0" w:type="auto"/>
        <w:tblBorders>
          <w:top w:val="none" w:color="000000" w:sz="4"/>
          <w:left w:val="none" w:color="000000" w:sz="4"/>
          <w:bottom w:val="none" w:color="000000" w:sz="4"/>
          <w:right w:val="none" w:color="000000" w:sz="4"/>
          <w:insideH w:val="none"/>
          <w:insideV w:val="none"/>
        </w:tblBorders>
      </w:tblPr>
      <w:tblGrid>
        <w:gridCol w:w="1522"/>
        <w:gridCol w:w="1522"/>
        <w:gridCol w:w="5263"/>
      </w:tblGrid>
      <w:tr>
        <w:tc>
          <w:tcPr>
            <w:tcW w:type="dxa" w:w="1522"/>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参数性质</w:t>
            </w:r>
          </w:p>
        </w:tc>
        <w:tc>
          <w:tcPr>
            <w:tcW w:type="dxa" w:w="152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526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具体技术</w:t>
            </w:r>
            <w:r>
              <w:rPr>
                <w:sz w:val="21"/>
              </w:rPr>
              <w:t>(参数)要求</w:t>
            </w:r>
          </w:p>
        </w:tc>
      </w:tr>
      <w:tr>
        <w:tc>
          <w:tcPr>
            <w:tcW w:type="dxa" w:w="15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w:t>
            </w:r>
            <w:r>
              <w:rPr>
                <w:sz w:val="21"/>
              </w:rPr>
              <w:t>23.8 分辨率 1920*1080 IPS技术屏</w:t>
            </w:r>
          </w:p>
          <w:p>
            <w:pPr>
              <w:pStyle w:val="null3"/>
              <w:jc w:val="left"/>
            </w:pPr>
            <w:r>
              <w:rPr>
                <w:sz w:val="21"/>
              </w:rPr>
              <w:t>可视角：</w:t>
            </w:r>
            <w:r>
              <w:rPr>
                <w:sz w:val="21"/>
              </w:rPr>
              <w:t>178/178 刷新率：100HZ  接口：VGA+HDMI</w:t>
            </w:r>
          </w:p>
          <w:p>
            <w:pPr>
              <w:pStyle w:val="null3"/>
              <w:jc w:val="left"/>
            </w:pPr>
            <w:r>
              <w:rPr>
                <w:sz w:val="21"/>
              </w:rPr>
              <w:t>屏幕比例</w:t>
            </w:r>
            <w:r>
              <w:rPr>
                <w:sz w:val="21"/>
              </w:rPr>
              <w:t xml:space="preserve">16:9 含1条HDMI线  </w:t>
            </w:r>
          </w:p>
        </w:tc>
      </w:tr>
    </w:tbl>
    <w:p>
      <w:pPr>
        <w:pStyle w:val="null3"/>
        <w:jc w:val="both"/>
        <w:outlineLvl w:val="2"/>
      </w:pPr>
      <w:r>
        <w:rPr>
          <w:sz w:val="21"/>
          <w:b/>
        </w:rPr>
        <w:t>3.2.7</w:t>
      </w:r>
      <w:r>
        <w:rPr>
          <w:sz w:val="21"/>
          <w:b/>
        </w:rPr>
        <w:t>键盘鼠标</w:t>
      </w:r>
    </w:p>
    <w:tbl>
      <w:tblPr>
        <w:tblW w:w="0" w:type="auto"/>
        <w:tblBorders>
          <w:top w:val="none" w:color="000000" w:sz="4"/>
          <w:left w:val="none" w:color="000000" w:sz="4"/>
          <w:bottom w:val="none" w:color="000000" w:sz="4"/>
          <w:right w:val="none" w:color="000000" w:sz="4"/>
          <w:insideH w:val="none"/>
          <w:insideV w:val="none"/>
        </w:tblBorders>
      </w:tblPr>
      <w:tblGrid>
        <w:gridCol w:w="1522"/>
        <w:gridCol w:w="1522"/>
        <w:gridCol w:w="5263"/>
      </w:tblGrid>
      <w:tr>
        <w:tc>
          <w:tcPr>
            <w:tcW w:type="dxa" w:w="1522"/>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参数性质</w:t>
            </w:r>
          </w:p>
        </w:tc>
        <w:tc>
          <w:tcPr>
            <w:tcW w:type="dxa" w:w="152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526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具体技术</w:t>
            </w:r>
            <w:r>
              <w:rPr>
                <w:sz w:val="21"/>
              </w:rPr>
              <w:t>(参数)要求</w:t>
            </w:r>
          </w:p>
        </w:tc>
      </w:tr>
      <w:tr>
        <w:tc>
          <w:tcPr>
            <w:tcW w:type="dxa" w:w="15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标准</w:t>
            </w:r>
            <w:r>
              <w:rPr>
                <w:sz w:val="21"/>
              </w:rPr>
              <w:t xml:space="preserve">USB有线键盘，键盘&gt;100键位；标准有线USB激光鼠标。  </w:t>
            </w:r>
          </w:p>
        </w:tc>
      </w:tr>
    </w:tbl>
    <w:p>
      <w:pPr>
        <w:pStyle w:val="null3"/>
        <w:jc w:val="both"/>
        <w:outlineLvl w:val="0"/>
      </w:pPr>
      <w:r>
        <w:rPr>
          <w:sz w:val="21"/>
          <w:b/>
        </w:rPr>
        <w:t>实施要求</w:t>
      </w:r>
    </w:p>
    <w:p>
      <w:pPr>
        <w:pStyle w:val="null3"/>
        <w:ind w:firstLine="420"/>
        <w:jc w:val="both"/>
      </w:pPr>
      <w:r>
        <w:rPr>
          <w:sz w:val="21"/>
        </w:rPr>
        <w:t>1.要求中标供应商在合同完成签订之日后的60个日历天内，将合同货物及技术资料运抵采购人指定地点，协调原厂免费为采购人完成首次安装相关设备，并承担运输过程中发生的一切费用。</w:t>
      </w:r>
    </w:p>
    <w:p>
      <w:pPr>
        <w:pStyle w:val="null3"/>
        <w:ind w:firstLine="420"/>
        <w:jc w:val="both"/>
      </w:pPr>
      <w:r>
        <w:rPr>
          <w:sz w:val="21"/>
        </w:rPr>
        <w:t>2.中标供应商负责将货物送达到采购人指定的安装地点。</w:t>
      </w:r>
    </w:p>
    <w:p>
      <w:pPr>
        <w:pStyle w:val="null3"/>
        <w:ind w:firstLine="420"/>
        <w:jc w:val="both"/>
      </w:pPr>
      <w:r>
        <w:rPr>
          <w:sz w:val="21"/>
        </w:rPr>
        <w:t>3.中标供应商协调原厂完成招标文件中所列软硬件设备相应的首次加电开机、安装测试、网络联调工作，负责解决相关的技术问题。</w:t>
      </w:r>
    </w:p>
    <w:p>
      <w:pPr>
        <w:pStyle w:val="null3"/>
        <w:ind w:firstLine="420"/>
        <w:jc w:val="both"/>
      </w:pPr>
      <w:r>
        <w:rPr>
          <w:sz w:val="21"/>
        </w:rPr>
        <w:t>4.中标供应商需协调原厂把设备安装到采购人指定地点，并综合考虑安装机房的环境，包括地面承重、机房供电、空调制冷等相关因素，如有特殊需要需提供相关解决方案。</w:t>
      </w:r>
    </w:p>
    <w:p>
      <w:pPr>
        <w:pStyle w:val="null3"/>
        <w:ind w:firstLine="420"/>
        <w:jc w:val="both"/>
      </w:pPr>
      <w:r>
        <w:rPr>
          <w:sz w:val="21"/>
        </w:rPr>
        <w:t>5.中标供应商应根据招标技术要求提供相应软硬件产品，提供设备部件间的连线和插接件。</w:t>
      </w:r>
    </w:p>
    <w:p>
      <w:pPr>
        <w:pStyle w:val="null3"/>
        <w:ind w:firstLine="420"/>
        <w:jc w:val="both"/>
      </w:pPr>
      <w:r>
        <w:rPr>
          <w:sz w:val="21"/>
        </w:rPr>
        <w:t>6.中标供应商要充分考虑到机房可能发生的布线、加固以及网络连接工作，对新设备的布线进行标准化的集成，最大限度减少对机房空间的占用。</w:t>
      </w:r>
    </w:p>
    <w:p>
      <w:pPr>
        <w:pStyle w:val="null3"/>
        <w:ind w:firstLine="420"/>
        <w:jc w:val="both"/>
      </w:pPr>
      <w:r>
        <w:rPr>
          <w:sz w:val="21"/>
        </w:rPr>
        <w:t>7.在安装、调试过程中所需的工具以及安装材料均由中标供应商负责解决，费用均由中标供应商承担。</w:t>
      </w:r>
    </w:p>
    <w:p>
      <w:pPr>
        <w:pStyle w:val="null3"/>
        <w:ind w:firstLine="420"/>
        <w:jc w:val="both"/>
      </w:pPr>
      <w:r>
        <w:rPr>
          <w:sz w:val="21"/>
        </w:rPr>
        <w:t>8.中标供应商向采购人提供详细设备供货清单，由采购人确认。当货物到达指定的安装现场后，采购人和中标供应商依据设备供货清单共同对设备进行开箱检验，并对设备的数量、品质进行逐项检查。如发现所提供设备的品质和技术规范不符合合同要求、或有短缺、破损，采购人有权要求中标供应商立即补发或更换。</w:t>
      </w:r>
    </w:p>
    <w:p>
      <w:pPr>
        <w:pStyle w:val="null3"/>
        <w:ind w:firstLine="420"/>
        <w:jc w:val="both"/>
      </w:pPr>
      <w:r>
        <w:rPr>
          <w:sz w:val="21"/>
        </w:rPr>
        <w:t>9.中标供应商需协调原厂对所提供的设备逐一加电检验，确认所提供的设备和软件可正常使用。</w:t>
      </w:r>
    </w:p>
    <w:p>
      <w:pPr>
        <w:pStyle w:val="null3"/>
        <w:jc w:val="both"/>
        <w:outlineLvl w:val="0"/>
      </w:pPr>
      <w:r>
        <w:rPr>
          <w:sz w:val="21"/>
          <w:b/>
        </w:rPr>
        <w:t>4</w:t>
      </w:r>
      <w:r>
        <w:rPr>
          <w:sz w:val="21"/>
          <w:b/>
        </w:rPr>
        <w:t>、</w:t>
      </w:r>
      <w:r>
        <w:rPr>
          <w:sz w:val="21"/>
          <w:b/>
        </w:rPr>
        <w:t>售后</w:t>
      </w:r>
      <w:r>
        <w:rPr>
          <w:sz w:val="21"/>
          <w:b/>
        </w:rPr>
        <w:t>服务</w:t>
      </w:r>
      <w:r>
        <w:rPr>
          <w:sz w:val="21"/>
          <w:b/>
        </w:rPr>
        <w:t>要求</w:t>
      </w:r>
    </w:p>
    <w:p>
      <w:pPr>
        <w:pStyle w:val="null3"/>
        <w:ind w:firstLine="420"/>
        <w:jc w:val="both"/>
      </w:pPr>
      <w:r>
        <w:rPr>
          <w:sz w:val="21"/>
        </w:rPr>
        <w:t>所有设备及系统软件免费维保开始日期在验收合格后，硬件提供五年免费维保服务，提供</w:t>
      </w:r>
      <w:r>
        <w:rPr>
          <w:sz w:val="21"/>
        </w:rPr>
        <w:t>1名运维实施工程师五年驻场服务。服务内容包括但不限于：</w:t>
      </w:r>
    </w:p>
    <w:p>
      <w:pPr>
        <w:pStyle w:val="null3"/>
        <w:ind w:firstLine="420"/>
      </w:pPr>
      <w:r>
        <w:rPr>
          <w:sz w:val="21"/>
        </w:rPr>
        <w:t>1)</w:t>
      </w:r>
      <w:r>
        <w:rPr>
          <w:sz w:val="21"/>
        </w:rPr>
        <w:t>中标人货物在质量保证期内提供维护服务（包括软件升级、产品质保、使用培训），由此产生的费用由中标人承担。</w:t>
      </w:r>
    </w:p>
    <w:p>
      <w:pPr>
        <w:pStyle w:val="null3"/>
        <w:ind w:firstLine="420"/>
      </w:pPr>
      <w:r>
        <w:rPr>
          <w:sz w:val="21"/>
        </w:rPr>
        <w:t>2)</w:t>
      </w:r>
      <w:r>
        <w:rPr>
          <w:sz w:val="21"/>
        </w:rPr>
        <w:t>中标人提供质量保证期内的售后服务，质量保证期内发现问题中标人及时予以维修、更新或者更换。中标人提供</w:t>
      </w:r>
      <w:r>
        <w:rPr>
          <w:sz w:val="21"/>
        </w:rPr>
        <w:t>7×24小时的故障维护服务和技术业务咨询服务，在接到故障报修后，供应商须在10分钟内响应，30分钟内（含上述10分钟）到达现场，</w:t>
      </w:r>
      <w:r>
        <w:rPr>
          <w:sz w:val="21"/>
        </w:rPr>
        <w:t>24</w:t>
      </w:r>
      <w:r>
        <w:rPr>
          <w:sz w:val="21"/>
        </w:rPr>
        <w:t>小时内（含上述</w:t>
      </w:r>
      <w:r>
        <w:rPr>
          <w:sz w:val="21"/>
        </w:rPr>
        <w:t>30分钟）不能及时排除故障的，中标人应向采购人提供不低于故障设备规格型号档次的备用设备使用，直至故障修复为止，由此产生的包括但不限于运输费、安装费、搬运费、替换产品的损耗费、零部件费、调试费等全部费用由中标人承担。质量保证期外中标人提供终身维修服务，如采购人指定中标人继续进行维保，中标人应提供相应的维保服务。中标人不额外收取其他费用（包括但不限于人工、配件的包装运输费、差旅费、咨询费、技术调试等费用，中标人保证在货物正常使用年限内及时向采购人供应备品配件，确保不因备品配件的缺失导致货物无法正常使用。</w:t>
      </w:r>
    </w:p>
    <w:p>
      <w:pPr>
        <w:pStyle w:val="null3"/>
        <w:ind w:firstLine="420"/>
      </w:pPr>
      <w:r>
        <w:rPr>
          <w:sz w:val="21"/>
        </w:rPr>
        <w:t>3)</w:t>
      </w:r>
      <w:r>
        <w:rPr>
          <w:sz w:val="21"/>
        </w:rPr>
        <w:t>如货物或零部件因非采购人人为因素出现故障而造成短期停用时，则质保期相应顺延。如停用时间累计超过</w:t>
      </w:r>
      <w:r>
        <w:rPr>
          <w:sz w:val="21"/>
        </w:rPr>
        <w:t>60天则质保期重新计算。</w:t>
      </w:r>
    </w:p>
    <w:p>
      <w:pPr>
        <w:pStyle w:val="null3"/>
        <w:ind w:firstLine="420"/>
      </w:pPr>
      <w:r>
        <w:rPr>
          <w:sz w:val="21"/>
        </w:rPr>
        <w:t>4)</w:t>
      </w:r>
      <w:r>
        <w:rPr>
          <w:sz w:val="21"/>
        </w:rPr>
        <w:t>售后服务保障方案：投标人应有售后服务保障方案，包括但不限于</w:t>
      </w:r>
      <w:r>
        <w:rPr>
          <w:sz w:val="21"/>
        </w:rPr>
        <w:t>①质保期内及质保期满后的售后服务方案；②售后服务团队配置；③服务范围及响应时间；④备品备件供应；⑤紧急响应方案等内容</w:t>
      </w:r>
    </w:p>
    <w:p>
      <w:pPr>
        <w:pStyle w:val="null3"/>
        <w:jc w:val="both"/>
        <w:outlineLvl w:val="0"/>
      </w:pPr>
      <w:r>
        <w:rPr>
          <w:sz w:val="21"/>
          <w:b/>
        </w:rPr>
        <w:t>5</w:t>
      </w:r>
      <w:r>
        <w:rPr>
          <w:sz w:val="21"/>
          <w:b/>
        </w:rPr>
        <w:t>、</w:t>
      </w:r>
      <w:r>
        <w:rPr>
          <w:sz w:val="21"/>
          <w:b/>
        </w:rPr>
        <w:t>验收</w:t>
      </w:r>
      <w:r>
        <w:rPr>
          <w:sz w:val="21"/>
          <w:b/>
        </w:rPr>
        <w:t>要求</w:t>
      </w:r>
    </w:p>
    <w:p>
      <w:pPr>
        <w:pStyle w:val="null3"/>
        <w:jc w:val="both"/>
        <w:outlineLvl w:val="1"/>
      </w:pPr>
      <w:r>
        <w:rPr>
          <w:sz w:val="21"/>
          <w:b/>
        </w:rPr>
        <w:t>5.1</w:t>
      </w:r>
      <w:r>
        <w:rPr>
          <w:sz w:val="21"/>
          <w:b/>
        </w:rPr>
        <w:t>硬件</w:t>
      </w:r>
      <w:r>
        <w:rPr>
          <w:sz w:val="21"/>
          <w:b/>
        </w:rPr>
        <w:t>验收要求</w:t>
      </w:r>
    </w:p>
    <w:p>
      <w:pPr>
        <w:pStyle w:val="null3"/>
        <w:ind w:firstLine="420"/>
        <w:jc w:val="both"/>
      </w:pPr>
      <w:r>
        <w:rPr>
          <w:sz w:val="21"/>
        </w:rPr>
        <w:t>(1)</w:t>
      </w:r>
      <w:r>
        <w:rPr>
          <w:sz w:val="21"/>
        </w:rPr>
        <w:t>中标人提供全部设备为原装、完整、全新的、符合国家及采购人提出的有关质量标准的设备及部件。凡列入《中华人民共和国实施强制性产品认证的产品目录》的产品在验收时出具</w:t>
      </w:r>
      <w:r>
        <w:rPr>
          <w:sz w:val="21"/>
        </w:rPr>
        <w:t>CCC认证证书复印件，并以在产品外部加施认证标志作为验收依据之一。</w:t>
      </w:r>
    </w:p>
    <w:p>
      <w:pPr>
        <w:pStyle w:val="null3"/>
        <w:ind w:firstLine="420"/>
        <w:jc w:val="both"/>
      </w:pPr>
      <w:r>
        <w:rPr>
          <w:sz w:val="21"/>
        </w:rPr>
        <w:t>(2)</w:t>
      </w:r>
      <w:r>
        <w:rPr>
          <w:sz w:val="21"/>
        </w:rPr>
        <w:t>中标人须提供全部设备、产品、型号、规格、数量、</w:t>
      </w:r>
      <w:r>
        <w:rPr>
          <w:sz w:val="21"/>
        </w:rPr>
        <w:t>外形</w:t>
      </w:r>
      <w:r>
        <w:rPr>
          <w:sz w:val="21"/>
        </w:rPr>
        <w:t>、外观、包装及资料、文件（如装箱单、保修单、随箱介质等）等资料，所有设备、器材在开箱时须完好，无破损。配置与装箱单相符。数量、质量及性能不低于合同要求；中标人须提供设备连接并构成完整运行环境所必要的配件、辅件、配线、许可。</w:t>
      </w:r>
    </w:p>
    <w:p>
      <w:pPr>
        <w:pStyle w:val="null3"/>
        <w:ind w:firstLine="420"/>
        <w:jc w:val="both"/>
      </w:pPr>
      <w:r>
        <w:rPr>
          <w:sz w:val="21"/>
        </w:rPr>
        <w:t>(3)</w:t>
      </w:r>
      <w:r>
        <w:rPr>
          <w:sz w:val="21"/>
        </w:rPr>
        <w:t>中标人须在硬件验收前，将全部有关产品说明书、原厂家部署手册、技术文件、资料、及部署、验收报告等资料汇集成册交付设备使用单位。</w:t>
      </w:r>
    </w:p>
    <w:p>
      <w:pPr>
        <w:pStyle w:val="null3"/>
        <w:ind w:firstLine="420"/>
        <w:jc w:val="both"/>
      </w:pPr>
      <w:r>
        <w:rPr>
          <w:sz w:val="21"/>
        </w:rPr>
        <w:t>(4)</w:t>
      </w:r>
      <w:r>
        <w:rPr>
          <w:sz w:val="21"/>
        </w:rPr>
        <w:t>拆箱后，中标人应协助采购人对全部产品、零件、配件、用户许可证书、资料、介质造册登记，并与装箱单对比，如有出入应立即书面记录，由中标人负责解决，如影响部署则按合同有关条款处理。</w:t>
      </w:r>
    </w:p>
    <w:p>
      <w:pPr>
        <w:pStyle w:val="null3"/>
        <w:ind w:firstLine="420"/>
        <w:jc w:val="both"/>
      </w:pPr>
      <w:r>
        <w:rPr>
          <w:sz w:val="21"/>
        </w:rPr>
        <w:t>(5)</w:t>
      </w:r>
      <w:r>
        <w:rPr>
          <w:sz w:val="21"/>
        </w:rPr>
        <w:t>采购人或采购人指定的收货人在收到货物后，应当立即对货物进行签收，以示确认收到合同项下货物。采购人或采购人指定的收货人未履行本合同约定的签收义务，中标人有权拒绝交付合同项下货物，并视为采购人违约不接收货物，中标人不承担因此造成的延迟交货责任。设备如毁损或丢失，在交付给采购人签收前由中标人承担责任，在中标人将设备送到交货地点采购人签收后由采购人承担责任。</w:t>
      </w:r>
    </w:p>
    <w:p>
      <w:pPr>
        <w:pStyle w:val="null3"/>
        <w:jc w:val="both"/>
        <w:outlineLvl w:val="1"/>
      </w:pPr>
      <w:r>
        <w:rPr>
          <w:sz w:val="21"/>
          <w:b/>
        </w:rPr>
        <w:t>5.2</w:t>
      </w:r>
      <w:r>
        <w:rPr>
          <w:sz w:val="21"/>
          <w:b/>
        </w:rPr>
        <w:t>项目验收要求</w:t>
      </w:r>
    </w:p>
    <w:p>
      <w:pPr>
        <w:pStyle w:val="null3"/>
        <w:ind w:firstLine="420"/>
        <w:jc w:val="both"/>
      </w:pPr>
      <w:r>
        <w:rPr>
          <w:sz w:val="21"/>
        </w:rPr>
        <w:t>货单货物交付并完成安装、调试，连续稳定试运行满</w:t>
      </w:r>
      <w:r>
        <w:rPr>
          <w:sz w:val="21"/>
        </w:rPr>
        <w:t>30日可交付终验。中标人需提供本次项目硬件设备的原厂维保证明，采购人根据需要组织货物终验。中标人应以书面形式向采购人提交本批次货物的终验申请、货物自验情况。采购人自接到中标人的终验书面申请之日起的7个工作日内需给出该批次货物的书面终验结论，否则中标人有权认为该批次货物通过终验。如果达到招标文件中的验收标准，中标人及采购人在《货物终验报告》上签字，确认该批次订货单货物终验合格。</w:t>
      </w:r>
    </w:p>
    <w:p>
      <w:pPr>
        <w:pStyle w:val="null3"/>
        <w:jc w:val="both"/>
        <w:outlineLvl w:val="0"/>
      </w:pPr>
      <w:r>
        <w:rPr>
          <w:sz w:val="21"/>
          <w:b/>
        </w:rPr>
        <w:t>6</w:t>
      </w:r>
      <w:r>
        <w:rPr>
          <w:sz w:val="21"/>
          <w:b/>
        </w:rPr>
        <w:t>、</w:t>
      </w:r>
      <w:r>
        <w:rPr>
          <w:sz w:val="21"/>
          <w:b/>
        </w:rPr>
        <w:t>付款方式</w:t>
      </w:r>
    </w:p>
    <w:p>
      <w:pPr>
        <w:pStyle w:val="null3"/>
        <w:jc w:val="both"/>
      </w:pPr>
      <w:r>
        <w:rPr>
          <w:sz w:val="21"/>
        </w:rPr>
        <w:t>采用三阶段付款方式，具体如下：</w:t>
      </w:r>
    </w:p>
    <w:p>
      <w:pPr>
        <w:pStyle w:val="null3"/>
        <w:ind w:firstLine="420"/>
      </w:pPr>
      <w:r>
        <w:rPr>
          <w:sz w:val="21"/>
        </w:rPr>
        <w:t>1</w:t>
      </w:r>
      <w:r>
        <w:rPr>
          <w:sz w:val="21"/>
        </w:rPr>
        <w:t>）</w:t>
      </w:r>
      <w:r>
        <w:rPr>
          <w:sz w:val="21"/>
        </w:rPr>
        <w:t>第</w:t>
      </w:r>
      <w:r>
        <w:rPr>
          <w:sz w:val="21"/>
        </w:rPr>
        <w:t>1期：支付比例30%，合同签订生效后的60个工作日内，将合同总金额的30％支付给中标人；</w:t>
      </w:r>
    </w:p>
    <w:p>
      <w:pPr>
        <w:pStyle w:val="null3"/>
        <w:ind w:firstLine="420"/>
      </w:pPr>
      <w:r>
        <w:rPr>
          <w:sz w:val="21"/>
        </w:rPr>
        <w:t>2</w:t>
      </w:r>
      <w:r>
        <w:rPr>
          <w:sz w:val="21"/>
        </w:rPr>
        <w:t>）</w:t>
      </w:r>
      <w:r>
        <w:rPr>
          <w:sz w:val="21"/>
        </w:rPr>
        <w:t>第</w:t>
      </w:r>
      <w:r>
        <w:rPr>
          <w:sz w:val="21"/>
        </w:rPr>
        <w:t>2期：支付比例60%，产品运到指定地点，安装调试完毕且正常运行后的60个工作日内，将合同总金额的60％支付给中标人；</w:t>
      </w:r>
    </w:p>
    <w:p>
      <w:pPr>
        <w:pStyle w:val="null3"/>
        <w:ind w:firstLine="420"/>
        <w:jc w:val="both"/>
      </w:pPr>
      <w:r>
        <w:rPr>
          <w:sz w:val="21"/>
        </w:rPr>
        <w:t>3</w:t>
      </w:r>
      <w:r>
        <w:rPr>
          <w:sz w:val="21"/>
        </w:rPr>
        <w:t>）</w:t>
      </w:r>
      <w:r>
        <w:rPr>
          <w:sz w:val="21"/>
        </w:rPr>
        <w:t>第</w:t>
      </w:r>
      <w:r>
        <w:rPr>
          <w:sz w:val="21"/>
        </w:rPr>
        <w:t>3期：支付比例10%，设备验收合格后的90个工作日内，将余下款项（合同总金额的10％）支付给中标人。备注：中标人应在产品验收合格后的五个工作日内向采购人</w:t>
      </w:r>
      <w:r>
        <w:rPr>
          <w:sz w:val="21"/>
        </w:rPr>
        <w:t>按阶段开具对应金额发票</w:t>
      </w:r>
      <w:r>
        <w:rPr>
          <w:sz w:val="21"/>
        </w:rPr>
        <w:t>，否则因中标人原因导致推迟付款的后果由中标人负责，采购人不承担因此或因财务审核、财政拨付等政务原因延迟支付价款而对中标人造成的任何损失；因中标人应确保合同约定账户可用，采购人仅向合同约定账户付款，因中标人账户问题无法及时收款的采购人不承担责任。</w:t>
      </w:r>
    </w:p>
    <w:p>
      <w:pPr>
        <w:pStyle w:val="null3"/>
      </w:pPr>
      <w:r>
        <w:rPr/>
        <w:t>采购包1（云桌面项目）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建设周期：自合同签订之日起四个月内完成项目验收。</w:t>
            </w:r>
          </w:p>
        </w:tc>
      </w:tr>
      <w:tr>
        <w:tc>
          <w:tcPr>
            <w:tcW w:type="dxa" w:w="4153"/>
          </w:tcPr>
          <w:p>
            <w:pPr>
              <w:pStyle w:val="null3"/>
            </w:pPr>
            <w:r>
              <w:rPr/>
              <w:t>标的提供的地点</w:t>
            </w:r>
          </w:p>
        </w:tc>
        <w:tc>
          <w:tcPr>
            <w:tcW w:type="dxa" w:w="4153"/>
          </w:tcPr>
          <w:p>
            <w:pPr>
              <w:pStyle w:val="null3"/>
            </w:pPr>
            <w:r>
              <w:rPr/>
              <w:t>江门市中心医院</w:t>
            </w:r>
          </w:p>
        </w:tc>
      </w:tr>
      <w:tr/>
      <w:tr/>
      <w:tr>
        <w:tc>
          <w:tcPr>
            <w:tcW w:type="dxa" w:w="4153"/>
          </w:tcPr>
          <w:p>
            <w:pPr>
              <w:pStyle w:val="null3"/>
            </w:pPr>
            <w:r>
              <w:rPr/>
              <w:t>付款方式</w:t>
            </w:r>
          </w:p>
        </w:tc>
        <w:tc>
          <w:tcPr>
            <w:tcW w:type="dxa" w:w="4153"/>
          </w:tcPr>
          <w:p>
            <w:pPr>
              <w:pStyle w:val="null3"/>
            </w:pPr>
            <w:r>
              <w:rPr/>
              <w:t>第1期为(预付款)：支付比例30%，合同签订生效后的60个工作日内，将合同总金额的30％支付给中标人；。</w:t>
            </w:r>
          </w:p>
          <w:p>
            <w:pPr>
              <w:pStyle w:val="null3"/>
            </w:pPr>
            <w:r>
              <w:rPr/>
              <w:t>第2期为(进度款)：支付比例60%，产品运到指定地点，安装调试完毕且正常运行后的60个工作日内，将合同总金额的60％支付给中标人；。</w:t>
            </w:r>
          </w:p>
          <w:p>
            <w:pPr>
              <w:pStyle w:val="null3"/>
            </w:pPr>
            <w:r>
              <w:rPr/>
              <w:t>第3期为(进度款)：支付比例10%，设备验收合格后的90个工作日内，将余下款项（合同总金额的10％）支付给中标人。。</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1期：5.1硬件验收要求。 (1)中标人提供全部设备为原装、完整、全新的、符合国家及采购人提出的有关质量标准的设备及部件。凡列入《中华人民共和国实施强制性产品认证的产品目录》的产品在验收时出具CCC认证证书复印件，并以在产品外部加施认证标志作为验收依据之一。 (2) 中标人须提供全部设备、产品、型号、规格、数量、外形、外观、包装及资料、文件（如装箱单、保修单、随箱介质等）等资料，所有设备、器材在开箱时须完好，无破损。配置与装箱单相符。数量、质量及性能不低于合同要求；中标人须提供设备连接并构成完整运行环境所必要的配件、辅件、配线、许可。 (3) 中标人须在硬件验收前，将全部有关产品说明书、原厂家部署手册、技术文件、资料、及部署、验收报告等资料汇集成册交付设备使用单位。 (4) 拆箱后，中标人应协助采购人对全部产品、零件、配件、用户许可证书、资料、介质造册登记，并与装箱单对比，如有出入应立即书面记录，由中标人负责解决，如影响部署则按合同有关条款处理。 (5) 采购人或采购人指定的收货人在收到货物后，应当立即对货物进行签收，以示确认收到合同项下货物。采购人或采购人指定的收货人未履行本合同约定的签收义务，中标人有权拒绝交付合同项下货物，并视为采购人违约不接收货物，中标人不承担因此造成的延迟交货责任。设备如毁损或丢失，在交付给采购人签收前由中标人承担责任，在中标人将设备送到交货地点采购人签收后由采购人承担责任。 5.2 项目验收要求。 货单货物交付并完成安装、调试，连续稳定试运行满30日可交付终验。中标人需提供本次项目硬件设备的原厂维保证明，采购人根据需要组织货物终验。中标人应以书面形式向采购人提交本批次货物的终验申请、货物自验情况。采购人自接到中标人的终验书面申请之日起的7个工作日内需给出该批次货物的书面终验结论，否则中标人有权认为该批次货物通过终验。如果达到招标文件中的验收标准，中标人及采购人在《货物终验报告》上签字，确认该批次订货单货物终验合格。</w:t>
            </w:r>
          </w:p>
        </w:tc>
      </w:tr>
      <w:tr>
        <w:tc>
          <w:tcPr>
            <w:tcW w:type="dxa" w:w="4153"/>
          </w:tcPr>
          <w:p>
            <w:pPr>
              <w:pStyle w:val="null3"/>
            </w:pPr>
            <w:r>
              <w:rPr/>
              <w:t>履约保证金</w:t>
            </w:r>
          </w:p>
        </w:tc>
        <w:tc>
          <w:tcPr>
            <w:tcW w:type="dxa" w:w="4153"/>
          </w:tcPr>
          <w:p>
            <w:pPr>
              <w:pStyle w:val="null3"/>
            </w:pPr>
            <w:r>
              <w:rPr/>
              <w:t>收取比例：5%,说明：1、提交说明： (1)时间：在合同签订生效五个工作日内； (2)金额：项目合同总金额的5%； (3)方式：转账、支票、汇票、本票、保函（保函有效期至合同履约结束）等非现金形式。 2、退还说明： (1)时间、方式和条件：中标人履行完成合同约定权利义务事项在合同期满之日起10个工作日内退还或在合同期满之日起10个工作日内失效。不计利息。 (2)中标人违反合同及其附件约定的任何义务，采购人有权在履约保证金中直接扣除中标人应向采购人支付的违约金或损失赔偿额，如有不足的，中标人应对超过的部分予以赔偿。</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其他办公设备</w:t>
            </w:r>
          </w:p>
        </w:tc>
        <w:tc>
          <w:tcPr>
            <w:tcW w:type="dxa" w:w="831"/>
          </w:tcPr>
          <w:p>
            <w:pPr>
              <w:pStyle w:val="null3"/>
              <w:jc w:val="left"/>
            </w:pPr>
            <w:r>
              <w:rPr/>
              <w:t>云桌面项目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2,200,000.00</w:t>
            </w:r>
          </w:p>
        </w:tc>
        <w:tc>
          <w:tcPr>
            <w:tcW w:type="dxa" w:w="831"/>
          </w:tcPr>
          <w:p>
            <w:pPr>
              <w:pStyle w:val="null3"/>
              <w:jc w:val="right"/>
            </w:pPr>
            <w:r>
              <w:rPr/>
              <w:t>2,200,000.00</w:t>
            </w:r>
          </w:p>
        </w:tc>
        <w:tc>
          <w:tcPr>
            <w:tcW w:type="dxa" w:w="831"/>
          </w:tcPr>
          <w:p>
            <w:pPr>
              <w:pStyle w:val="null3"/>
            </w:pPr>
            <w:r>
              <w:rPr/>
              <w:t>软件和信息技术服务业</w:t>
            </w:r>
          </w:p>
        </w:tc>
        <w:tc>
          <w:tcPr>
            <w:tcW w:type="dxa" w:w="831"/>
          </w:tcPr>
          <w:p>
            <w:pPr>
              <w:pStyle w:val="null3"/>
            </w:pPr>
            <w:r>
              <w:rPr/>
              <w:t>详见附表一</w:t>
            </w:r>
          </w:p>
        </w:tc>
      </w:tr>
    </w:tbl>
    <w:p>
      <w:pPr>
        <w:pStyle w:val="null3"/>
      </w:pPr>
      <w:r>
        <w:rPr>
          <w:b/>
        </w:rPr>
        <w:t>附表</w:t>
      </w:r>
      <w:r>
        <w:rPr>
          <w:b/>
        </w:rPr>
        <w:t>一</w:t>
      </w:r>
      <w:r>
        <w:rPr>
          <w:b/>
        </w:rPr>
        <w:t>：</w:t>
      </w:r>
      <w:r>
        <w:rPr>
          <w:b/>
        </w:rPr>
        <w:t>云桌面项目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江门市中心医院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照差额定率累进法采购代理机构按缴纳采购代理服务费，以中标通知书中的中标金额作为采购代理服务费的计算基数。参照中华人民共和国国家发展计划委员会颁发的计价格〔2002〕1980号、发改办价格〔2003〕857号及发改价格〔2011〕534号文规定的“货物类”计费标准下浮20%计算并缴纳，采购代理服务费不足6000元的按6000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根据实际情况填写。具体情况根据开标(开启)时现场代理机构人员设置为准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w:t>
      </w:r>
    </w:p>
    <w:p>
      <w:pPr>
        <w:pStyle w:val="null3"/>
        <w:ind w:firstLine="480"/>
      </w:pPr>
      <w:r>
        <w:rPr/>
        <w:t>邮编：</w:t>
      </w:r>
      <w:r>
        <w:rPr/>
        <w:t>510020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政府采购监督管理机构名称：江门市财政局</w:t>
      </w:r>
    </w:p>
    <w:p>
      <w:pPr>
        <w:pStyle w:val="null3"/>
      </w:pPr>
      <w:r>
        <w:rPr/>
        <w:t>地 址：江门市蓬江区华园中路21-23号</w:t>
      </w:r>
    </w:p>
    <w:p>
      <w:pPr>
        <w:pStyle w:val="null3"/>
      </w:pPr>
      <w:r>
        <w:rPr/>
        <w:t>电 话：0750-3501936、0750-3501903</w:t>
      </w:r>
    </w:p>
    <w:p>
      <w:pPr>
        <w:pStyle w:val="null3"/>
      </w:pPr>
      <w:r>
        <w:rPr/>
        <w:t>邮 编：529000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采购包1(云桌面项目)：综合评分法,是指投标文件满足招标文件全部实质性要求，且按照评审因素的量化指标评审得分最高的投标人为中标候选人的评标方法。（最低报价不是中标的唯一依据。）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采购包1（云桌面项目）：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采购包1（云桌面项目）：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提供2022-2024年任意一年的财务状况报告或基本开户行出具的资信证明。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按投标（响应）文件格式填报设备及专业技术能力情况或提供承诺函承诺相关内容。</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bl>
    <w:p>
      <w:pPr>
        <w:pStyle w:val="null3"/>
        <w:ind w:firstLine="480"/>
      </w:pPr>
      <w:r>
        <w:rPr/>
        <w:t>表二符合性审查表：</w:t>
      </w:r>
    </w:p>
    <w:p>
      <w:pPr>
        <w:pStyle w:val="null3"/>
      </w:pPr>
      <w:r>
        <w:rPr/>
        <w:t>采购包1（云桌面项目）：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（1）对本采购包全部内容进行投标报价；（2）投标报价是唯一确定的；（3）报价不超过采购预算或最高限价。</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提供有效的代表人证明书及授权委托书。</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其他投标无效情形</w:t>
            </w:r>
          </w:p>
        </w:tc>
        <w:tc>
          <w:tcPr>
            <w:tcW w:type="dxa" w:w="4238"/>
          </w:tcPr>
          <w:p>
            <w:pPr>
              <w:pStyle w:val="null3"/>
            </w:pPr>
            <w:r>
              <w:rPr/>
              <w:t>不存在相关法律法规及招标文件规定的其他投标无效情形。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采购包1(云桌面项目):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商务部分11.0分</w:t>
            </w:r>
          </w:p>
          <w:p>
            <w:pPr>
              <w:pStyle w:val="null3"/>
            </w:pPr>
            <w:r>
              <w:rPr/>
              <w:t>技术部分59.0分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重点技术和服务要求带“▲”条款响应情况 (36.0分)</w:t>
            </w:r>
          </w:p>
        </w:tc>
        <w:tc>
          <w:tcPr>
            <w:tcW w:type="dxa" w:w="5076"/>
          </w:tcPr>
          <w:p>
            <w:pPr>
              <w:pStyle w:val="null3"/>
              <w:jc w:val="left"/>
            </w:pPr>
            <w:r>
              <w:rPr/>
              <w:t>根据投标人的投标文件，对重点技术参数要求带“▲”条款响应情况进行评审：完全满足或优于的得36分，其中带“▲”号技术参数共计16项，每有一项负偏离或不响应的扣2.25分，本项最低扣至0分，扣完为止。 注：标“▲”条款的技术参数，需提供相关证明材料作为得分依据，否则视该条款为负偏离或不响应。</w:t>
            </w:r>
          </w:p>
        </w:tc>
      </w:tr>
      <w:tr>
        <w:tc>
          <w:tcPr>
            <w:tcW w:type="dxa" w:w="922"/>
            <w:gridSpan w:val="2"/>
            <w:vMerge/>
          </w:tcPr>
          <w:p/>
        </w:tc>
        <w:tc>
          <w:tcPr>
            <w:tcW w:type="dxa" w:w="2307"/>
          </w:tcPr>
          <w:p>
            <w:pPr>
              <w:pStyle w:val="null3"/>
              <w:jc w:val="left"/>
            </w:pPr>
            <w:r>
              <w:rPr/>
              <w:t>一般技术参数（非“▲”“«” ）条款响应情况 (4.0分)</w:t>
            </w:r>
          </w:p>
        </w:tc>
        <w:tc>
          <w:tcPr>
            <w:tcW w:type="dxa" w:w="5076"/>
          </w:tcPr>
          <w:p>
            <w:pPr>
              <w:pStyle w:val="null3"/>
              <w:jc w:val="left"/>
            </w:pPr>
            <w:r>
              <w:rPr/>
              <w:t>根据投标人的投标文件，对一般技术参数要求非“▲”“”条款响应情况进行评审：完全满足得4分，否则得0分。</w:t>
            </w:r>
          </w:p>
        </w:tc>
      </w:tr>
      <w:tr>
        <w:tc>
          <w:tcPr>
            <w:tcW w:type="dxa" w:w="922"/>
            <w:gridSpan w:val="2"/>
            <w:vMerge/>
          </w:tcPr>
          <w:p/>
        </w:tc>
        <w:tc>
          <w:tcPr>
            <w:tcW w:type="dxa" w:w="2307"/>
          </w:tcPr>
          <w:p>
            <w:pPr>
              <w:pStyle w:val="null3"/>
              <w:jc w:val="left"/>
            </w:pPr>
            <w:r>
              <w:rPr/>
              <w:t>项目理解 (10.0分)</w:t>
            </w:r>
          </w:p>
        </w:tc>
        <w:tc>
          <w:tcPr>
            <w:tcW w:type="dxa" w:w="5076"/>
          </w:tcPr>
          <w:p>
            <w:pPr>
              <w:pStyle w:val="null3"/>
              <w:jc w:val="left"/>
            </w:pPr>
            <w:r>
              <w:rPr/>
              <w:t>根据投标人提供的投标文件中对项目需求的理解进行评审，本项最高得10分； 优秀（10分：完全理解项目要求（提升运维效率、数据安全、资源集中管理等），技术方案方案清晰阐述如何实现（集中管控），精准关联医院业务价值（保障信息资产安全、降成本、并结合医院长期运营）。 良好（7分）：覆盖主要要求（提升运维效率、数据安全），技术方案基本匹配（集中管控），提及业务价值但未细化（提及降成本等价值，但未结合医院具体场景（如能耗、硬件采购）细化）。 一般（3分）分要求理解偏差，技术方案未清晰体现要求，业务价值模糊。 差（0 分）：完全未理解要求，技术方案与要求无关，无医院业务价值体现。</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根据各投标人提供的售后服务方案进行评审： （1）售后服务承诺； （2）售后服务体系； （3）应急服务措施。 1、售后服务方案内容特别详尽，合理可行，针对性强，应急服务措施科学可行，得5分； 2、售后服务方案内容有缺失项，不太合理，缺乏应急服务措施，得3分； 3、售后服务方案内容未提供或完全不合理，无针对性，不得分。</w:t>
            </w:r>
          </w:p>
        </w:tc>
      </w:tr>
      <w:tr>
        <w:tc>
          <w:tcPr>
            <w:tcW w:type="dxa" w:w="922"/>
            <w:gridSpan w:val="2"/>
            <w:vMerge/>
          </w:tcPr>
          <w:p/>
        </w:tc>
        <w:tc>
          <w:tcPr>
            <w:tcW w:type="dxa" w:w="2307"/>
          </w:tcPr>
          <w:p>
            <w:pPr>
              <w:pStyle w:val="null3"/>
              <w:jc w:val="left"/>
            </w:pPr>
            <w:r>
              <w:rPr/>
              <w:t>实施方案 (4.0分)</w:t>
            </w:r>
          </w:p>
        </w:tc>
        <w:tc>
          <w:tcPr>
            <w:tcW w:type="dxa" w:w="5076"/>
          </w:tcPr>
          <w:p>
            <w:pPr>
              <w:pStyle w:val="null3"/>
              <w:jc w:val="left"/>
            </w:pPr>
            <w:r>
              <w:rPr/>
              <w:t>根据投标实施方案（包括但不限于项目实施计划、项目团队成员、业务割接安排等）进行评审： 1、投标人提供的实施方案详细、可行性高的，得4分； 2、投标人提供的实施方案较详细、可行性较高的，得2分； 3、投标人提供的实施方案不够详细、可行性不高的，得1分； 4、投标人不提供或其他不得分。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企业资质 (6.0分)</w:t>
            </w:r>
          </w:p>
        </w:tc>
        <w:tc>
          <w:tcPr>
            <w:tcW w:type="dxa" w:w="5076"/>
          </w:tcPr>
          <w:p>
            <w:pPr>
              <w:pStyle w:val="null3"/>
              <w:jc w:val="left"/>
            </w:pPr>
            <w:r>
              <w:rPr/>
              <w:t>投标人具有质量管理体系认证证书、环境管理体系认证证书、、职业健康安全管理体系认证证书，每提供1个得2分，最高得6分不提供不得分。（提供证书复印件并加盖投标人公章）</w:t>
            </w:r>
          </w:p>
        </w:tc>
      </w:tr>
      <w:tr>
        <w:tc>
          <w:tcPr>
            <w:tcW w:type="dxa" w:w="922"/>
            <w:gridSpan w:val="2"/>
            <w:vMerge/>
          </w:tcPr>
          <w:p/>
        </w:tc>
        <w:tc>
          <w:tcPr>
            <w:tcW w:type="dxa" w:w="2307"/>
          </w:tcPr>
          <w:p>
            <w:pPr>
              <w:pStyle w:val="null3"/>
              <w:jc w:val="left"/>
            </w:pPr>
            <w:r>
              <w:rPr/>
              <w:t>同类业绩 (5.0分)</w:t>
            </w:r>
          </w:p>
        </w:tc>
        <w:tc>
          <w:tcPr>
            <w:tcW w:type="dxa" w:w="5076"/>
          </w:tcPr>
          <w:p>
            <w:pPr>
              <w:pStyle w:val="null3"/>
              <w:jc w:val="left"/>
            </w:pPr>
            <w:r>
              <w:rPr/>
              <w:t>2021年1月1日至投标截止时间（以合同签订时间为准）投标人有云桌面、虚拟化超融合供应经验，每提供一个得1分，本项最高5分。 注：投标人须提供项目业绩的合同关键页的复印件并加盖公章。未能提供证明材料或证明材料不齐全不清晰的不得分。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2"/>
          <w:b/>
        </w:rPr>
        <w:t>江门市中心医院</w:t>
      </w:r>
    </w:p>
    <w:p>
      <w:pPr>
        <w:pStyle w:val="null3"/>
        <w:jc w:val="center"/>
      </w:pPr>
      <w:r>
        <w:rPr>
          <w:sz w:val="52"/>
          <w:b/>
        </w:rPr>
        <w:t>？？？？？？项目</w:t>
      </w:r>
    </w:p>
    <w:p>
      <w:pPr>
        <w:pStyle w:val="null3"/>
        <w:jc w:val="center"/>
      </w:pPr>
      <w:r>
        <w:rPr>
          <w:sz w:val="52"/>
          <w:b/>
        </w:rPr>
        <w:t>采购合同</w:t>
      </w:r>
    </w:p>
    <w:p>
      <w:pPr>
        <w:pStyle w:val="null3"/>
        <w:jc w:val="center"/>
      </w:pPr>
      <w:r>
        <w:rPr>
          <w:sz w:val="21"/>
          <w:b/>
        </w:rPr>
        <w:t xml:space="preserve">                           </w:t>
      </w:r>
    </w:p>
    <w:p>
      <w:pPr>
        <w:pStyle w:val="null3"/>
        <w:jc w:val="center"/>
      </w:pPr>
      <w:r>
        <w:rPr>
          <w:sz w:val="24"/>
          <w:b/>
        </w:rPr>
        <w:t>采购编号：</w:t>
      </w:r>
      <w:r>
        <w:rPr>
          <w:sz w:val="24"/>
        </w:rPr>
        <w:t>？？？？？？</w:t>
      </w:r>
      <w:r>
        <w:rPr>
          <w:sz w:val="21"/>
          <w:b/>
        </w:rPr>
        <w:t xml:space="preserve">                                </w:t>
      </w:r>
    </w:p>
    <w:p>
      <w:pPr>
        <w:pStyle w:val="null3"/>
        <w:jc w:val="left"/>
      </w:pPr>
      <w:r>
        <w:rPr>
          <w:sz w:val="32"/>
          <w:b/>
          <w:u w:val="single"/>
        </w:rPr>
        <w:t>甲方</w:t>
      </w:r>
      <w:r>
        <w:rPr>
          <w:sz w:val="32"/>
          <w:b/>
          <w:u w:val="single"/>
        </w:rPr>
        <w:t>：</w:t>
      </w:r>
      <w:r>
        <w:rPr>
          <w:sz w:val="32"/>
          <w:b/>
          <w:u w:val="single"/>
        </w:rPr>
        <w:t>江门</w:t>
      </w:r>
      <w:r>
        <w:rPr>
          <w:sz w:val="32"/>
          <w:b/>
          <w:u w:val="single"/>
        </w:rPr>
        <w:t>市中心医院</w:t>
      </w:r>
      <w:r>
        <w:rPr>
          <w:sz w:val="21"/>
          <w:b/>
          <w:u w:val="single"/>
        </w:rPr>
        <w:t xml:space="preserve"> </w:t>
      </w:r>
    </w:p>
    <w:p>
      <w:pPr>
        <w:pStyle w:val="null3"/>
        <w:ind w:firstLine="1285"/>
        <w:jc w:val="left"/>
      </w:pPr>
      <w:r>
        <w:rPr>
          <w:sz w:val="32"/>
          <w:b/>
          <w:u w:val="single"/>
        </w:rPr>
        <w:t>乙方</w:t>
      </w:r>
      <w:r>
        <w:rPr>
          <w:sz w:val="32"/>
          <w:b/>
          <w:u w:val="single"/>
        </w:rPr>
        <w:t>：？？？？有限</w:t>
      </w:r>
      <w:r>
        <w:rPr>
          <w:sz w:val="32"/>
          <w:b/>
          <w:u w:val="single"/>
        </w:rPr>
        <w:t>公司</w:t>
      </w:r>
    </w:p>
    <w:p>
      <w:pPr>
        <w:pStyle w:val="null3"/>
        <w:ind w:firstLine="1285"/>
        <w:jc w:val="left"/>
      </w:pPr>
      <w:r>
        <w:rPr>
          <w:sz w:val="32"/>
          <w:b/>
          <w:u w:val="single"/>
        </w:rPr>
        <w:t>签订</w:t>
      </w:r>
      <w:r>
        <w:rPr>
          <w:sz w:val="32"/>
          <w:b/>
          <w:u w:val="single"/>
        </w:rPr>
        <w:t>地点：</w:t>
      </w:r>
      <w:r>
        <w:rPr>
          <w:sz w:val="32"/>
          <w:b/>
          <w:u w:val="single"/>
        </w:rPr>
        <w:t>广东省江门</w:t>
      </w:r>
      <w:r>
        <w:rPr>
          <w:sz w:val="32"/>
          <w:b/>
          <w:u w:val="single"/>
        </w:rPr>
        <w:t>市</w:t>
      </w:r>
      <w:r>
        <w:rPr>
          <w:sz w:val="32"/>
          <w:b/>
          <w:u w:val="single"/>
        </w:rPr>
        <w:t>蓬江区</w:t>
      </w:r>
    </w:p>
    <w:p>
      <w:pPr>
        <w:pStyle w:val="null3"/>
        <w:jc w:val="left"/>
      </w:pPr>
      <w:r>
        <w:rPr>
          <w:sz w:val="24"/>
          <w:b/>
        </w:rPr>
        <w:t>购货单位：</w:t>
      </w:r>
      <w:r>
        <w:rPr>
          <w:sz w:val="24"/>
          <w:b/>
          <w:u w:val="single"/>
        </w:rPr>
        <w:t>江门市中心医院</w:t>
      </w:r>
      <w:r>
        <w:rPr>
          <w:sz w:val="21"/>
          <w:b/>
          <w:u w:val="single"/>
        </w:rPr>
        <w:t xml:space="preserve">   </w:t>
      </w:r>
      <w:r>
        <w:rPr>
          <w:sz w:val="24"/>
          <w:b/>
        </w:rPr>
        <w:t>（以下简称甲方）</w:t>
      </w:r>
    </w:p>
    <w:p>
      <w:pPr>
        <w:pStyle w:val="null3"/>
        <w:jc w:val="both"/>
      </w:pPr>
      <w:r>
        <w:rPr>
          <w:sz w:val="24"/>
          <w:b/>
        </w:rPr>
        <w:t>供货单位：</w:t>
      </w:r>
      <w:r>
        <w:rPr>
          <w:sz w:val="24"/>
          <w:b/>
          <w:u w:val="single"/>
        </w:rPr>
        <w:t>？？？？？？？？有限公司</w:t>
      </w:r>
      <w:r>
        <w:rPr>
          <w:sz w:val="24"/>
          <w:b/>
        </w:rPr>
        <w:t>（以下简称乙方）</w:t>
      </w:r>
    </w:p>
    <w:p>
      <w:pPr>
        <w:pStyle w:val="null3"/>
        <w:ind w:firstLine="480"/>
        <w:jc w:val="both"/>
      </w:pPr>
      <w:r>
        <w:rPr>
          <w:sz w:val="24"/>
        </w:rPr>
        <w:t>甲乙双方根据《中华人民共和国民法典》、《中华人民共和国政府采购法》等有关法律法规的规定，按照</w:t>
      </w:r>
      <w:r>
        <w:rPr>
          <w:sz w:val="21"/>
          <w:u w:val="single"/>
        </w:rPr>
        <w:t xml:space="preserve"> </w:t>
      </w:r>
      <w:r>
        <w:rPr>
          <w:sz w:val="24"/>
          <w:u w:val="single"/>
        </w:rPr>
        <w:t>江门市中心医院？？？？？？项目（采购编号：？？？？？）</w:t>
      </w:r>
      <w:r>
        <w:rPr>
          <w:sz w:val="24"/>
        </w:rPr>
        <w:t>的采购结果、招标文件、乙方的投标文件及澄清文件和中标通知书的要求，经双方协商一致，订立合同如下：</w:t>
      </w:r>
    </w:p>
    <w:p>
      <w:pPr>
        <w:pStyle w:val="null3"/>
        <w:ind w:firstLine="482"/>
        <w:jc w:val="left"/>
      </w:pPr>
      <w:r>
        <w:rPr>
          <w:sz w:val="24"/>
          <w:b/>
        </w:rPr>
        <w:t>第一条</w:t>
      </w:r>
      <w:r>
        <w:rPr>
          <w:sz w:val="24"/>
          <w:b/>
        </w:rPr>
        <w:t xml:space="preserve">  </w:t>
      </w:r>
      <w:r>
        <w:rPr>
          <w:sz w:val="24"/>
          <w:b/>
        </w:rPr>
        <w:t>项目的名称、项目总价和项目产品的清单（名称、数量、规格、单价、型号、品牌和技术指标等）</w:t>
      </w:r>
    </w:p>
    <w:p>
      <w:pPr>
        <w:pStyle w:val="null3"/>
        <w:ind w:firstLine="480"/>
        <w:jc w:val="both"/>
      </w:pPr>
      <w:r>
        <w:rPr>
          <w:sz w:val="24"/>
        </w:rPr>
        <w:t>（一）项目名称：</w:t>
      </w:r>
      <w:r>
        <w:rPr>
          <w:sz w:val="21"/>
          <w:u w:val="single"/>
        </w:rPr>
        <w:t xml:space="preserve"> </w:t>
      </w:r>
      <w:r>
        <w:rPr>
          <w:sz w:val="24"/>
          <w:u w:val="single"/>
        </w:rPr>
        <w:t>江门市中心医院？？？？？项目</w:t>
      </w:r>
      <w:r>
        <w:rPr>
          <w:sz w:val="24"/>
        </w:rPr>
        <w:t>；（以下简称</w:t>
      </w:r>
      <w:r>
        <w:rPr>
          <w:sz w:val="24"/>
        </w:rPr>
        <w:t>“本项目”）。</w:t>
      </w:r>
    </w:p>
    <w:p>
      <w:pPr>
        <w:pStyle w:val="null3"/>
        <w:ind w:firstLine="480"/>
        <w:jc w:val="both"/>
      </w:pPr>
      <w:r>
        <w:rPr>
          <w:sz w:val="24"/>
        </w:rPr>
        <w:t>（二）项目总价是完成项目的含税全包价，包括但不限于本合同约定的设备（包括但不限于厂家标准配置所包括的全部零配件、备品备件及专用工具等）的制造、装卸、运输、保险、安装、调试、验收、售后服务、培训、技术文件（包括但不限于相应的操作手册、维护手册、质量保证文件及服务指南等）、其他伴随服务、关税、销售税、其他税等。所有价格变动的风险均由乙方承担，甲方不需再向乙方支付任何其他费用。</w:t>
      </w:r>
    </w:p>
    <w:p>
      <w:pPr>
        <w:pStyle w:val="null3"/>
        <w:ind w:firstLine="480"/>
        <w:jc w:val="both"/>
      </w:pPr>
      <w:r>
        <w:rPr>
          <w:sz w:val="24"/>
        </w:rPr>
        <w:t>项目总价为（小写）</w:t>
      </w:r>
      <w:r>
        <w:rPr>
          <w:sz w:val="24"/>
          <w:u w:val="single"/>
        </w:rPr>
        <w:t>？？</w:t>
      </w:r>
      <w:r>
        <w:rPr>
          <w:sz w:val="24"/>
          <w:u w:val="single"/>
        </w:rPr>
        <w:t>.00</w:t>
      </w:r>
      <w:r>
        <w:rPr>
          <w:sz w:val="24"/>
          <w:u w:val="single"/>
        </w:rPr>
        <w:t>元</w:t>
      </w:r>
      <w:r>
        <w:rPr>
          <w:sz w:val="24"/>
        </w:rPr>
        <w:t>；（大写）</w:t>
      </w:r>
      <w:r>
        <w:rPr>
          <w:sz w:val="24"/>
          <w:u w:val="single"/>
        </w:rPr>
        <w:t>人民币？？？元整</w:t>
      </w:r>
      <w:r>
        <w:rPr>
          <w:sz w:val="24"/>
        </w:rPr>
        <w:t>；</w:t>
      </w:r>
      <w:r>
        <w:rPr>
          <w:sz w:val="21"/>
        </w:rPr>
        <w:t>（其中增值税税款：</w:t>
      </w:r>
      <w:r>
        <w:rPr>
          <w:sz w:val="21"/>
          <w:b/>
        </w:rPr>
        <w:t>XXX元</w:t>
      </w:r>
      <w:r>
        <w:rPr>
          <w:sz w:val="21"/>
        </w:rPr>
        <w:t>，税率</w:t>
      </w:r>
      <w:r>
        <w:rPr>
          <w:sz w:val="21"/>
          <w:b/>
        </w:rPr>
        <w:t>XX%</w:t>
      </w:r>
      <w:r>
        <w:rPr>
          <w:sz w:val="21"/>
        </w:rPr>
        <w:t>）</w:t>
      </w:r>
    </w:p>
    <w:p>
      <w:pPr>
        <w:pStyle w:val="null3"/>
        <w:ind w:firstLine="480"/>
        <w:jc w:val="both"/>
      </w:pPr>
      <w:r>
        <w:rPr>
          <w:sz w:val="24"/>
        </w:rPr>
        <w:t>（三）货物及配置清单：</w:t>
      </w:r>
      <w:r>
        <w:rPr>
          <w:sz w:val="21"/>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578"/>
        <w:gridCol w:w="978"/>
        <w:gridCol w:w="4360"/>
        <w:gridCol w:w="697"/>
        <w:gridCol w:w="548"/>
        <w:gridCol w:w="1097"/>
      </w:tblGrid>
      <w:tr>
        <w:tc>
          <w:tcPr>
            <w:tcW w:type="dxa" w:w="578"/>
            <w:tcBorders>
              <w:top w:val="singl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b/>
              </w:rPr>
              <w:t>序号</w:t>
            </w:r>
          </w:p>
        </w:tc>
        <w:tc>
          <w:tcPr>
            <w:tcW w:type="dxa" w:w="978"/>
            <w:tcBorders>
              <w:top w:val="singl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b/>
              </w:rPr>
              <w:t>产品名称</w:t>
            </w:r>
          </w:p>
        </w:tc>
        <w:tc>
          <w:tcPr>
            <w:tcW w:type="dxa" w:w="4360"/>
            <w:tcBorders>
              <w:top w:val="singl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b/>
              </w:rPr>
              <w:t>品牌</w:t>
            </w:r>
            <w:r>
              <w:rPr>
                <w:sz w:val="21"/>
                <w:b/>
              </w:rPr>
              <w:t>/规格型号</w:t>
            </w:r>
          </w:p>
        </w:tc>
        <w:tc>
          <w:tcPr>
            <w:tcW w:type="dxa" w:w="697"/>
            <w:tcBorders>
              <w:top w:val="singl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b/>
              </w:rPr>
              <w:t>产地</w:t>
            </w:r>
          </w:p>
        </w:tc>
        <w:tc>
          <w:tcPr>
            <w:tcW w:type="dxa" w:w="548"/>
            <w:tcBorders>
              <w:top w:val="singl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b/>
              </w:rPr>
              <w:t>数量</w:t>
            </w:r>
          </w:p>
        </w:tc>
        <w:tc>
          <w:tcPr>
            <w:tcW w:type="dxa" w:w="1097"/>
            <w:tcBorders>
              <w:top w:val="singl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b/>
              </w:rPr>
              <w:t>价格（元）</w:t>
            </w:r>
          </w:p>
        </w:tc>
      </w:tr>
      <w:tr>
        <w:tc>
          <w:tcPr>
            <w:tcW w:type="dxa" w:w="578"/>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1</w:t>
            </w:r>
          </w:p>
        </w:tc>
        <w:tc>
          <w:tcPr>
            <w:tcW w:type="dxa" w:w="978"/>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both"/>
            </w:pPr>
          </w:p>
        </w:tc>
        <w:tc>
          <w:tcPr>
            <w:tcW w:type="dxa" w:w="4360"/>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tc>
        <w:tc>
          <w:tcPr>
            <w:tcW w:type="dxa" w:w="697"/>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tc>
        <w:tc>
          <w:tcPr>
            <w:tcW w:type="dxa" w:w="548"/>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tc>
        <w:tc>
          <w:tcPr>
            <w:tcW w:type="dxa" w:w="1097"/>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tc>
      </w:tr>
      <w:tr>
        <w:tc>
          <w:tcPr>
            <w:tcW w:type="dxa" w:w="578"/>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tc>
        <w:tc>
          <w:tcPr>
            <w:tcW w:type="dxa" w:w="978"/>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tc>
        <w:tc>
          <w:tcPr>
            <w:tcW w:type="dxa" w:w="4360"/>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tc>
        <w:tc>
          <w:tcPr>
            <w:tcW w:type="dxa" w:w="697"/>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tc>
        <w:tc>
          <w:tcPr>
            <w:tcW w:type="dxa" w:w="548"/>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tc>
        <w:tc>
          <w:tcPr>
            <w:tcW w:type="dxa" w:w="1097"/>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tc>
      </w:tr>
      <w:tr>
        <w:tc>
          <w:tcPr>
            <w:tcW w:type="dxa" w:w="578"/>
            <w:vMerge w:val="restart"/>
            <w:tcBorders>
              <w:top w:val="none" w:color="000000" w:sz="4"/>
              <w:left w:val="single" w:color="000000" w:sz="4"/>
              <w:bottom w:val="none" w:color="000000" w:sz="4"/>
              <w:right w:val="single" w:color="000000" w:sz="4"/>
            </w:tcBorders>
            <w:tcMar>
              <w:top w:type="dxa" w:w="0"/>
              <w:left w:type="dxa" w:w="45"/>
              <w:bottom w:type="dxa" w:w="0"/>
              <w:right w:type="dxa" w:w="45"/>
            </w:tcMar>
            <w:vAlign w:val="top"/>
          </w:tcPr>
          <w:p/>
        </w:tc>
        <w:tc>
          <w:tcPr>
            <w:tcW w:type="dxa" w:w="978"/>
            <w:vMerge w:val="restart"/>
            <w:tcBorders>
              <w:top w:val="none" w:color="000000" w:sz="4"/>
              <w:left w:val="none" w:color="000000" w:sz="4"/>
              <w:bottom w:val="none" w:color="000000" w:sz="4"/>
              <w:right w:val="single" w:color="000000" w:sz="4"/>
            </w:tcBorders>
            <w:tcMar>
              <w:top w:type="dxa" w:w="0"/>
              <w:left w:type="dxa" w:w="45"/>
              <w:bottom w:type="dxa" w:w="0"/>
              <w:right w:type="dxa" w:w="45"/>
            </w:tcMar>
            <w:vAlign w:val="top"/>
          </w:tcPr>
          <w:p>
            <w:pPr>
              <w:pStyle w:val="null3"/>
              <w:jc w:val="left"/>
            </w:pPr>
            <w:r>
              <w:rPr>
                <w:sz w:val="24"/>
              </w:rPr>
              <w:t>项目总价（元）</w:t>
            </w:r>
          </w:p>
        </w:tc>
        <w:tc>
          <w:tcPr>
            <w:tcW w:type="dxa" w:w="6702"/>
            <w:gridSpan w:val="4"/>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both"/>
            </w:pPr>
            <w:r>
              <w:rPr>
                <w:sz w:val="24"/>
              </w:rPr>
              <w:t>小写：？？</w:t>
            </w:r>
            <w:r>
              <w:rPr>
                <w:sz w:val="24"/>
              </w:rPr>
              <w:t>.00</w:t>
            </w:r>
          </w:p>
        </w:tc>
      </w:tr>
      <w:tr>
        <w:tc>
          <w:tcPr>
            <w:tcW w:type="dxa" w:w="578"/>
            <w:vMerge/>
            <w:tcBorders>
              <w:top w:val="none" w:color="000000" w:sz="4"/>
              <w:left w:val="single" w:color="000000" w:sz="4"/>
              <w:bottom w:val="none" w:color="000000" w:sz="4"/>
              <w:right w:val="single" w:color="000000" w:sz="4"/>
            </w:tcBorders>
          </w:tcPr>
          <w:p/>
        </w:tc>
        <w:tc>
          <w:tcPr>
            <w:tcW w:type="dxa" w:w="978"/>
            <w:vMerge/>
            <w:tcBorders>
              <w:top w:val="none" w:color="000000" w:sz="4"/>
              <w:left w:val="none" w:color="000000" w:sz="4"/>
              <w:bottom w:val="none" w:color="000000" w:sz="4"/>
              <w:right w:val="single" w:color="000000" w:sz="4"/>
            </w:tcBorders>
          </w:tcPr>
          <w:p/>
        </w:tc>
        <w:tc>
          <w:tcPr>
            <w:tcW w:type="dxa" w:w="6702"/>
            <w:gridSpan w:val="4"/>
            <w:tcBorders>
              <w:top w:val="none" w:color="000000" w:sz="4"/>
              <w:left w:val="none" w:color="000000" w:sz="4"/>
              <w:bottom w:val="single" w:color="000000" w:sz="4"/>
              <w:right w:val="single" w:color="000000" w:sz="4"/>
            </w:tcBorders>
            <w:tcMar>
              <w:top w:type="dxa" w:w="0"/>
              <w:left w:type="dxa" w:w="45"/>
              <w:bottom w:type="dxa" w:w="0"/>
              <w:right w:type="dxa" w:w="45"/>
            </w:tcMar>
            <w:vAlign w:val="top"/>
          </w:tcPr>
          <w:p>
            <w:pPr>
              <w:pStyle w:val="null3"/>
              <w:jc w:val="both"/>
            </w:pPr>
            <w:r>
              <w:rPr>
                <w:sz w:val="24"/>
              </w:rPr>
              <w:t>大写：？？？整</w:t>
            </w:r>
          </w:p>
        </w:tc>
      </w:tr>
    </w:tbl>
    <w:p>
      <w:pPr>
        <w:pStyle w:val="null3"/>
        <w:ind w:firstLine="480"/>
        <w:jc w:val="both"/>
      </w:pPr>
      <w:r>
        <w:rPr>
          <w:sz w:val="24"/>
        </w:rPr>
        <w:t>（四）服务内容：按照本合同约定、招标文件、乙方的投标文件、澄清文件</w:t>
      </w:r>
      <w:r>
        <w:rPr>
          <w:sz w:val="24"/>
        </w:rPr>
        <w:t>和中标通知书的要求执行。</w:t>
      </w:r>
    </w:p>
    <w:p>
      <w:pPr>
        <w:pStyle w:val="null3"/>
        <w:ind w:firstLine="482"/>
        <w:jc w:val="both"/>
      </w:pPr>
      <w:r>
        <w:rPr>
          <w:sz w:val="24"/>
          <w:b/>
        </w:rPr>
        <w:t xml:space="preserve"> </w:t>
      </w:r>
      <w:r>
        <w:rPr>
          <w:sz w:val="24"/>
          <w:b/>
        </w:rPr>
        <w:t>第二条</w:t>
      </w:r>
      <w:r>
        <w:rPr>
          <w:sz w:val="24"/>
          <w:b/>
        </w:rPr>
        <w:t>货物的质量要求、售后服务及损害赔偿</w:t>
      </w:r>
    </w:p>
    <w:p>
      <w:pPr>
        <w:pStyle w:val="null3"/>
        <w:ind w:firstLine="480"/>
        <w:jc w:val="both"/>
      </w:pPr>
      <w:r>
        <w:rPr>
          <w:sz w:val="24"/>
        </w:rPr>
        <w:t>（一）货物的质量要求：</w:t>
      </w:r>
      <w:r>
        <w:rPr>
          <w:sz w:val="24"/>
        </w:rPr>
        <w:t>符合国家有关标准、制造厂家标准，按照本合同约定、招标文件、乙方的投标文件、澄清文件和中标通知书的要求执行</w:t>
      </w:r>
      <w:r>
        <w:rPr>
          <w:sz w:val="24"/>
        </w:rPr>
        <w:t>。</w:t>
      </w:r>
    </w:p>
    <w:p>
      <w:pPr>
        <w:pStyle w:val="null3"/>
        <w:ind w:firstLine="480"/>
        <w:jc w:val="both"/>
      </w:pPr>
      <w:r>
        <w:rPr>
          <w:sz w:val="24"/>
        </w:rPr>
        <w:t>（二）售后服务要求：</w:t>
      </w:r>
    </w:p>
    <w:p>
      <w:pPr>
        <w:pStyle w:val="null3"/>
        <w:ind w:left="120" w:firstLine="360"/>
        <w:jc w:val="both"/>
      </w:pPr>
      <w:r>
        <w:rPr>
          <w:sz w:val="24"/>
        </w:rPr>
        <w:t>1、乙方须有属乙方本公司的可随时上门为甲方作维修及检测的工程师，设备出现故障时能在</w:t>
      </w:r>
      <w:r>
        <w:rPr>
          <w:sz w:val="24"/>
          <w:u w:val="single"/>
        </w:rPr>
        <w:t xml:space="preserve">  </w:t>
      </w:r>
      <w:r>
        <w:rPr>
          <w:sz w:val="24"/>
          <w:u w:val="single"/>
        </w:rPr>
        <w:t>小时</w:t>
      </w:r>
      <w:r>
        <w:rPr>
          <w:sz w:val="24"/>
        </w:rPr>
        <w:t>内上门维修；</w:t>
      </w:r>
    </w:p>
    <w:p>
      <w:pPr>
        <w:pStyle w:val="null3"/>
        <w:ind w:firstLine="480"/>
        <w:jc w:val="both"/>
      </w:pPr>
      <w:r>
        <w:rPr>
          <w:sz w:val="24"/>
        </w:rPr>
        <w:t>2、</w:t>
      </w:r>
      <w:r>
        <w:rPr>
          <w:sz w:val="24"/>
        </w:rPr>
        <w:t>本合同下所有设备保修期</w:t>
      </w:r>
      <w:r>
        <w:rPr>
          <w:sz w:val="21"/>
          <w:u w:val="single"/>
        </w:rPr>
        <w:t xml:space="preserve">   </w:t>
      </w:r>
      <w:r>
        <w:rPr>
          <w:sz w:val="24"/>
        </w:rPr>
        <w:t>年</w:t>
      </w:r>
      <w:r>
        <w:rPr>
          <w:sz w:val="24"/>
        </w:rPr>
        <w:t>，保修期内，乙方负责免费维修，免费维修的范围包括但不限于更换零件费用及维修工时费等；保修期自本合同项下的设备经甲乙双方验收合格之日起计算。乙方终身提供技术咨询及设备维护；</w:t>
      </w:r>
    </w:p>
    <w:p>
      <w:pPr>
        <w:pStyle w:val="null3"/>
        <w:ind w:firstLine="480"/>
        <w:jc w:val="both"/>
      </w:pPr>
      <w:r>
        <w:rPr>
          <w:sz w:val="24"/>
        </w:rPr>
        <w:t>3、乙方负责现场或厂家培训甲方有关技术人员，直至掌握操作技术为止。</w:t>
      </w:r>
    </w:p>
    <w:p>
      <w:pPr>
        <w:pStyle w:val="null3"/>
        <w:ind w:firstLine="480"/>
        <w:jc w:val="both"/>
      </w:pPr>
      <w:r>
        <w:rPr>
          <w:sz w:val="24"/>
        </w:rPr>
        <w:t>4、具体售后服务要求：</w:t>
      </w:r>
    </w:p>
    <w:p>
      <w:pPr>
        <w:pStyle w:val="null3"/>
      </w:pPr>
      <w:r>
        <w:rPr>
          <w:sz w:val="24"/>
        </w:rPr>
        <w:t>（</w:t>
      </w:r>
      <w:r>
        <w:rPr>
          <w:sz w:val="24"/>
        </w:rPr>
        <w:t>1）自验收合格之日起，所投报的产品提供</w:t>
      </w:r>
      <w:r>
        <w:rPr>
          <w:sz w:val="24"/>
        </w:rPr>
        <w:t>硬件免费保修</w:t>
      </w:r>
      <w:r>
        <w:rPr>
          <w:u w:val="single"/>
        </w:rPr>
        <w:t xml:space="preserve"> </w:t>
      </w:r>
      <w:r>
        <w:rPr>
          <w:sz w:val="24"/>
          <w:u w:val="single"/>
        </w:rPr>
        <w:t>5</w:t>
      </w:r>
      <w:r>
        <w:rPr>
          <w:u w:val="single"/>
        </w:rPr>
        <w:t xml:space="preserve"> </w:t>
      </w:r>
      <w:r>
        <w:rPr>
          <w:sz w:val="24"/>
        </w:rPr>
        <w:t>年，软件免费保修</w:t>
      </w:r>
      <w:r>
        <w:rPr>
          <w:sz w:val="24"/>
          <w:u w:val="single"/>
        </w:rPr>
        <w:t xml:space="preserve">   </w:t>
      </w:r>
      <w:r>
        <w:rPr>
          <w:sz w:val="24"/>
          <w:u w:val="single"/>
        </w:rPr>
        <w:t>_</w:t>
      </w:r>
      <w:r>
        <w:rPr>
          <w:sz w:val="24"/>
        </w:rPr>
        <w:t>年</w:t>
      </w:r>
      <w:r>
        <w:rPr>
          <w:sz w:val="24"/>
        </w:rPr>
        <w:t>，保修期内维护及提供备品、备件的费用包含在本项目内。质保期内，所购设备发生非人为故障，</w:t>
      </w:r>
      <w:r>
        <w:rPr>
          <w:sz w:val="24"/>
        </w:rPr>
        <w:t>乙方</w:t>
      </w:r>
      <w:r>
        <w:rPr>
          <w:sz w:val="24"/>
        </w:rPr>
        <w:t>应上门维修。</w:t>
      </w:r>
    </w:p>
    <w:p>
      <w:pPr>
        <w:pStyle w:val="null3"/>
      </w:pPr>
      <w:r>
        <w:rPr>
          <w:sz w:val="24"/>
        </w:rPr>
        <w:t>（</w:t>
      </w:r>
      <w:r>
        <w:rPr>
          <w:sz w:val="24"/>
        </w:rPr>
        <w:t>2）设备发生故障后，自报障时起算，</w:t>
      </w:r>
      <w:r>
        <w:rPr>
          <w:u w:val="single"/>
        </w:rPr>
        <w:t xml:space="preserve">   </w:t>
      </w:r>
      <w:r>
        <w:rPr>
          <w:sz w:val="24"/>
        </w:rPr>
        <w:t>小时内响应，</w:t>
      </w:r>
      <w:r>
        <w:rPr>
          <w:u w:val="single"/>
        </w:rPr>
        <w:t xml:space="preserve">   </w:t>
      </w:r>
      <w:r>
        <w:rPr>
          <w:sz w:val="24"/>
        </w:rPr>
        <w:t>小时内到达现场，</w:t>
      </w:r>
      <w:r>
        <w:rPr>
          <w:u w:val="single"/>
        </w:rPr>
        <w:t xml:space="preserve">   </w:t>
      </w:r>
      <w:r>
        <w:rPr>
          <w:sz w:val="24"/>
        </w:rPr>
        <w:t>小时内解决问题。如果设备故障在规定时间内仍无法排除，</w:t>
      </w:r>
      <w:r>
        <w:rPr>
          <w:sz w:val="24"/>
        </w:rPr>
        <w:t>乙方</w:t>
      </w:r>
      <w:r>
        <w:rPr>
          <w:sz w:val="24"/>
        </w:rPr>
        <w:t>应在随后</w:t>
      </w:r>
      <w:r>
        <w:rPr>
          <w:u w:val="single"/>
        </w:rPr>
        <w:t xml:space="preserve">   </w:t>
      </w:r>
      <w:r>
        <w:rPr>
          <w:sz w:val="24"/>
        </w:rPr>
        <w:t>小时内提供不低于故障设备规格型号档次的备用设备供</w:t>
      </w:r>
      <w:r>
        <w:rPr>
          <w:sz w:val="24"/>
        </w:rPr>
        <w:t>甲方</w:t>
      </w:r>
      <w:r>
        <w:rPr>
          <w:sz w:val="24"/>
        </w:rPr>
        <w:t>代替使用，直至故障设备修复，确保设备的正常使用。</w:t>
      </w:r>
    </w:p>
    <w:p>
      <w:pPr>
        <w:pStyle w:val="null3"/>
        <w:ind w:firstLine="480"/>
        <w:jc w:val="both"/>
      </w:pPr>
      <w:r>
        <w:rPr>
          <w:sz w:val="24"/>
        </w:rPr>
        <w:t>（</w:t>
      </w:r>
      <w:r>
        <w:rPr>
          <w:sz w:val="24"/>
        </w:rPr>
        <w:t>3）</w:t>
      </w:r>
      <w:r>
        <w:rPr>
          <w:sz w:val="24"/>
        </w:rPr>
        <w:t>乙方提供</w:t>
      </w:r>
      <w:r>
        <w:rPr>
          <w:sz w:val="24"/>
        </w:rPr>
        <w:t>专门的售后服务队伍，提供</w:t>
      </w:r>
      <w:r>
        <w:rPr>
          <w:sz w:val="24"/>
          <w:u w:val="single"/>
        </w:rPr>
        <w:t>24小时</w:t>
      </w:r>
      <w:r>
        <w:rPr>
          <w:sz w:val="24"/>
        </w:rPr>
        <w:t>服务热线、</w:t>
      </w:r>
      <w:r>
        <w:rPr>
          <w:sz w:val="24"/>
          <w:u w:val="single"/>
        </w:rPr>
        <w:t>7×24</w:t>
      </w:r>
      <w:r>
        <w:rPr>
          <w:sz w:val="24"/>
        </w:rPr>
        <w:t>的上门服务等售后服务。</w:t>
      </w:r>
      <w:r>
        <w:rPr>
          <w:sz w:val="24"/>
        </w:rPr>
        <w:t>紧急情况下（例如项目出现故障影响甲方工作等），乙方须按照甲方另行规定的合理时间响应及解决故障。</w:t>
      </w:r>
    </w:p>
    <w:p>
      <w:pPr>
        <w:pStyle w:val="null3"/>
        <w:ind w:firstLine="480"/>
        <w:jc w:val="both"/>
      </w:pPr>
      <w:r>
        <w:rPr>
          <w:sz w:val="24"/>
        </w:rPr>
        <w:t>（三）如因乙方货物质量或设计原因，导致甲方损失，乙方应予以赔偿。</w:t>
      </w:r>
    </w:p>
    <w:p>
      <w:pPr>
        <w:pStyle w:val="null3"/>
        <w:ind w:firstLine="482"/>
        <w:jc w:val="left"/>
      </w:pPr>
      <w:r>
        <w:rPr>
          <w:sz w:val="24"/>
          <w:b/>
        </w:rPr>
        <w:t>第三条</w:t>
      </w:r>
      <w:r>
        <w:rPr>
          <w:sz w:val="24"/>
          <w:b/>
        </w:rPr>
        <w:t xml:space="preserve">  </w:t>
      </w:r>
      <w:r>
        <w:rPr>
          <w:sz w:val="24"/>
          <w:b/>
        </w:rPr>
        <w:t>交货和安装</w:t>
      </w:r>
    </w:p>
    <w:p>
      <w:pPr>
        <w:pStyle w:val="null3"/>
        <w:ind w:firstLine="480"/>
        <w:jc w:val="both"/>
      </w:pPr>
      <w:r>
        <w:rPr>
          <w:sz w:val="24"/>
        </w:rPr>
        <w:t>（一）完工期：合同签订生效后</w:t>
      </w:r>
      <w:r>
        <w:rPr>
          <w:sz w:val="21"/>
          <w:u w:val="single"/>
        </w:rPr>
        <w:t xml:space="preserve">   </w:t>
      </w:r>
      <w:r>
        <w:rPr>
          <w:sz w:val="24"/>
        </w:rPr>
        <w:t>个工作日内完成交货、安装调试并正式交付。</w:t>
      </w:r>
    </w:p>
    <w:p>
      <w:pPr>
        <w:pStyle w:val="null3"/>
        <w:ind w:firstLine="480"/>
        <w:jc w:val="both"/>
      </w:pPr>
      <w:r>
        <w:rPr>
          <w:sz w:val="24"/>
        </w:rPr>
        <w:t>（二）交货方式：乙方负责将产品送至</w:t>
      </w:r>
      <w:r>
        <w:rPr>
          <w:sz w:val="24"/>
        </w:rPr>
        <w:t>江门</w:t>
      </w:r>
      <w:r>
        <w:rPr>
          <w:sz w:val="24"/>
        </w:rPr>
        <w:t>市</w:t>
      </w:r>
      <w:r>
        <w:rPr>
          <w:sz w:val="24"/>
        </w:rPr>
        <w:t>中心</w:t>
      </w:r>
      <w:r>
        <w:rPr>
          <w:sz w:val="24"/>
        </w:rPr>
        <w:t>医院</w:t>
      </w:r>
      <w:r>
        <w:rPr>
          <w:sz w:val="24"/>
        </w:rPr>
        <w:t>。</w:t>
      </w:r>
    </w:p>
    <w:p>
      <w:pPr>
        <w:pStyle w:val="null3"/>
        <w:ind w:firstLine="480"/>
        <w:jc w:val="both"/>
      </w:pPr>
      <w:r>
        <w:rPr>
          <w:sz w:val="24"/>
        </w:rPr>
        <w:t>（三）乙方应提供设备的技术文件，包括相应的操作手册、维护手册、质量保证文件、服务指南等，这些文件应随同设备一起发运至甲方。</w:t>
      </w:r>
    </w:p>
    <w:p>
      <w:pPr>
        <w:pStyle w:val="null3"/>
        <w:jc w:val="both"/>
      </w:pPr>
      <w:r>
        <w:rPr>
          <w:sz w:val="21"/>
        </w:rPr>
        <w:t xml:space="preserve">    </w:t>
      </w:r>
      <w:r>
        <w:rPr>
          <w:sz w:val="24"/>
          <w:b/>
        </w:rPr>
        <w:t>第四条</w:t>
      </w:r>
      <w:r>
        <w:rPr>
          <w:sz w:val="24"/>
          <w:b/>
        </w:rPr>
        <w:t xml:space="preserve">  </w:t>
      </w:r>
      <w:r>
        <w:rPr>
          <w:sz w:val="24"/>
          <w:b/>
        </w:rPr>
        <w:t>货款的结算</w:t>
      </w:r>
    </w:p>
    <w:p>
      <w:pPr>
        <w:pStyle w:val="null3"/>
        <w:ind w:firstLine="477"/>
        <w:jc w:val="left"/>
      </w:pPr>
      <w:r>
        <w:rPr>
          <w:sz w:val="24"/>
        </w:rPr>
        <w:t>（一）合同签订生效后的</w:t>
      </w:r>
      <w:r>
        <w:rPr>
          <w:sz w:val="24"/>
          <w:u w:val="single"/>
        </w:rPr>
        <w:t>60个</w:t>
      </w:r>
      <w:r>
        <w:rPr>
          <w:sz w:val="24"/>
        </w:rPr>
        <w:t>工作日内，将合同总金额的</w:t>
      </w:r>
      <w:r>
        <w:rPr>
          <w:sz w:val="24"/>
          <w:b/>
        </w:rPr>
        <w:t>30％</w:t>
      </w:r>
      <w:r>
        <w:rPr>
          <w:sz w:val="24"/>
        </w:rPr>
        <w:t>支付给乙方；即小写：？？元（大写：人民币？？万？？仟？？佰元整）；</w:t>
      </w:r>
    </w:p>
    <w:p>
      <w:pPr>
        <w:pStyle w:val="null3"/>
        <w:ind w:firstLine="477"/>
        <w:jc w:val="left"/>
      </w:pPr>
      <w:r>
        <w:rPr>
          <w:sz w:val="24"/>
        </w:rPr>
        <w:t>（二）产品运到指定地点，安装调试完毕且正常运行后的</w:t>
      </w:r>
      <w:r>
        <w:rPr>
          <w:sz w:val="24"/>
          <w:u w:val="single"/>
        </w:rPr>
        <w:t>60个</w:t>
      </w:r>
      <w:r>
        <w:rPr>
          <w:sz w:val="24"/>
        </w:rPr>
        <w:t>工作日内，将合同总金额的</w:t>
      </w:r>
      <w:r>
        <w:rPr>
          <w:sz w:val="24"/>
          <w:b/>
        </w:rPr>
        <w:t>60％</w:t>
      </w:r>
      <w:r>
        <w:rPr>
          <w:sz w:val="24"/>
        </w:rPr>
        <w:t>支付给乙方；</w:t>
      </w:r>
      <w:r>
        <w:rPr>
          <w:sz w:val="24"/>
        </w:rPr>
        <w:t>即小写：？？元（大写：人民币？？万？？仟？？佰元整）；</w:t>
      </w:r>
    </w:p>
    <w:p>
      <w:pPr>
        <w:pStyle w:val="null3"/>
        <w:ind w:firstLine="477"/>
        <w:jc w:val="left"/>
      </w:pPr>
      <w:r>
        <w:rPr>
          <w:sz w:val="24"/>
        </w:rPr>
        <w:t>（三）设备验收合格后的</w:t>
      </w:r>
      <w:r>
        <w:rPr>
          <w:sz w:val="24"/>
        </w:rPr>
        <w:t>90个工作日内，将余下款项（合同总金额的</w:t>
      </w:r>
      <w:r>
        <w:rPr>
          <w:sz w:val="24"/>
          <w:b/>
        </w:rPr>
        <w:t>10％</w:t>
      </w:r>
      <w:r>
        <w:rPr>
          <w:sz w:val="24"/>
        </w:rPr>
        <w:t>）支付给乙方。即小写：？？元（大写：人民币？？万？？仟？？佰元整）；</w:t>
      </w:r>
    </w:p>
    <w:p>
      <w:pPr>
        <w:pStyle w:val="null3"/>
        <w:ind w:firstLine="480"/>
        <w:jc w:val="both"/>
      </w:pPr>
      <w:r>
        <w:rPr>
          <w:sz w:val="24"/>
        </w:rPr>
        <w:t>（四）乙方在甲方支付合同款项前，乙方需向甲方提供等额正式的发票。</w:t>
      </w:r>
    </w:p>
    <w:p>
      <w:pPr>
        <w:pStyle w:val="null3"/>
        <w:ind w:firstLine="477"/>
        <w:jc w:val="left"/>
      </w:pPr>
      <w:r>
        <w:rPr>
          <w:sz w:val="24"/>
        </w:rPr>
        <w:t>（五）履约保证金：收取比例：</w:t>
      </w:r>
      <w:r>
        <w:rPr>
          <w:sz w:val="24"/>
        </w:rPr>
        <w:t>5%, (1)时间：在合同签订生效五个工作日</w:t>
      </w:r>
    </w:p>
    <w:p>
      <w:pPr>
        <w:pStyle w:val="null3"/>
        <w:ind w:firstLine="480"/>
        <w:jc w:val="left"/>
      </w:pPr>
      <w:r>
        <w:rPr>
          <w:sz w:val="24"/>
        </w:rPr>
        <w:t>内；</w:t>
      </w:r>
      <w:r>
        <w:rPr>
          <w:sz w:val="24"/>
        </w:rPr>
        <w:t>(2)方式：转账、支票、汇票、本票、保函（保函有效期至合同履约结束）等非现金形式。 2.退还说明： (1)时间、方式和条件：乙方履行完成合同约定权利义务事项在合同期满之日起10个工作日内退还或在合同期满之日起10个工作日内失效。不计利息。 (2)乙方违反合同及其附件约定的任何义务，甲方有权在履约保证金中直接扣除乙方应向甲方支付的违约金或损失赔偿额，如有不足的，乙方应对超过的部分予以赔偿。</w:t>
      </w:r>
    </w:p>
    <w:p>
      <w:pPr>
        <w:pStyle w:val="null3"/>
        <w:ind w:firstLine="482"/>
        <w:jc w:val="left"/>
      </w:pPr>
      <w:r>
        <w:rPr>
          <w:sz w:val="24"/>
          <w:b/>
        </w:rPr>
        <w:t>第五条</w:t>
      </w:r>
      <w:r>
        <w:rPr>
          <w:sz w:val="24"/>
          <w:b/>
        </w:rPr>
        <w:t xml:space="preserve">  </w:t>
      </w:r>
      <w:r>
        <w:rPr>
          <w:sz w:val="24"/>
          <w:b/>
        </w:rPr>
        <w:t>验收方式</w:t>
      </w:r>
    </w:p>
    <w:p>
      <w:pPr>
        <w:pStyle w:val="null3"/>
        <w:ind w:firstLine="480"/>
        <w:jc w:val="both"/>
      </w:pPr>
      <w:r>
        <w:rPr>
          <w:sz w:val="24"/>
        </w:rPr>
        <w:t>（一）验收时间：完成</w:t>
      </w:r>
      <w:r>
        <w:rPr>
          <w:sz w:val="24"/>
        </w:rPr>
        <w:t>交货、安装调试结束后</w:t>
      </w:r>
      <w:r>
        <w:rPr>
          <w:sz w:val="24"/>
          <w:u w:val="single"/>
        </w:rPr>
        <w:t xml:space="preserve"> 10 </w:t>
      </w:r>
      <w:r>
        <w:rPr>
          <w:sz w:val="24"/>
          <w:u w:val="single"/>
        </w:rPr>
        <w:t>个</w:t>
      </w:r>
      <w:r>
        <w:rPr>
          <w:sz w:val="24"/>
        </w:rPr>
        <w:t>工作日内完</w:t>
      </w:r>
      <w:r>
        <w:rPr>
          <w:sz w:val="24"/>
        </w:rPr>
        <w:t>成</w:t>
      </w:r>
      <w:r>
        <w:rPr>
          <w:sz w:val="24"/>
        </w:rPr>
        <w:t>验收</w:t>
      </w:r>
      <w:r>
        <w:rPr>
          <w:sz w:val="24"/>
        </w:rPr>
        <w:t>。</w:t>
      </w:r>
    </w:p>
    <w:p>
      <w:pPr>
        <w:pStyle w:val="null3"/>
        <w:ind w:firstLine="480"/>
        <w:jc w:val="both"/>
      </w:pPr>
      <w:r>
        <w:rPr>
          <w:sz w:val="24"/>
        </w:rPr>
        <w:t>（二）验收方法：甲方派遣有经验有能力的人员检验产品和项目的质量和指标。</w:t>
      </w:r>
    </w:p>
    <w:p>
      <w:pPr>
        <w:pStyle w:val="null3"/>
        <w:jc w:val="both"/>
      </w:pPr>
      <w:r>
        <w:rPr>
          <w:sz w:val="24"/>
        </w:rPr>
        <w:t xml:space="preserve">     </w:t>
      </w:r>
      <w:r>
        <w:rPr>
          <w:sz w:val="24"/>
        </w:rPr>
        <w:t>（三）验收标准：符合合同</w:t>
      </w:r>
      <w:r>
        <w:rPr>
          <w:sz w:val="24"/>
        </w:rPr>
        <w:t>、</w:t>
      </w:r>
      <w:r>
        <w:rPr>
          <w:sz w:val="24"/>
        </w:rPr>
        <w:t>询价文件、乙方的报价文件的要求；单证齐全，有产品合格证（或质量保证书）、发票和其它应当具有单证文件。</w:t>
      </w:r>
    </w:p>
    <w:p>
      <w:pPr>
        <w:pStyle w:val="null3"/>
        <w:ind w:firstLine="600"/>
        <w:jc w:val="both"/>
      </w:pPr>
      <w:r>
        <w:rPr>
          <w:sz w:val="24"/>
        </w:rPr>
        <w:t>（四）甲方对乙方产品质量的验收为表面验收，不能视为甲方对乙方供应的产品质量完全验收，如甲方在使用的过程中发现乙方供应的产品存在质量问题不符合合同约定的，甲方依然有权要求乙方退换或追究乙方其他的违约责任。</w:t>
      </w:r>
    </w:p>
    <w:p>
      <w:pPr>
        <w:pStyle w:val="null3"/>
        <w:ind w:firstLine="482"/>
        <w:jc w:val="left"/>
      </w:pPr>
      <w:r>
        <w:rPr>
          <w:sz w:val="24"/>
          <w:b/>
        </w:rPr>
        <w:t>第六条</w:t>
      </w:r>
      <w:r>
        <w:rPr>
          <w:sz w:val="24"/>
          <w:b/>
        </w:rPr>
        <w:t xml:space="preserve">  </w:t>
      </w:r>
      <w:r>
        <w:rPr>
          <w:sz w:val="24"/>
          <w:b/>
        </w:rPr>
        <w:t>对产品、服务异议的时间和办法</w:t>
      </w:r>
    </w:p>
    <w:p>
      <w:pPr>
        <w:pStyle w:val="null3"/>
        <w:jc w:val="both"/>
      </w:pPr>
      <w:r>
        <w:rPr>
          <w:sz w:val="24"/>
        </w:rPr>
        <w:t xml:space="preserve">     </w:t>
      </w:r>
      <w:r>
        <w:rPr>
          <w:sz w:val="24"/>
        </w:rPr>
        <w:t>（一）甲方在验收中，如果发现产品的品种、型号、数量、规格、质量或有关软件及有关工程不合规定的，应妥为保管，并在验收期</w:t>
      </w:r>
      <w:r>
        <w:rPr>
          <w:sz w:val="24"/>
        </w:rPr>
        <w:t>内</w:t>
      </w:r>
      <w:r>
        <w:rPr>
          <w:sz w:val="24"/>
        </w:rPr>
        <w:t>向乙方提出书面异议；</w:t>
      </w:r>
      <w:r>
        <w:rPr>
          <w:sz w:val="21"/>
        </w:rPr>
        <w:t xml:space="preserve"> </w:t>
      </w:r>
    </w:p>
    <w:p>
      <w:pPr>
        <w:pStyle w:val="null3"/>
        <w:ind w:firstLine="480"/>
        <w:jc w:val="both"/>
      </w:pPr>
      <w:r>
        <w:rPr>
          <w:sz w:val="24"/>
        </w:rPr>
        <w:t>（二）乙方在接到甲方书面异议后，应在十天内处理，否则，视为乙方承认该产品存在甲方所指出的瑕疵并同意甲方提出的处理意见。</w:t>
      </w:r>
    </w:p>
    <w:p>
      <w:pPr>
        <w:pStyle w:val="null3"/>
        <w:ind w:firstLine="482"/>
        <w:jc w:val="left"/>
      </w:pPr>
      <w:r>
        <w:rPr>
          <w:sz w:val="24"/>
          <w:b/>
        </w:rPr>
        <w:t>第七条</w:t>
      </w:r>
      <w:r>
        <w:rPr>
          <w:sz w:val="24"/>
          <w:b/>
        </w:rPr>
        <w:t xml:space="preserve">  </w:t>
      </w:r>
      <w:r>
        <w:rPr>
          <w:sz w:val="24"/>
          <w:b/>
        </w:rPr>
        <w:t>乙方的违约责任</w:t>
      </w:r>
    </w:p>
    <w:p>
      <w:pPr>
        <w:pStyle w:val="null3"/>
        <w:jc w:val="both"/>
      </w:pPr>
      <w:r>
        <w:rPr>
          <w:sz w:val="24"/>
        </w:rPr>
        <w:t xml:space="preserve">     </w:t>
      </w:r>
      <w:r>
        <w:rPr>
          <w:sz w:val="24"/>
        </w:rPr>
        <w:t>（一）乙方不能交货的，甲方不向乙方付款，乙方须向甲方返还已支付的全部款项，并应向甲方支付合同总价的</w:t>
      </w:r>
      <w:r>
        <w:rPr>
          <w:sz w:val="24"/>
          <w:u w:val="single"/>
        </w:rPr>
        <w:t>百分之十</w:t>
      </w:r>
      <w:r>
        <w:rPr>
          <w:sz w:val="24"/>
        </w:rPr>
        <w:t>作为违约金；</w:t>
      </w:r>
    </w:p>
    <w:p>
      <w:pPr>
        <w:pStyle w:val="null3"/>
        <w:jc w:val="both"/>
      </w:pPr>
      <w:r>
        <w:rPr>
          <w:sz w:val="24"/>
        </w:rPr>
        <w:t xml:space="preserve">     </w:t>
      </w:r>
      <w:r>
        <w:rPr>
          <w:sz w:val="24"/>
        </w:rPr>
        <w:t>（二）乙方所交产品种类、数量、规格、质量和技术性能等不符合合同规定的，由乙方负责包换或包修，并承担修理、调换或退货而支付的实际费用；</w:t>
      </w:r>
    </w:p>
    <w:p>
      <w:pPr>
        <w:pStyle w:val="null3"/>
        <w:jc w:val="both"/>
      </w:pPr>
      <w:r>
        <w:rPr>
          <w:sz w:val="24"/>
        </w:rPr>
        <w:t xml:space="preserve">     </w:t>
      </w:r>
      <w:r>
        <w:rPr>
          <w:sz w:val="24"/>
        </w:rPr>
        <w:t>（三）乙方逾期交货，经</w:t>
      </w:r>
      <w:r>
        <w:rPr>
          <w:sz w:val="24"/>
        </w:rPr>
        <w:t>甲方催告后仍未</w:t>
      </w:r>
      <w:r>
        <w:rPr>
          <w:sz w:val="24"/>
        </w:rPr>
        <w:t>在规定期限内</w:t>
      </w:r>
      <w:r>
        <w:rPr>
          <w:sz w:val="24"/>
        </w:rPr>
        <w:t>交货的，</w:t>
      </w:r>
      <w:r>
        <w:rPr>
          <w:sz w:val="24"/>
        </w:rPr>
        <w:t>每日应向甲方支付合同总额的</w:t>
      </w:r>
      <w:r>
        <w:rPr>
          <w:sz w:val="24"/>
          <w:u w:val="single"/>
        </w:rPr>
        <w:t>万分之五</w:t>
      </w:r>
      <w:r>
        <w:rPr>
          <w:sz w:val="24"/>
        </w:rPr>
        <w:t>作为违约金，违约金</w:t>
      </w:r>
      <w:r>
        <w:rPr>
          <w:sz w:val="24"/>
        </w:rPr>
        <w:t>不超合同</w:t>
      </w:r>
      <w:r>
        <w:rPr>
          <w:sz w:val="24"/>
        </w:rPr>
        <w:t>总金额</w:t>
      </w:r>
      <w:r>
        <w:rPr>
          <w:sz w:val="24"/>
          <w:u w:val="single"/>
        </w:rPr>
        <w:t>百分之</w:t>
      </w:r>
      <w:r>
        <w:rPr>
          <w:sz w:val="24"/>
          <w:u w:val="single"/>
        </w:rPr>
        <w:t>十</w:t>
      </w:r>
      <w:r>
        <w:rPr>
          <w:sz w:val="24"/>
        </w:rPr>
        <w:t>。乙方逾期交货超过</w:t>
      </w:r>
      <w:r>
        <w:rPr>
          <w:sz w:val="24"/>
          <w:u w:val="single"/>
        </w:rPr>
        <w:t>60</w:t>
      </w:r>
      <w:r>
        <w:rPr>
          <w:sz w:val="24"/>
          <w:u w:val="single"/>
        </w:rPr>
        <w:t>日</w:t>
      </w:r>
      <w:r>
        <w:rPr>
          <w:sz w:val="24"/>
        </w:rPr>
        <w:t>的，甲方有权单方面解除本合同，要求乙方返还甲方支付的全部款项，乙方须按上述规定向甲方支付违约金，若以上违约金不足以弥补甲方损失的，乙方须赔偿甲方实际损失。</w:t>
      </w:r>
    </w:p>
    <w:p>
      <w:pPr>
        <w:pStyle w:val="null3"/>
        <w:ind w:firstLine="482"/>
        <w:jc w:val="left"/>
      </w:pPr>
      <w:r>
        <w:rPr>
          <w:sz w:val="24"/>
          <w:b/>
        </w:rPr>
        <w:t>第八条</w:t>
      </w:r>
      <w:r>
        <w:rPr>
          <w:sz w:val="24"/>
          <w:b/>
        </w:rPr>
        <w:t xml:space="preserve">  </w:t>
      </w:r>
      <w:r>
        <w:rPr>
          <w:sz w:val="24"/>
          <w:b/>
        </w:rPr>
        <w:t>甲方的违约责任</w:t>
      </w:r>
    </w:p>
    <w:p>
      <w:pPr>
        <w:pStyle w:val="null3"/>
        <w:ind w:firstLine="480"/>
        <w:jc w:val="both"/>
      </w:pPr>
      <w:r>
        <w:rPr>
          <w:sz w:val="24"/>
        </w:rPr>
        <w:t>（一）甲方违反合同规定拒绝接受</w:t>
      </w:r>
      <w:r>
        <w:rPr>
          <w:sz w:val="24"/>
        </w:rPr>
        <w:t>/收产品或</w:t>
      </w:r>
      <w:r>
        <w:rPr>
          <w:sz w:val="24"/>
        </w:rPr>
        <w:t>服务</w:t>
      </w:r>
      <w:r>
        <w:rPr>
          <w:sz w:val="24"/>
        </w:rPr>
        <w:t>的，应当承担由此而对乙方造成的损失。</w:t>
      </w:r>
    </w:p>
    <w:p>
      <w:pPr>
        <w:pStyle w:val="null3"/>
        <w:ind w:firstLine="480"/>
        <w:jc w:val="both"/>
      </w:pPr>
      <w:r>
        <w:rPr>
          <w:sz w:val="24"/>
        </w:rPr>
        <w:t>（二）甲方无正当理由逾期付款的，应每日按逾期金额的</w:t>
      </w:r>
      <w:r>
        <w:rPr>
          <w:sz w:val="24"/>
          <w:u w:val="single"/>
        </w:rPr>
        <w:t>万分之五</w:t>
      </w:r>
      <w:r>
        <w:rPr>
          <w:sz w:val="24"/>
        </w:rPr>
        <w:t>向乙方支付违约金，违约金不超过合同金额的</w:t>
      </w:r>
      <w:r>
        <w:rPr>
          <w:sz w:val="24"/>
          <w:u w:val="single"/>
        </w:rPr>
        <w:t>百分之三</w:t>
      </w:r>
      <w:r>
        <w:rPr>
          <w:sz w:val="24"/>
        </w:rPr>
        <w:t>。</w:t>
      </w:r>
    </w:p>
    <w:p>
      <w:pPr>
        <w:pStyle w:val="null3"/>
        <w:ind w:firstLine="482"/>
        <w:jc w:val="left"/>
      </w:pPr>
      <w:r>
        <w:rPr>
          <w:sz w:val="24"/>
          <w:b/>
        </w:rPr>
        <w:t>第九条</w:t>
      </w:r>
      <w:r>
        <w:rPr>
          <w:sz w:val="24"/>
          <w:b/>
        </w:rPr>
        <w:t xml:space="preserve">  </w:t>
      </w:r>
      <w:r>
        <w:rPr>
          <w:sz w:val="24"/>
          <w:b/>
        </w:rPr>
        <w:t>不可抗力</w:t>
      </w:r>
    </w:p>
    <w:p>
      <w:pPr>
        <w:pStyle w:val="null3"/>
        <w:jc w:val="both"/>
      </w:pPr>
      <w:r>
        <w:rPr>
          <w:sz w:val="24"/>
        </w:rPr>
        <w:t xml:space="preserve">     </w:t>
      </w:r>
      <w:r>
        <w:rPr>
          <w:sz w:val="24"/>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pPr>
        <w:pStyle w:val="null3"/>
        <w:ind w:firstLine="482"/>
        <w:jc w:val="left"/>
      </w:pPr>
      <w:r>
        <w:rPr>
          <w:sz w:val="24"/>
          <w:b/>
        </w:rPr>
        <w:t>第十条</w:t>
      </w:r>
      <w:r>
        <w:rPr>
          <w:sz w:val="24"/>
          <w:b/>
        </w:rPr>
        <w:t xml:space="preserve">  </w:t>
      </w:r>
      <w:r>
        <w:rPr>
          <w:sz w:val="24"/>
          <w:b/>
        </w:rPr>
        <w:t>争议的解决</w:t>
      </w:r>
    </w:p>
    <w:p>
      <w:pPr>
        <w:pStyle w:val="null3"/>
        <w:jc w:val="both"/>
      </w:pPr>
      <w:r>
        <w:rPr>
          <w:sz w:val="24"/>
        </w:rPr>
        <w:t xml:space="preserve">     </w:t>
      </w:r>
      <w:r>
        <w:rPr>
          <w:sz w:val="24"/>
        </w:rPr>
        <w:t>（一）如因产品的质量问题发生争议，由法定的质量技术鉴定机构进行质量鉴定，双方应当服从该鉴定的结论；</w:t>
      </w:r>
    </w:p>
    <w:p>
      <w:pPr>
        <w:pStyle w:val="null3"/>
        <w:jc w:val="both"/>
      </w:pPr>
      <w:r>
        <w:rPr>
          <w:sz w:val="24"/>
        </w:rPr>
        <w:t xml:space="preserve">     </w:t>
      </w:r>
      <w:r>
        <w:rPr>
          <w:sz w:val="24"/>
        </w:rPr>
        <w:t>（二）若执行本合同的过程中发生纠纷，双方当事人应当及时协商解决；协商不成时，可向甲方所在地人民法院提起诉讼。</w:t>
      </w:r>
    </w:p>
    <w:p>
      <w:pPr>
        <w:pStyle w:val="null3"/>
        <w:ind w:firstLine="482"/>
        <w:jc w:val="left"/>
      </w:pPr>
      <w:r>
        <w:rPr>
          <w:sz w:val="24"/>
          <w:b/>
        </w:rPr>
        <w:t>第十一条</w:t>
      </w:r>
      <w:r>
        <w:rPr>
          <w:sz w:val="24"/>
          <w:b/>
        </w:rPr>
        <w:t xml:space="preserve">  </w:t>
      </w:r>
      <w:r>
        <w:rPr>
          <w:sz w:val="24"/>
          <w:b/>
        </w:rPr>
        <w:t>监督和管理</w:t>
      </w:r>
    </w:p>
    <w:p>
      <w:pPr>
        <w:pStyle w:val="null3"/>
        <w:jc w:val="both"/>
      </w:pPr>
      <w:r>
        <w:rPr>
          <w:sz w:val="24"/>
        </w:rPr>
        <w:t xml:space="preserve">     </w:t>
      </w:r>
      <w:r>
        <w:rPr>
          <w:sz w:val="24"/>
        </w:rPr>
        <w:t>（一）甲乙双方经协商一致需变更合同实质性条款或订立补充合同的，应按规定在广东省政府采购网进行合同备案、公示。。</w:t>
      </w:r>
    </w:p>
    <w:p>
      <w:pPr>
        <w:pStyle w:val="null3"/>
        <w:jc w:val="both"/>
      </w:pPr>
      <w:r>
        <w:rPr>
          <w:sz w:val="24"/>
        </w:rPr>
        <w:t xml:space="preserve">     </w:t>
      </w:r>
      <w:r>
        <w:rPr>
          <w:sz w:val="24"/>
        </w:rPr>
        <w:t>（二）甲乙双方均应自觉配合政府采购监督管理部门对合同履行情况的监督检查，如实反映情况，提供有关资料；否则，将对有关单位、当事人按照有关规定予以处罚。</w:t>
      </w:r>
    </w:p>
    <w:p>
      <w:pPr>
        <w:pStyle w:val="null3"/>
        <w:ind w:firstLine="482"/>
        <w:jc w:val="left"/>
      </w:pPr>
      <w:r>
        <w:rPr>
          <w:sz w:val="24"/>
          <w:b/>
        </w:rPr>
        <w:t>第十二条</w:t>
      </w:r>
      <w:r>
        <w:rPr>
          <w:sz w:val="24"/>
          <w:b/>
        </w:rPr>
        <w:t xml:space="preserve">  </w:t>
      </w:r>
      <w:r>
        <w:rPr>
          <w:sz w:val="24"/>
          <w:b/>
        </w:rPr>
        <w:t>无效合同</w:t>
      </w:r>
    </w:p>
    <w:p>
      <w:pPr>
        <w:pStyle w:val="null3"/>
        <w:jc w:val="both"/>
      </w:pPr>
      <w:r>
        <w:rPr>
          <w:sz w:val="24"/>
        </w:rPr>
        <w:t xml:space="preserve">    </w:t>
      </w:r>
      <w:r>
        <w:rPr>
          <w:sz w:val="24"/>
        </w:rPr>
        <w:t>甲乙双方如因违反法律和有关规定，合同被宣告无效的，有过错的一方应当承担赔偿责任，双方都有过错的，各自承担相应的责任。</w:t>
      </w:r>
    </w:p>
    <w:p>
      <w:pPr>
        <w:pStyle w:val="null3"/>
        <w:ind w:firstLine="482"/>
        <w:jc w:val="left"/>
      </w:pPr>
      <w:r>
        <w:rPr>
          <w:sz w:val="24"/>
          <w:b/>
        </w:rPr>
        <w:t>第十三条</w:t>
      </w:r>
      <w:r>
        <w:rPr>
          <w:sz w:val="24"/>
          <w:b/>
        </w:rPr>
        <w:t xml:space="preserve">  </w:t>
      </w:r>
      <w:r>
        <w:rPr>
          <w:sz w:val="24"/>
          <w:b/>
        </w:rPr>
        <w:t>投诉</w:t>
      </w:r>
    </w:p>
    <w:p>
      <w:pPr>
        <w:pStyle w:val="null3"/>
        <w:jc w:val="both"/>
      </w:pPr>
      <w:r>
        <w:rPr>
          <w:sz w:val="24"/>
        </w:rPr>
        <w:t xml:space="preserve">    </w:t>
      </w:r>
      <w:r>
        <w:rPr>
          <w:sz w:val="24"/>
        </w:rPr>
        <w:t>甲方如对乙方所提供的产品质量及服务提出投诉，经核查如属有效投诉并超过三次，甲方有权解除合同，并向乙方追偿。</w:t>
      </w:r>
    </w:p>
    <w:p>
      <w:pPr>
        <w:pStyle w:val="null3"/>
        <w:ind w:firstLine="482"/>
        <w:jc w:val="left"/>
      </w:pPr>
      <w:r>
        <w:rPr>
          <w:sz w:val="24"/>
          <w:b/>
        </w:rPr>
        <w:t>第十四条</w:t>
      </w:r>
      <w:r>
        <w:rPr>
          <w:sz w:val="24"/>
          <w:b/>
        </w:rPr>
        <w:t xml:space="preserve">  </w:t>
      </w:r>
      <w:r>
        <w:rPr>
          <w:sz w:val="24"/>
          <w:b/>
        </w:rPr>
        <w:t>附则</w:t>
      </w:r>
    </w:p>
    <w:p>
      <w:pPr>
        <w:pStyle w:val="null3"/>
        <w:jc w:val="both"/>
      </w:pPr>
      <w:r>
        <w:rPr>
          <w:sz w:val="24"/>
        </w:rPr>
        <w:t xml:space="preserve">    </w:t>
      </w:r>
      <w:r>
        <w:rPr>
          <w:sz w:val="24"/>
        </w:rPr>
        <w:t>（一）本合同一式</w:t>
      </w:r>
      <w:r>
        <w:rPr>
          <w:sz w:val="24"/>
          <w:b/>
        </w:rPr>
        <w:t>肆</w:t>
      </w:r>
      <w:r>
        <w:rPr>
          <w:sz w:val="24"/>
        </w:rPr>
        <w:t>份，甲方执</w:t>
      </w:r>
      <w:r>
        <w:rPr>
          <w:sz w:val="24"/>
          <w:b/>
        </w:rPr>
        <w:t>贰</w:t>
      </w:r>
      <w:r>
        <w:rPr>
          <w:sz w:val="24"/>
        </w:rPr>
        <w:t>份，乙方执</w:t>
      </w:r>
      <w:r>
        <w:rPr>
          <w:sz w:val="24"/>
          <w:b/>
        </w:rPr>
        <w:t>贰</w:t>
      </w:r>
      <w:r>
        <w:rPr>
          <w:sz w:val="24"/>
        </w:rPr>
        <w:t>份。每份均具有同等法律效力。</w:t>
      </w:r>
    </w:p>
    <w:p>
      <w:pPr>
        <w:pStyle w:val="null3"/>
        <w:jc w:val="both"/>
      </w:pPr>
      <w:r>
        <w:rPr>
          <w:sz w:val="24"/>
        </w:rPr>
        <w:t xml:space="preserve">    </w:t>
      </w:r>
      <w:r>
        <w:rPr>
          <w:sz w:val="24"/>
        </w:rPr>
        <w:t>（二）本合同自甲乙双方签字盖章后生效。</w:t>
      </w:r>
    </w:p>
    <w:p>
      <w:pPr>
        <w:pStyle w:val="null3"/>
        <w:jc w:val="both"/>
      </w:pPr>
      <w:r>
        <w:rPr>
          <w:sz w:val="24"/>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3900"/>
        <w:gridCol w:w="4125"/>
      </w:tblGrid>
      <w:tr>
        <w:tc>
          <w:tcPr>
            <w:tcW w:type="dxa" w:w="3900"/>
            <w:tcBorders>
              <w:top w:val="dotted"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b/>
              </w:rPr>
              <w:t>甲方：江门市中心医院</w:t>
            </w:r>
          </w:p>
          <w:p>
            <w:pPr>
              <w:pStyle w:val="null3"/>
            </w:pPr>
            <w:r>
              <w:rPr>
                <w:sz w:val="19"/>
              </w:rPr>
              <w:t xml:space="preserve"> </w:t>
            </w:r>
          </w:p>
        </w:tc>
        <w:tc>
          <w:tcPr>
            <w:tcW w:type="dxa" w:w="4125"/>
            <w:tcBorders>
              <w:top w:val="dotted"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b/>
              </w:rPr>
              <w:t>乙方：</w:t>
            </w:r>
            <w:r>
              <w:rPr>
                <w:sz w:val="24"/>
                <w:b/>
              </w:rPr>
              <w:t>？？有限公司</w:t>
            </w:r>
          </w:p>
        </w:tc>
      </w:tr>
      <w:tr>
        <w:tc>
          <w:tcPr>
            <w:tcW w:type="dxa" w:w="3900"/>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地址：江门市蓬江区北街海傍街</w:t>
            </w:r>
            <w:r>
              <w:rPr>
                <w:sz w:val="24"/>
              </w:rPr>
              <w:t>23</w:t>
            </w:r>
            <w:r>
              <w:rPr>
                <w:sz w:val="24"/>
              </w:rPr>
              <w:t>号</w:t>
            </w:r>
          </w:p>
        </w:tc>
        <w:tc>
          <w:tcPr>
            <w:tcW w:type="dxa" w:w="4125"/>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地址：？？</w:t>
            </w:r>
          </w:p>
        </w:tc>
      </w:tr>
      <w:tr>
        <w:tc>
          <w:tcPr>
            <w:tcW w:type="dxa" w:w="3900"/>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委托代理人：</w:t>
            </w:r>
          </w:p>
        </w:tc>
        <w:tc>
          <w:tcPr>
            <w:tcW w:type="dxa" w:w="4125"/>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委托代理人：</w:t>
            </w:r>
            <w:r>
              <w:rPr>
                <w:sz w:val="21"/>
              </w:rPr>
              <w:t xml:space="preserve"> </w:t>
            </w:r>
          </w:p>
        </w:tc>
      </w:tr>
      <w:tr>
        <w:tc>
          <w:tcPr>
            <w:tcW w:type="dxa" w:w="3900"/>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法定代表人：</w:t>
            </w:r>
          </w:p>
        </w:tc>
        <w:tc>
          <w:tcPr>
            <w:tcW w:type="dxa" w:w="4125"/>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法定代表人：</w:t>
            </w:r>
          </w:p>
        </w:tc>
      </w:tr>
      <w:tr>
        <w:tc>
          <w:tcPr>
            <w:tcW w:type="dxa" w:w="3900"/>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统一社会信用代码：</w:t>
            </w:r>
            <w:r>
              <w:rPr>
                <w:sz w:val="24"/>
              </w:rPr>
              <w:t>12440700456174068R</w:t>
            </w:r>
          </w:p>
        </w:tc>
        <w:tc>
          <w:tcPr>
            <w:tcW w:type="dxa" w:w="4125"/>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统一社会信用代码：？？</w:t>
            </w:r>
          </w:p>
        </w:tc>
      </w:tr>
      <w:tr>
        <w:tc>
          <w:tcPr>
            <w:tcW w:type="dxa" w:w="3900"/>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开户银行：工商行江海支行</w:t>
            </w:r>
          </w:p>
        </w:tc>
        <w:tc>
          <w:tcPr>
            <w:tcW w:type="dxa" w:w="4125"/>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开户银行：？？</w:t>
            </w:r>
          </w:p>
        </w:tc>
      </w:tr>
      <w:tr>
        <w:tc>
          <w:tcPr>
            <w:tcW w:type="dxa" w:w="3900"/>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帐号：</w:t>
            </w:r>
            <w:r>
              <w:rPr>
                <w:sz w:val="24"/>
              </w:rPr>
              <w:t>2012002309024902351</w:t>
            </w:r>
          </w:p>
        </w:tc>
        <w:tc>
          <w:tcPr>
            <w:tcW w:type="dxa" w:w="4125"/>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帐号：？？</w:t>
            </w:r>
          </w:p>
        </w:tc>
      </w:tr>
      <w:tr>
        <w:tc>
          <w:tcPr>
            <w:tcW w:type="dxa" w:w="3900"/>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项目负责人：？？？</w:t>
            </w:r>
          </w:p>
        </w:tc>
        <w:tc>
          <w:tcPr>
            <w:tcW w:type="dxa" w:w="4125"/>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项目负责人：？？？</w:t>
            </w:r>
          </w:p>
        </w:tc>
      </w:tr>
      <w:tr>
        <w:tc>
          <w:tcPr>
            <w:tcW w:type="dxa" w:w="3900"/>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联系人电话：</w:t>
            </w:r>
            <w:r>
              <w:rPr>
                <w:sz w:val="24"/>
              </w:rPr>
              <w:t>0</w:t>
            </w:r>
            <w:r>
              <w:rPr>
                <w:sz w:val="24"/>
              </w:rPr>
              <w:t>750-3165953</w:t>
            </w:r>
          </w:p>
        </w:tc>
        <w:tc>
          <w:tcPr>
            <w:tcW w:type="dxa" w:w="4125"/>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联系人电话：？？</w:t>
            </w:r>
          </w:p>
        </w:tc>
      </w:tr>
      <w:tr>
        <w:tc>
          <w:tcPr>
            <w:tcW w:type="dxa" w:w="3900"/>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签约地点：广东省江门市蓬江区</w:t>
            </w:r>
          </w:p>
        </w:tc>
        <w:tc>
          <w:tcPr>
            <w:tcW w:type="dxa" w:w="4125"/>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签约日期：</w:t>
            </w:r>
            <w:r>
              <w:rPr>
                <w:sz w:val="21"/>
              </w:rPr>
              <w:t xml:space="preserve">      </w:t>
            </w:r>
            <w:r>
              <w:rPr>
                <w:sz w:val="24"/>
              </w:rPr>
              <w:t>年</w:t>
            </w:r>
            <w:r>
              <w:rPr>
                <w:sz w:val="24"/>
              </w:rPr>
              <w:t xml:space="preserve">  </w:t>
            </w:r>
            <w:r>
              <w:rPr>
                <w:sz w:val="21"/>
              </w:rPr>
              <w:t xml:space="preserve"> </w:t>
            </w:r>
            <w:r>
              <w:rPr>
                <w:sz w:val="24"/>
              </w:rPr>
              <w:t xml:space="preserve"> </w:t>
            </w:r>
            <w:r>
              <w:rPr>
                <w:sz w:val="24"/>
              </w:rPr>
              <w:t>月</w:t>
            </w:r>
            <w:r>
              <w:rPr>
                <w:sz w:val="21"/>
              </w:rPr>
              <w:t xml:space="preserve">   </w:t>
            </w:r>
            <w:r>
              <w:rPr>
                <w:sz w:val="24"/>
              </w:rPr>
              <w:t>日</w:t>
            </w:r>
          </w:p>
        </w:tc>
      </w:tr>
    </w:tbl>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440701-2025-00733</w:t>
      </w:r>
    </w:p>
    <w:p>
      <w:pPr>
        <w:pStyle w:val="null3"/>
        <w:jc w:val="center"/>
        <w:outlineLvl w:val="3"/>
      </w:pPr>
      <w:r>
        <w:rPr>
          <w:sz w:val="24"/>
          <w:b/>
        </w:rPr>
        <w:t>采购项目编号：</w:t>
      </w:r>
      <w:r>
        <w:rPr>
          <w:sz w:val="24"/>
          <w:b/>
        </w:rPr>
        <w:t>0724-2511Z1A13413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江门市中心医院云桌面项目</w:t>
      </w:r>
      <w:r>
        <w:rPr>
          <w:u w:val="single"/>
        </w:rPr>
        <w:t>”</w:t>
      </w:r>
      <w:r>
        <w:rPr/>
        <w:t>项目的招标[采购项目编号为：</w:t>
      </w:r>
      <w:r>
        <w:rPr>
          <w:u w:val="single"/>
        </w:rPr>
        <w:t>0724-2511Z1A13413</w:t>
      </w:r>
      <w:r>
        <w:rPr/>
        <w:t>]，我方愿参与投标。</w:t>
      </w:r>
    </w:p>
    <w:p>
      <w:pPr>
        <w:pStyle w:val="null3"/>
        <w:ind w:firstLine="480"/>
      </w:pPr>
      <w:r>
        <w:rPr/>
        <w:t>我方确认收到贵方提供的</w:t>
      </w:r>
      <w:r>
        <w:rPr>
          <w:u w:val="single"/>
        </w:rPr>
        <w:t>“</w:t>
      </w:r>
      <w:r>
        <w:rPr>
          <w:u w:val="single"/>
        </w:rPr>
        <w:t>江门市中心医院云桌面项目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江门市中心医院云桌面项目</w:t>
      </w:r>
      <w:r>
        <w:rPr/>
        <w:t>”项目采购[采购项目编号为</w:t>
      </w:r>
      <w:r>
        <w:rPr/>
        <w:t>0724-2511Z1A13413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江门市中心医院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江门市中心医院云桌面项目</w:t>
      </w:r>
      <w:r>
        <w:rPr/>
        <w:t>招标中获中标（采购项目编号：</w:t>
      </w:r>
      <w:r>
        <w:rPr/>
        <w:t>0724-2511Z1A13413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江门市中心医院云桌面项目</w:t>
      </w:r>
      <w:r>
        <w:rPr/>
        <w:t>”项目（采购项目编号：</w:t>
      </w:r>
      <w:r>
        <w:rPr/>
        <w:t>0724-2511Z1A13413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