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Relationships xmlns="http://schemas.openxmlformats.org/package/2006/relationships"><Relationship Id="rId1" Target="docProps/app.xml" Type="http://schemas.openxmlformats.org/officeDocument/2006/relationships/extended-properties"/><Relationship Id="rId2" Target="docProps/core.xml" Type="http://schemas.openxmlformats.org/package/2006/relationships/metadata/core-properties"/><Relationship Id="rId3" Target="docProps/custom.xml" Type="http://schemas.openxmlformats.org/officeDocument/2006/relationships/custom-properties"/><Relationship Id="rId4" Target="word/document.xml" Type="http://schemas.openxmlformats.org/officeDocument/2006/relationships/officeDocument"/></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null3"/>
        <w:rPr>
          <w:rFonts w:hint="eastAsia"/>
          <w:lang w:val="en-US" w:eastAsia="zh-Hans"/>
        </w:rPr>
      </w:pPr>
      <w:r>
        <w:br/>
      </w:r>
    </w:p>
    <w:p>
      <w:pPr>
        <w:pStyle w:val="null3"/>
      </w:pPr>
      <w:r>
        <w:br/>
      </w:r>
      <w:r>
        <w:br/>
      </w:r>
      <w:r>
        <w:br/>
      </w:r>
      <w:r>
        <w:br/>
      </w:r>
      <w:r>
        <w:br/>
      </w:r>
    </w:p>
    <w:p>
      <w:pPr>
        <w:pStyle w:val="null3"/>
        <w:jc w:val="center"/>
        <w:outlineLvl w:val="0"/>
      </w:pPr>
      <w:r>
        <w:rPr>
          <w:sz w:val="48"/>
          <w:b/>
        </w:rPr>
        <w:t>广东省政府采购</w:t>
      </w:r>
    </w:p>
    <w:p>
      <w:pPr>
        <w:pStyle w:val="null3"/>
      </w:pPr>
      <w:r>
        <w:rPr/>
        <w:t>　</w:t>
      </w:r>
    </w:p>
    <w:p>
      <w:pPr>
        <w:pStyle w:val="null3"/>
      </w:pPr>
      <w:r>
        <w:rPr/>
        <w:t>　</w:t>
      </w:r>
    </w:p>
    <w:p>
      <w:pPr>
        <w:pStyle w:val="null3"/>
      </w:pPr>
      <w:r>
        <w:rPr/>
        <w:t>　</w:t>
      </w:r>
    </w:p>
    <w:p>
      <w:pPr>
        <w:pStyle w:val="null3"/>
        <w:jc w:val="center"/>
        <w:outlineLvl w:val="0"/>
      </w:pPr>
      <w:r>
        <w:rPr>
          <w:sz w:val="48"/>
          <w:b/>
        </w:rPr>
        <w:t xml:space="preserve"> 公开招标文件</w:t>
      </w:r>
      <w:r>
        <w:br/>
      </w:r>
      <w:r>
        <w:br/>
      </w:r>
      <w:r>
        <w:br/>
      </w:r>
      <w:r>
        <w:br/>
      </w:r>
      <w:r>
        <w:br/>
      </w:r>
      <w:r>
        <w:br/>
      </w:r>
      <w:r>
        <w:br/>
      </w:r>
      <w:r>
        <w:br/>
      </w:r>
      <w:r>
        <w:br/>
      </w:r>
      <w:r>
        <w:br/>
      </w:r>
      <w:r>
        <w:br/>
      </w:r>
      <w:r>
        <w:br/>
      </w:r>
      <w:r>
        <w:br/>
      </w:r>
      <w:r>
        <w:br/>
      </w:r>
      <w:r>
        <w:br/>
      </w:r>
      <w:r>
        <w:br/>
      </w:r>
      <w:r>
        <w:br/>
      </w:r>
      <w:r>
        <w:br/>
      </w:r>
      <w:r>
        <w:br/>
      </w:r>
      <w:r>
        <w:br/>
      </w:r>
      <w:r>
        <w:br/>
      </w:r>
    </w:p>
    <w:p>
      <w:pPr>
        <w:pStyle w:val="null3"/>
        <w:jc w:val="center"/>
        <w:outlineLvl w:val="3"/>
      </w:pPr>
      <w:r>
        <w:rPr>
          <w:sz w:val="24"/>
          <w:b/>
        </w:rPr>
        <w:t>采购计划编号：</w:t>
      </w:r>
      <w:r>
        <w:rPr>
          <w:sz w:val="24"/>
          <w:b/>
        </w:rPr>
        <w:t>440101-2026-06155</w:t>
      </w:r>
    </w:p>
    <w:p>
      <w:pPr>
        <w:pStyle w:val="null3"/>
        <w:jc w:val="center"/>
        <w:outlineLvl w:val="3"/>
      </w:pPr>
      <w:r>
        <w:rPr>
          <w:sz w:val="24"/>
          <w:b/>
        </w:rPr>
        <w:t>采购项目编号：</w:t>
      </w:r>
      <w:r>
        <w:rPr>
          <w:sz w:val="24"/>
          <w:b/>
        </w:rPr>
        <w:t>0724-2631Z2892081</w:t>
      </w:r>
    </w:p>
    <w:p>
      <w:pPr>
        <w:pStyle w:val="null3"/>
        <w:jc w:val="center"/>
        <w:outlineLvl w:val="3"/>
      </w:pPr>
      <w:r>
        <w:rPr>
          <w:sz w:val="24"/>
          <w:b/>
        </w:rPr>
        <w:t>项目名称：</w:t>
      </w:r>
      <w:r>
        <w:rPr>
          <w:sz w:val="24"/>
          <w:b/>
        </w:rPr>
        <w:t>广州市城市管理和综合执法局全市井盖设施管理监督、抽查、应急处置项目</w:t>
      </w:r>
    </w:p>
    <w:p>
      <w:pPr>
        <w:pStyle w:val="null3"/>
        <w:jc w:val="center"/>
        <w:outlineLvl w:val="3"/>
      </w:pPr>
      <w:r>
        <w:rPr>
          <w:sz w:val="24"/>
          <w:b/>
        </w:rPr>
        <w:t>采购人：</w:t>
      </w:r>
      <w:r>
        <w:rPr>
          <w:sz w:val="24"/>
          <w:b/>
        </w:rPr>
        <w:t>广州市城市管理和综合执法局</w:t>
      </w:r>
    </w:p>
    <w:p>
      <w:pPr>
        <w:pStyle w:val="null3"/>
        <w:jc w:val="center"/>
        <w:outlineLvl w:val="3"/>
      </w:pPr>
      <w:r>
        <w:rPr>
          <w:sz w:val="24"/>
          <w:b/>
        </w:rPr>
        <w:t>采购代理机构：</w:t>
      </w:r>
      <w:r>
        <w:rPr>
          <w:sz w:val="24"/>
          <w:b/>
        </w:rPr>
        <w:t>国义招标股份有限公司</w:t>
      </w:r>
    </w:p>
    <w:p>
      <w:pPr>
        <w:pStyle w:val="null3"/>
        <w:ind w:firstLine="480"/>
      </w:pPr>
      <w:r>
        <w:rPr/>
        <w:t xml:space="preserve">  </w:t>
      </w:r>
    </w:p>
    <w:p>
      <w:pPr>
        <w:pStyle w:val="null3"/>
        <w:jc w:val="center"/>
        <w:outlineLvl w:val="1"/>
      </w:pPr>
      <w:r>
        <w:rPr>
          <w:sz w:val="36"/>
          <w:b/>
        </w:rPr>
        <w:t>第一章投标邀请</w:t>
      </w:r>
    </w:p>
    <w:p>
      <w:pPr>
        <w:pStyle w:val="null3"/>
        <w:ind w:firstLine="480"/>
      </w:pPr>
      <w:r>
        <w:rPr/>
        <w:t xml:space="preserve">国义招标股份有限公司 </w:t>
      </w:r>
      <w:r>
        <w:rPr/>
        <w:t>受</w:t>
      </w:r>
      <w:r>
        <w:rPr/>
        <w:t>广州市城市管理和综合执法局</w:t>
      </w:r>
      <w:r>
        <w:rPr/>
        <w:t>的委托，采用</w:t>
      </w:r>
      <w:r>
        <w:rPr/>
        <w:t>公开招标</w:t>
      </w:r>
      <w:r>
        <w:rPr/>
        <w:t>方式组织采购</w:t>
      </w:r>
      <w:r>
        <w:rPr/>
        <w:t>广州市城市管理和综合执法局全市井盖设施管理监督、抽查、应急处置项目</w:t>
      </w:r>
      <w:r>
        <w:rPr/>
        <w:t>。欢迎符合资格条件的国内供应商参加投标。</w:t>
      </w:r>
    </w:p>
    <w:p>
      <w:pPr>
        <w:pStyle w:val="null3"/>
        <w:outlineLvl w:val="2"/>
      </w:pPr>
      <w:r>
        <w:rPr>
          <w:sz w:val="28"/>
          <w:b/>
        </w:rPr>
        <w:t>一.项目概述</w:t>
      </w:r>
    </w:p>
    <w:p>
      <w:pPr>
        <w:pStyle w:val="null3"/>
        <w:outlineLvl w:val="3"/>
      </w:pPr>
      <w:r>
        <w:rPr>
          <w:sz w:val="24"/>
          <w:b/>
        </w:rPr>
        <w:t>1.名称与编号</w:t>
      </w:r>
    </w:p>
    <w:p>
      <w:pPr>
        <w:pStyle w:val="null3"/>
        <w:ind w:firstLine="480"/>
      </w:pPr>
      <w:r>
        <w:rPr/>
        <w:t>项目名称：</w:t>
      </w:r>
      <w:r>
        <w:rPr/>
        <w:t>广州市城市管理和综合执法局全市井盖设施管理监督、抽查、应急处置项目</w:t>
      </w:r>
    </w:p>
    <w:p>
      <w:pPr>
        <w:pStyle w:val="null3"/>
        <w:ind w:firstLine="480"/>
      </w:pPr>
      <w:r>
        <w:rPr/>
        <w:t>采购计划编号：</w:t>
      </w:r>
      <w:r>
        <w:rPr/>
        <w:t>440101-2026-06155</w:t>
      </w:r>
    </w:p>
    <w:p>
      <w:pPr>
        <w:pStyle w:val="null3"/>
        <w:ind w:firstLine="480"/>
      </w:pPr>
      <w:r>
        <w:rPr/>
        <w:t>采购项目编号：</w:t>
      </w:r>
      <w:r>
        <w:rPr/>
        <w:t>0724-2631Z2892081</w:t>
      </w:r>
    </w:p>
    <w:p>
      <w:pPr>
        <w:pStyle w:val="null3"/>
        <w:ind w:firstLine="480"/>
      </w:pPr>
      <w:r>
        <w:rPr/>
        <w:t>采购方式：</w:t>
      </w:r>
      <w:r>
        <w:rPr/>
        <w:t>公开招标</w:t>
      </w:r>
    </w:p>
    <w:p>
      <w:pPr>
        <w:pStyle w:val="null3"/>
        <w:ind w:firstLine="480"/>
      </w:pPr>
      <w:r>
        <w:rPr/>
        <w:t>预算金额：</w:t>
      </w:r>
      <w:r>
        <w:rPr/>
        <w:t>3,170,000.00</w:t>
      </w:r>
      <w:r>
        <w:rPr/>
        <w:t>元</w:t>
      </w:r>
    </w:p>
    <w:p>
      <w:pPr>
        <w:pStyle w:val="null3"/>
        <w:outlineLvl w:val="3"/>
      </w:pPr>
      <w:r>
        <w:rPr>
          <w:sz w:val="24"/>
          <w:b/>
        </w:rPr>
        <w:t>2.项目内容及需求情况（采购项目技术规格、参数及要求）</w:t>
      </w:r>
    </w:p>
    <w:p>
      <w:pPr>
        <w:pStyle w:val="null3"/>
      </w:pPr>
      <w:r>
        <w:rPr/>
        <w:t>采购包1(广州市城市管理和综合执法局全市井盖设施管理监督、抽查、应急处置项目):</w:t>
      </w:r>
    </w:p>
    <w:p>
      <w:pPr>
        <w:pStyle w:val="null3"/>
      </w:pPr>
      <w:r>
        <w:rPr/>
        <w:t>采购包预算金额：3,170,000.00元</w:t>
      </w:r>
    </w:p>
    <w:tbl>
      <w:tblPr>
        <w:tblW w:w="0" w:type="auto"/>
        <w:tblBorders>
          <w:top w:val="single"/>
          <w:left w:val="single"/>
          <w:bottom w:val="single"/>
          <w:right w:val="single"/>
          <w:insideH w:val="single"/>
          <w:insideV w:val="single"/>
        </w:tblBorders>
      </w:tblPr>
      <w:tblGrid>
        <w:gridCol w:w="1187"/>
        <w:gridCol w:w="1424"/>
        <w:gridCol w:w="2136"/>
        <w:gridCol w:w="1187"/>
        <w:gridCol w:w="1187"/>
        <w:gridCol w:w="1187"/>
      </w:tblGrid>
      <w:tr>
        <w:tc>
          <w:tcPr>
            <w:tcW w:type="dxa" w:w="1187"/>
          </w:tcPr>
          <w:p>
            <w:pPr>
              <w:pStyle w:val="null3"/>
            </w:pPr>
            <w:r>
              <w:rPr/>
              <w:t>品目号</w:t>
            </w:r>
          </w:p>
        </w:tc>
        <w:tc>
          <w:tcPr>
            <w:tcW w:type="dxa" w:w="1424"/>
          </w:tcPr>
          <w:p>
            <w:pPr>
              <w:pStyle w:val="null3"/>
            </w:pPr>
            <w:r>
              <w:rPr/>
              <w:t>品目名称</w:t>
            </w:r>
          </w:p>
        </w:tc>
        <w:tc>
          <w:tcPr>
            <w:tcW w:type="dxa" w:w="2136"/>
          </w:tcPr>
          <w:p>
            <w:pPr>
              <w:pStyle w:val="null3"/>
            </w:pPr>
            <w:r>
              <w:rPr/>
              <w:t>采购标的</w:t>
            </w:r>
          </w:p>
        </w:tc>
        <w:tc>
          <w:tcPr>
            <w:tcW w:type="dxa" w:w="1187"/>
          </w:tcPr>
          <w:p>
            <w:pPr>
              <w:pStyle w:val="null3"/>
            </w:pPr>
            <w:r>
              <w:rPr/>
              <w:t>数量（单位）</w:t>
            </w:r>
          </w:p>
        </w:tc>
        <w:tc>
          <w:tcPr>
            <w:tcW w:type="dxa" w:w="1187"/>
          </w:tcPr>
          <w:p>
            <w:pPr>
              <w:pStyle w:val="null3"/>
            </w:pPr>
            <w:r>
              <w:rPr/>
              <w:t>技术规格、参数及要求</w:t>
            </w:r>
          </w:p>
        </w:tc>
        <w:tc>
          <w:tcPr>
            <w:tcW w:type="dxa" w:w="1187"/>
          </w:tcPr>
          <w:p>
            <w:pPr>
              <w:pStyle w:val="null3"/>
            </w:pPr>
            <w:r>
              <w:rPr/>
              <w:t>是否允许进口产品</w:t>
            </w:r>
          </w:p>
        </w:tc>
      </w:tr>
      <w:tr>
        <w:tc>
          <w:tcPr>
            <w:tcW w:type="dxa" w:w="1187"/>
          </w:tcPr>
          <w:p>
            <w:pPr>
              <w:pStyle w:val="null3"/>
            </w:pPr>
            <w:r>
              <w:rPr/>
              <w:t>1-1</w:t>
            </w:r>
          </w:p>
        </w:tc>
        <w:tc>
          <w:tcPr>
            <w:tcW w:type="dxa" w:w="1424"/>
          </w:tcPr>
          <w:p>
            <w:pPr>
              <w:pStyle w:val="null3"/>
            </w:pPr>
            <w:r>
              <w:rPr/>
              <w:t>其他服务</w:t>
            </w:r>
          </w:p>
        </w:tc>
        <w:tc>
          <w:tcPr>
            <w:tcW w:type="dxa" w:w="2136"/>
          </w:tcPr>
          <w:p>
            <w:pPr>
              <w:pStyle w:val="null3"/>
            </w:pPr>
            <w:r>
              <w:rPr/>
              <w:t>全市井盖设施管理监督、抽查、应急处置</w:t>
            </w:r>
          </w:p>
        </w:tc>
        <w:tc>
          <w:tcPr>
            <w:tcW w:type="dxa" w:w="1187"/>
          </w:tcPr>
          <w:p>
            <w:pPr>
              <w:pStyle w:val="null3"/>
            </w:pPr>
            <w:r>
              <w:rPr/>
              <w:t>1.00(项)</w:t>
            </w:r>
          </w:p>
        </w:tc>
        <w:tc>
          <w:tcPr>
            <w:tcW w:type="dxa" w:w="1187"/>
          </w:tcPr>
          <w:p>
            <w:pPr>
              <w:pStyle w:val="null3"/>
            </w:pPr>
            <w:r>
              <w:rPr/>
              <w:t>详见第二章</w:t>
            </w:r>
          </w:p>
        </w:tc>
        <w:tc>
          <w:tcPr>
            <w:tcW w:type="dxa" w:w="1187"/>
          </w:tcPr>
          <w:p>
            <w:pPr>
              <w:pStyle w:val="null3"/>
            </w:pPr>
            <w:r>
              <w:rPr/>
              <w:t>否</w:t>
            </w:r>
          </w:p>
        </w:tc>
      </w:tr>
    </w:tbl>
    <w:p>
      <w:pPr>
        <w:pStyle w:val="null3"/>
      </w:pPr>
      <w:r>
        <w:rPr>
          <w:b/>
        </w:rPr>
        <w:t>本采购包涉及本国产品清单</w:t>
      </w:r>
    </w:p>
    <w:tbl>
      <w:tblPr>
        <w:tblW w:w="0" w:type="auto"/>
        <w:tblBorders>
          <w:top w:val="single"/>
          <w:left w:val="single"/>
          <w:bottom w:val="single"/>
          <w:right w:val="single"/>
          <w:insideH w:val="single"/>
          <w:insideV w:val="single"/>
        </w:tblBorders>
      </w:tblPr>
      <w:tblGrid>
        <w:gridCol w:w="2076"/>
        <w:gridCol w:w="2076"/>
        <w:gridCol w:w="2076"/>
        <w:gridCol w:w="2076"/>
      </w:tblGrid>
      <w:tr>
        <w:tc>
          <w:tcPr>
            <w:tcW w:type="dxa" w:w="2076"/>
          </w:tcPr>
          <w:p>
            <w:pPr>
              <w:pStyle w:val="null3"/>
              <w:jc w:val="center"/>
            </w:pPr>
            <w:r>
              <w:rPr/>
              <w:t>序号</w:t>
            </w:r>
          </w:p>
        </w:tc>
        <w:tc>
          <w:tcPr>
            <w:tcW w:type="dxa" w:w="2076"/>
          </w:tcPr>
          <w:p>
            <w:pPr>
              <w:pStyle w:val="null3"/>
              <w:jc w:val="center"/>
            </w:pPr>
            <w:r>
              <w:rPr/>
              <w:t>品目名称</w:t>
            </w:r>
          </w:p>
        </w:tc>
        <w:tc>
          <w:tcPr>
            <w:tcW w:type="dxa" w:w="2076"/>
          </w:tcPr>
          <w:p>
            <w:pPr>
              <w:pStyle w:val="null3"/>
              <w:jc w:val="center"/>
            </w:pPr>
            <w:r>
              <w:rPr/>
              <w:t>采购标的</w:t>
            </w:r>
          </w:p>
        </w:tc>
        <w:tc>
          <w:tcPr>
            <w:tcW w:type="dxa" w:w="2076"/>
          </w:tcPr>
          <w:p>
            <w:pPr>
              <w:pStyle w:val="null3"/>
              <w:jc w:val="center"/>
            </w:pPr>
            <w:r>
              <w:rPr/>
              <w:t>产品名称</w:t>
            </w:r>
          </w:p>
        </w:tc>
      </w:tr>
      <w:tr>
        <w:tc>
          <w:tcPr>
            <w:tcW w:type="dxa" w:w="8304"/>
            <w:gridSpan w:val="4"/>
          </w:tcPr>
          <w:p>
            <w:pPr>
              <w:pStyle w:val="null3"/>
              <w:jc w:val="center"/>
            </w:pPr>
            <w:r>
              <w:rPr/>
              <w:t>不涉及</w:t>
            </w:r>
          </w:p>
        </w:tc>
      </w:tr>
    </w:tbl>
    <w:p>
      <w:pPr>
        <w:pStyle w:val="null3"/>
      </w:pPr>
      <w:r>
        <w:rPr/>
        <w:t>本采购包不接受联合体投标</w:t>
      </w:r>
    </w:p>
    <w:p>
      <w:pPr>
        <w:pStyle w:val="null3"/>
      </w:pPr>
      <w:r>
        <w:rPr/>
        <w:t>合同分包：不允许合同分包</w:t>
      </w:r>
    </w:p>
    <w:p>
      <w:pPr>
        <w:pStyle w:val="null3"/>
      </w:pPr>
      <w:r>
        <w:rPr/>
        <w:t>合同履行期限：本项目一招三年，合同一年一签。第一年合同服务期为12个月（2026年7月21日至2027年7月20日），第一年预算金额为317万元，投标人需在不超过第一年的预算限价下进行报价。 第二年、第三年合同是否续签由采购人视当年年度采购预算批复情况，并结合前一合同周期履约情况而定。,第二年、第三年合同金额不超过首年合同金额（项目三年总预算金额为950.45万元）。每期自合同签署有效之日起1年。</w:t>
      </w:r>
    </w:p>
    <w:p>
      <w:pPr>
        <w:pStyle w:val="null3"/>
        <w:outlineLvl w:val="2"/>
      </w:pPr>
      <w:r>
        <w:rPr>
          <w:sz w:val="28"/>
          <w:b/>
        </w:rPr>
        <w:t>二.投标人的资格要求</w:t>
      </w:r>
    </w:p>
    <w:p>
      <w:pPr>
        <w:pStyle w:val="null3"/>
        <w:outlineLvl w:val="3"/>
      </w:pPr>
      <w:r>
        <w:rPr>
          <w:sz w:val="24"/>
          <w:b/>
        </w:rPr>
        <w:t>1.投标人应具备《中华人民共和国政府采购法》第二十二条规定的条件，提供下列材料：</w:t>
      </w:r>
    </w:p>
    <w:p>
      <w:pPr>
        <w:pStyle w:val="null3"/>
      </w:pPr>
      <w:r>
        <w:rPr/>
        <w:t>1）具有独立承担民事责任的能力：在中华人民共和国境内注册的法人或其他组织或自然人。分支机构响应的，总公司出具给分支机构的授权书。</w:t>
      </w:r>
    </w:p>
    <w:p>
      <w:pPr>
        <w:pStyle w:val="null3"/>
      </w:pPr>
      <w:r>
        <w:rPr/>
        <w:t>2）有依法缴纳税收和社会保障资金的良好记录：提供承诺函，格式自拟。</w:t>
      </w:r>
    </w:p>
    <w:p>
      <w:pPr>
        <w:pStyle w:val="null3"/>
      </w:pPr>
      <w:r>
        <w:rPr/>
        <w:t>3）具有良好的商业信誉和健全的财务会计制度：提供承诺函，格式自拟。</w:t>
      </w:r>
    </w:p>
    <w:p>
      <w:pPr>
        <w:pStyle w:val="null3"/>
      </w:pPr>
      <w:r>
        <w:rPr/>
        <w:t>4）履行合同所必需的设备和专业技术能力：提供承诺函，格式自拟。</w:t>
      </w:r>
    </w:p>
    <w:p>
      <w:pPr>
        <w:pStyle w:val="null3"/>
      </w:pPr>
      <w:r>
        <w:rPr/>
        <w:t>5）参加采购活动前3年内，在经营活动中没有重大违法记录：提供承诺函，格式自拟【重大违法记录，是指供应商因违法经营受到刑事处罚或者责令停产停业、吊销许可证或者执照、较大数额罚款等行政处罚。（“较大数额罚款”认定为200万元以上的罚款，法律、行政法规以及国务院有关部门明确规定相关领域“较大数额罚款”标准高于200万元的，从其规定。）】</w:t>
      </w:r>
    </w:p>
    <w:p>
      <w:pPr>
        <w:pStyle w:val="null3"/>
        <w:outlineLvl w:val="3"/>
      </w:pPr>
      <w:r>
        <w:rPr>
          <w:sz w:val="24"/>
          <w:b/>
        </w:rPr>
        <w:t>2.落实政府采购政策需满足的资格要求：</w:t>
      </w:r>
    </w:p>
    <w:p>
      <w:pPr>
        <w:pStyle w:val="null3"/>
        <w:jc w:val="left"/>
      </w:pPr>
      <w:r>
        <w:rPr/>
        <w:t>采购包1（广州市城市管理和综合执法局全市井盖设施管理监督、抽查、应急处置项目）：</w:t>
      </w:r>
      <w:r>
        <w:rPr/>
        <w:t>1. 本项目整体专门面向小微企业（小型企业或微型企业）采购。1.1投标人须为符合本项目采购标的对应行业（其他未列明行业）政策划分标准的小微企业（提供《中小企业声明函（工程、服务）》）。1.2根据有关政策，视同为小微企业的其他情形：① 若投标人为残疾人福利性单位，提供《残疾人福利性单位声明函》。② 若投标人为监狱企业，提供由省级以上监狱管理局、戒毒管理局(含新疆生产建设兵团)出具的属于监狱企业的证明文件。</w:t>
      </w:r>
    </w:p>
    <w:p>
      <w:pPr>
        <w:pStyle w:val="null3"/>
        <w:outlineLvl w:val="3"/>
      </w:pPr>
      <w:r>
        <w:rPr>
          <w:sz w:val="24"/>
          <w:b/>
        </w:rPr>
        <w:t>3.本项目特定的资格要求：</w:t>
      </w:r>
    </w:p>
    <w:p>
      <w:pPr>
        <w:pStyle w:val="null3"/>
      </w:pPr>
      <w:r>
        <w:rPr/>
        <w:t>采购包1（广州市城市管理和综合执法局全市井盖设施管理监督、抽查、应急处置项目）：</w:t>
      </w:r>
    </w:p>
    <w:p>
      <w:pPr>
        <w:pStyle w:val="null3"/>
      </w:pPr>
      <w:r>
        <w:rPr/>
        <w:t>1)供应商未被列入“信用中国”网站(www.creditchina.gov.cn)“记录失信被执行人或重大税收违法案件当事人名单（即税收违法黑名单）或环境保护、知识产权等领域严重违法失信行为”记录名单；不处于中国政府采购网(www.ccgp.gov.cn)“政府采购严重违法失信行为信息记录”中的禁止参加政府采购活动期间。（以采购代理机构于投标（响应）截止时间当天在“信用中国”网站（www.creditchina.gov.cn）及中国政府采购网（http://www.ccgp.gov.cn/）查询结果为准，如相关失信记录已失效，供应商需提供相关证明资料）</w:t>
      </w:r>
    </w:p>
    <w:p>
      <w:pPr>
        <w:pStyle w:val="null3"/>
      </w:pPr>
      <w:r>
        <w:rPr/>
        <w:t>2)供应商必须符合法律、行政法规规定的其他条件</w:t>
      </w:r>
    </w:p>
    <w:p>
      <w:pPr>
        <w:pStyle w:val="null3"/>
      </w:pPr>
      <w:r>
        <w:rPr/>
        <w:t>3)单位负责人为同一人或者存在直接控股、管理关系的不同供应商，不得参加同一包号投标或者未划分包号的同一招标项目投标。(投标人出具声明函)</w:t>
      </w:r>
    </w:p>
    <w:p>
      <w:pPr>
        <w:pStyle w:val="null3"/>
      </w:pPr>
      <w:r>
        <w:rPr/>
        <w:t>4)为采购项目提供整体设计、规范编制或者项目管理、监理、检测等服务的供应商，不得再参加该采购项目的其他采购活动。(投标人出具声明函)</w:t>
      </w:r>
    </w:p>
    <w:p>
      <w:pPr>
        <w:pStyle w:val="null3"/>
      </w:pPr>
      <w:r>
        <w:rPr/>
        <w:t>5)已获取本次采购文件。(具体方式详见本项目公告)</w:t>
      </w:r>
    </w:p>
    <w:p>
      <w:pPr>
        <w:pStyle w:val="null3"/>
      </w:pPr>
      <w:r>
        <w:rPr/>
        <w:t>6)本项目不接受联合体响应，不得分包、转包（提供承诺函，格式自拟）</w:t>
      </w:r>
    </w:p>
    <w:p>
      <w:pPr>
        <w:pStyle w:val="null3"/>
        <w:outlineLvl w:val="2"/>
      </w:pPr>
      <w:r>
        <w:rPr>
          <w:sz w:val="28"/>
          <w:b/>
        </w:rPr>
        <w:t>三.获取招标文件</w:t>
      </w:r>
    </w:p>
    <w:p>
      <w:pPr>
        <w:pStyle w:val="null3"/>
        <w:ind w:firstLine="480"/>
      </w:pPr>
      <w:r>
        <w:rPr/>
        <w:t>时间：详见招标公告及其变更公告（如有）</w:t>
      </w:r>
    </w:p>
    <w:p>
      <w:pPr>
        <w:pStyle w:val="null3"/>
        <w:ind w:firstLine="480"/>
      </w:pPr>
      <w:r>
        <w:rPr/>
        <w:t>地点：详见招标公告及其变更公告（如有）</w:t>
      </w:r>
    </w:p>
    <w:p>
      <w:pPr>
        <w:pStyle w:val="null3"/>
        <w:ind w:firstLine="480"/>
      </w:pPr>
      <w:r>
        <w:rPr/>
        <w:t xml:space="preserve"> 获取方式：在线获取。供应商应从广东省政府采购网（https://gdgpo.czt.gd.gov.cn/）上广东政府采购智慧云平台（以下简称“云平台”）的政府采购供应商入口进行免费注册后，登录进入项目采购系统完成项目投标登记并在线获取招标文件（未按上述方式获取招标文件的供应商，其投标资格将被视为无效）。</w:t>
      </w:r>
    </w:p>
    <w:p>
      <w:pPr>
        <w:pStyle w:val="null3"/>
        <w:ind w:firstLine="480"/>
      </w:pPr>
      <w:r>
        <w:rPr/>
        <w:t>售价：免费</w:t>
      </w:r>
    </w:p>
    <w:p>
      <w:pPr>
        <w:pStyle w:val="null3"/>
        <w:outlineLvl w:val="2"/>
      </w:pPr>
      <w:r>
        <w:rPr>
          <w:sz w:val="28"/>
          <w:b/>
        </w:rPr>
        <w:t>四.提交投标文件截止时间、开标时间和地点：</w:t>
      </w:r>
    </w:p>
    <w:p>
      <w:pPr>
        <w:pStyle w:val="null3"/>
        <w:ind w:firstLine="480"/>
      </w:pPr>
      <w:r>
        <w:rPr/>
        <w:t xml:space="preserve"> 提交投标文件截止时间和开标时间：详见招标公告及其变更公告（如有）</w:t>
      </w:r>
    </w:p>
    <w:p>
      <w:pPr>
        <w:pStyle w:val="null3"/>
        <w:ind w:firstLine="480"/>
      </w:pPr>
      <w:r>
        <w:rPr/>
        <w:t xml:space="preserve"> （自招标文件开始发出之日起至投标人提交投标文件截止之日止，不得少于20日）</w:t>
      </w:r>
    </w:p>
    <w:p>
      <w:pPr>
        <w:pStyle w:val="null3"/>
        <w:ind w:firstLine="480"/>
      </w:pPr>
      <w:r>
        <w:rPr/>
        <w:t xml:space="preserve"> 地点：详见招标公告及其变更公告（如有）</w:t>
      </w:r>
    </w:p>
    <w:p>
      <w:pPr>
        <w:pStyle w:val="null3"/>
        <w:outlineLvl w:val="2"/>
      </w:pPr>
      <w:r>
        <w:rPr>
          <w:sz w:val="28"/>
          <w:b/>
        </w:rPr>
        <w:t>五.公告期限、发布公告的媒介：</w:t>
      </w:r>
    </w:p>
    <w:p>
      <w:pPr>
        <w:pStyle w:val="null3"/>
        <w:ind w:firstLine="480"/>
      </w:pPr>
      <w:r>
        <w:rPr/>
        <w:t xml:space="preserve"> 1、公告期限：自本公告发布之日起不得少于5个工作日。</w:t>
      </w:r>
    </w:p>
    <w:p>
      <w:pPr>
        <w:pStyle w:val="null3"/>
        <w:ind w:firstLine="480"/>
      </w:pPr>
      <w:r>
        <w:rPr/>
        <w:t xml:space="preserve"> 2、发布公告的媒介：中国政府采购网(www.ccgp.gov.cn)，广东省政府采购网(https://gdgpo.czt.gd.gov.cn/)</w:t>
      </w:r>
      <w:r>
        <w:rPr/>
        <w:t>国义招标股份有限公司网站（https://www.ebidding.com/）</w:t>
      </w:r>
      <w:r>
        <w:rPr/>
        <w:t>。</w:t>
      </w:r>
    </w:p>
    <w:p>
      <w:pPr>
        <w:pStyle w:val="null3"/>
        <w:outlineLvl w:val="2"/>
      </w:pPr>
      <w:r>
        <w:rPr>
          <w:sz w:val="28"/>
          <w:b/>
        </w:rPr>
        <w:t>六.本项目联系方式：</w:t>
      </w:r>
    </w:p>
    <w:p>
      <w:pPr>
        <w:pStyle w:val="null3"/>
        <w:outlineLvl w:val="3"/>
      </w:pPr>
      <w:r>
        <w:rPr>
          <w:sz w:val="24"/>
          <w:b/>
        </w:rPr>
        <w:t xml:space="preserve"> 1.采购人信息</w:t>
      </w:r>
    </w:p>
    <w:p>
      <w:pPr>
        <w:pStyle w:val="null3"/>
        <w:ind w:firstLine="480"/>
      </w:pPr>
      <w:r>
        <w:rPr/>
        <w:t xml:space="preserve"> 名称：</w:t>
      </w:r>
      <w:r>
        <w:rPr/>
        <w:t>广州市城市管理和综合执法局</w:t>
      </w:r>
    </w:p>
    <w:p>
      <w:pPr>
        <w:pStyle w:val="null3"/>
        <w:ind w:firstLine="480"/>
      </w:pPr>
      <w:r>
        <w:rPr/>
        <w:t xml:space="preserve"> 地址：</w:t>
      </w:r>
      <w:r>
        <w:rPr/>
        <w:t>广州市越秀区文明路贤思街34号</w:t>
      </w:r>
    </w:p>
    <w:p>
      <w:pPr>
        <w:pStyle w:val="null3"/>
        <w:ind w:firstLine="480"/>
      </w:pPr>
      <w:r>
        <w:rPr/>
        <w:t xml:space="preserve"> 联系方式：</w:t>
      </w:r>
      <w:r>
        <w:rPr/>
        <w:t>020-86668475</w:t>
      </w:r>
    </w:p>
    <w:p>
      <w:pPr>
        <w:pStyle w:val="null3"/>
        <w:outlineLvl w:val="3"/>
      </w:pPr>
      <w:r>
        <w:rPr>
          <w:sz w:val="24"/>
          <w:b/>
        </w:rPr>
        <w:t xml:space="preserve"> 2.采购代理机构信息</w:t>
      </w:r>
    </w:p>
    <w:p>
      <w:pPr>
        <w:pStyle w:val="null3"/>
        <w:ind w:firstLine="480"/>
      </w:pPr>
      <w:r>
        <w:rPr/>
        <w:t xml:space="preserve"> 名称：</w:t>
      </w:r>
      <w:r>
        <w:rPr/>
        <w:t>国义招标股份有限公司</w:t>
      </w:r>
    </w:p>
    <w:p>
      <w:pPr>
        <w:pStyle w:val="null3"/>
        <w:ind w:firstLine="480"/>
      </w:pPr>
      <w:r>
        <w:rPr/>
        <w:t xml:space="preserve"> 地址：</w:t>
      </w:r>
      <w:r>
        <w:rPr/>
        <w:t>广东省广州市越秀区东风东路726号16-18楼</w:t>
      </w:r>
    </w:p>
    <w:p>
      <w:pPr>
        <w:pStyle w:val="null3"/>
        <w:ind w:firstLine="480"/>
      </w:pPr>
      <w:r>
        <w:rPr/>
        <w:t xml:space="preserve"> 联系方式：</w:t>
      </w:r>
      <w:r>
        <w:rPr/>
        <w:t>020-37860535\37860526</w:t>
      </w:r>
    </w:p>
    <w:p>
      <w:pPr>
        <w:pStyle w:val="null3"/>
        <w:outlineLvl w:val="3"/>
      </w:pPr>
      <w:r>
        <w:rPr>
          <w:sz w:val="24"/>
          <w:b/>
        </w:rPr>
        <w:t xml:space="preserve"> 3.项目联系方式</w:t>
      </w:r>
    </w:p>
    <w:p>
      <w:pPr>
        <w:pStyle w:val="null3"/>
        <w:ind w:firstLine="480"/>
      </w:pPr>
      <w:r>
        <w:rPr/>
        <w:t xml:space="preserve"> 项目联系人：</w:t>
      </w:r>
      <w:r>
        <w:rPr/>
        <w:t>郑发权、邓子华</w:t>
      </w:r>
    </w:p>
    <w:p>
      <w:pPr>
        <w:pStyle w:val="null3"/>
        <w:ind w:firstLine="480"/>
      </w:pPr>
      <w:r>
        <w:rPr/>
        <w:t xml:space="preserve"> 电话：</w:t>
      </w:r>
      <w:r>
        <w:rPr/>
        <w:t>020-37860535\37860526</w:t>
      </w:r>
    </w:p>
    <w:p>
      <w:pPr>
        <w:pStyle w:val="null3"/>
        <w:outlineLvl w:val="3"/>
      </w:pPr>
      <w:r>
        <w:rPr>
          <w:sz w:val="24"/>
          <w:b/>
        </w:rPr>
        <w:t xml:space="preserve"> 4.技术支持联系方式</w:t>
      </w:r>
    </w:p>
    <w:p>
      <w:pPr>
        <w:pStyle w:val="null3"/>
        <w:ind w:firstLine="480"/>
      </w:pPr>
      <w:r>
        <w:rPr/>
        <w:t>云平台联系方式：020-88696588</w:t>
      </w:r>
    </w:p>
    <w:p>
      <w:pPr>
        <w:pStyle w:val="null3"/>
        <w:ind w:firstLine="480"/>
      </w:pPr>
      <w:r>
        <w:rPr/>
        <w:t>开标评标服务专线：020-88696599</w:t>
      </w:r>
    </w:p>
    <w:p>
      <w:pPr>
        <w:pStyle w:val="null3"/>
      </w:pPr>
      <w:r>
        <w:rPr/>
        <w:t xml:space="preserve"> 采购代理机构：</w:t>
      </w:r>
      <w:r>
        <w:rPr/>
        <w:t>国义招标股份有限公司</w:t>
      </w:r>
    </w:p>
    <w:p>
      <w:pPr>
        <w:pStyle w:val="null3"/>
        <w:ind w:firstLine="480"/>
      </w:pPr>
      <w:r>
        <w:rPr/>
        <w:t xml:space="preserve">  </w:t>
      </w:r>
    </w:p>
    <w:p>
      <w:pPr>
        <w:pStyle w:val="null3"/>
        <w:jc w:val="center"/>
        <w:outlineLvl w:val="1"/>
      </w:pPr>
      <w:r>
        <w:rPr>
          <w:sz w:val="36"/>
          <w:b/>
        </w:rPr>
        <w:t>第二章 采购需求</w:t>
      </w:r>
    </w:p>
    <w:p>
      <w:pPr>
        <w:pStyle w:val="null3"/>
        <w:outlineLvl w:val="2"/>
      </w:pPr>
      <w:r>
        <w:rPr>
          <w:sz w:val="28"/>
          <w:b/>
        </w:rPr>
        <w:t>一、项目概况：</w:t>
      </w:r>
    </w:p>
    <w:p>
      <w:pPr>
        <w:pStyle w:val="null3"/>
      </w:pPr>
      <w:r>
        <w:rPr>
          <w:sz w:val="21"/>
          <w:b/>
        </w:rPr>
        <w:t>（一）</w:t>
      </w:r>
      <w:r>
        <w:rPr>
          <w:sz w:val="21"/>
          <w:b/>
        </w:rPr>
        <w:t>项目背景</w:t>
      </w:r>
    </w:p>
    <w:p>
      <w:pPr>
        <w:pStyle w:val="null3"/>
        <w:ind w:firstLine="420"/>
        <w:jc w:val="both"/>
      </w:pPr>
      <w:r>
        <w:rPr>
          <w:sz w:val="21"/>
        </w:rPr>
        <w:t>为进一步落实《广州市井盖设施管理办法》，强化井盖设施工作的统筹协调，加强全市井盖设施工作措施，落实属地监管部门、权属单位主体责任，有效整治井盖设施维护管理问题隐患，切实保障人民群众</w:t>
      </w:r>
      <w:r>
        <w:rPr>
          <w:sz w:val="21"/>
        </w:rPr>
        <w:t>“脚下安全”，确保井盖设施管理有序、有效。在总结近年井盖设施管理监督、抽查、应急处置项目经验基础上，通过购买服务的形式开展</w:t>
      </w:r>
      <w:r>
        <w:rPr>
          <w:sz w:val="21"/>
        </w:rPr>
        <w:t>202</w:t>
      </w:r>
      <w:r>
        <w:rPr>
          <w:sz w:val="21"/>
        </w:rPr>
        <w:t>6-2028</w:t>
      </w:r>
      <w:r>
        <w:rPr>
          <w:sz w:val="21"/>
        </w:rPr>
        <w:t>年全市井盖设施管理监督、抽查、应急处置工作。</w:t>
      </w:r>
    </w:p>
    <w:p>
      <w:pPr>
        <w:pStyle w:val="null3"/>
        <w:jc w:val="both"/>
      </w:pPr>
      <w:r>
        <w:rPr>
          <w:sz w:val="21"/>
          <w:b/>
        </w:rPr>
        <w:t>（二）</w:t>
      </w:r>
      <w:r>
        <w:rPr>
          <w:sz w:val="21"/>
          <w:b/>
        </w:rPr>
        <w:t>项目概况</w:t>
      </w:r>
    </w:p>
    <w:p>
      <w:pPr>
        <w:pStyle w:val="null3"/>
        <w:ind w:firstLine="420"/>
        <w:jc w:val="both"/>
      </w:pPr>
      <w:r>
        <w:rPr>
          <w:sz w:val="21"/>
        </w:rPr>
        <w:t>（</w:t>
      </w:r>
      <w:r>
        <w:rPr>
          <w:sz w:val="21"/>
        </w:rPr>
        <w:t>1</w:t>
      </w:r>
      <w:r>
        <w:rPr>
          <w:sz w:val="21"/>
        </w:rPr>
        <w:t>）项目预算金额：</w:t>
      </w:r>
      <w:r>
        <w:rPr>
          <w:sz w:val="21"/>
        </w:rPr>
        <w:t>第一年合同预算金额为</w:t>
      </w:r>
      <w:r>
        <w:rPr>
          <w:sz w:val="21"/>
        </w:rPr>
        <w:t>317</w:t>
      </w:r>
      <w:r>
        <w:rPr>
          <w:sz w:val="21"/>
        </w:rPr>
        <w:t>万元（项目三年总预算金额为</w:t>
      </w:r>
      <w:r>
        <w:rPr>
          <w:sz w:val="21"/>
        </w:rPr>
        <w:t>950.45</w:t>
      </w:r>
      <w:r>
        <w:rPr>
          <w:sz w:val="21"/>
        </w:rPr>
        <w:t>万元）；</w:t>
      </w:r>
    </w:p>
    <w:p>
      <w:pPr>
        <w:pStyle w:val="null3"/>
        <w:ind w:firstLine="420"/>
        <w:jc w:val="both"/>
      </w:pPr>
      <w:r>
        <w:rPr>
          <w:sz w:val="21"/>
        </w:rPr>
        <w:t>（</w:t>
      </w:r>
      <w:r>
        <w:rPr>
          <w:sz w:val="21"/>
        </w:rPr>
        <w:t>2</w:t>
      </w:r>
      <w:r>
        <w:rPr>
          <w:sz w:val="21"/>
        </w:rPr>
        <w:t>）合同履行期限：</w:t>
      </w:r>
      <w:r>
        <w:rPr>
          <w:sz w:val="21"/>
        </w:rPr>
        <w:t>本项目一招三年，合同一年一签。第一年合同服务期为</w:t>
      </w:r>
      <w:r>
        <w:rPr>
          <w:sz w:val="21"/>
        </w:rPr>
        <w:t>12</w:t>
      </w:r>
      <w:r>
        <w:rPr>
          <w:sz w:val="21"/>
        </w:rPr>
        <w:t>个月（</w:t>
      </w:r>
      <w:r>
        <w:rPr>
          <w:sz w:val="21"/>
        </w:rPr>
        <w:t>2026</w:t>
      </w:r>
      <w:r>
        <w:rPr>
          <w:sz w:val="21"/>
        </w:rPr>
        <w:t>年</w:t>
      </w:r>
      <w:r>
        <w:rPr>
          <w:sz w:val="21"/>
        </w:rPr>
        <w:t>7</w:t>
      </w:r>
      <w:r>
        <w:rPr>
          <w:sz w:val="21"/>
        </w:rPr>
        <w:t>月</w:t>
      </w:r>
      <w:r>
        <w:rPr>
          <w:sz w:val="21"/>
        </w:rPr>
        <w:t>21</w:t>
      </w:r>
      <w:r>
        <w:rPr>
          <w:sz w:val="21"/>
        </w:rPr>
        <w:t>日至</w:t>
      </w:r>
      <w:r>
        <w:rPr>
          <w:sz w:val="21"/>
        </w:rPr>
        <w:t>2027</w:t>
      </w:r>
      <w:r>
        <w:rPr>
          <w:sz w:val="21"/>
        </w:rPr>
        <w:t>年</w:t>
      </w:r>
      <w:r>
        <w:rPr>
          <w:sz w:val="21"/>
        </w:rPr>
        <w:t>7</w:t>
      </w:r>
      <w:r>
        <w:rPr>
          <w:sz w:val="21"/>
        </w:rPr>
        <w:t>月</w:t>
      </w:r>
      <w:r>
        <w:rPr>
          <w:sz w:val="21"/>
        </w:rPr>
        <w:t>20</w:t>
      </w:r>
      <w:r>
        <w:rPr>
          <w:sz w:val="21"/>
        </w:rPr>
        <w:t>日），第一年预算金额为</w:t>
      </w:r>
      <w:r>
        <w:rPr>
          <w:sz w:val="21"/>
        </w:rPr>
        <w:t>317</w:t>
      </w:r>
      <w:r>
        <w:rPr>
          <w:sz w:val="21"/>
        </w:rPr>
        <w:t>万元，投标人需在不超过第一年的预算限价下进行报价。 第二年、第三年合同是否续签由采购人视当年年度采购预算批复情况，并结合前一</w:t>
      </w:r>
      <w:r>
        <w:rPr>
          <w:sz w:val="21"/>
        </w:rPr>
        <w:t>合同周期履约情况</w:t>
      </w:r>
      <w:r>
        <w:rPr>
          <w:sz w:val="21"/>
        </w:rPr>
        <w:t>而定。</w:t>
      </w:r>
      <w:r>
        <w:rPr>
          <w:sz w:val="21"/>
        </w:rPr>
        <w:t>,</w:t>
      </w:r>
      <w:r>
        <w:rPr>
          <w:sz w:val="21"/>
        </w:rPr>
        <w:t>第二年、第三年合同金额不超过首年合同金额（项目三年总预算金额为</w:t>
      </w:r>
      <w:r>
        <w:rPr>
          <w:sz w:val="21"/>
        </w:rPr>
        <w:t>950.45</w:t>
      </w:r>
      <w:r>
        <w:rPr>
          <w:sz w:val="21"/>
        </w:rPr>
        <w:t>万元）。每期自合同签署有效之日起</w:t>
      </w:r>
      <w:r>
        <w:rPr>
          <w:sz w:val="21"/>
        </w:rPr>
        <w:t>1</w:t>
      </w:r>
      <w:r>
        <w:rPr>
          <w:sz w:val="21"/>
        </w:rPr>
        <w:t>年</w:t>
      </w:r>
      <w:r>
        <w:rPr>
          <w:sz w:val="21"/>
        </w:rPr>
        <w:t>。</w:t>
      </w:r>
    </w:p>
    <w:p>
      <w:pPr>
        <w:pStyle w:val="null3"/>
        <w:ind w:firstLine="420"/>
        <w:jc w:val="both"/>
      </w:pPr>
      <w:r>
        <w:rPr>
          <w:sz w:val="21"/>
        </w:rPr>
        <w:t>（</w:t>
      </w:r>
      <w:r>
        <w:rPr>
          <w:sz w:val="21"/>
        </w:rPr>
        <w:t>3</w:t>
      </w:r>
      <w:r>
        <w:rPr>
          <w:sz w:val="21"/>
        </w:rPr>
        <w:t>）报价要求：投标报价应当包含本项目全部服务费、专用工具</w:t>
      </w:r>
      <w:r>
        <w:rPr>
          <w:sz w:val="21"/>
        </w:rPr>
        <w:t>/</w:t>
      </w:r>
      <w:r>
        <w:rPr>
          <w:sz w:val="21"/>
        </w:rPr>
        <w:t>设备及机械费等费用、材料费、人工费、技术分析成本、交通费、检测费，应向中华人民共和国政府缴纳的增值税和其他税等全部税费、保险、伴随服务，以及履行合同所需的费用、所有风险、责任等其他一切隐含及不可预见的费用等；报价不得超过本项目预算金额（最高限价）。</w:t>
      </w:r>
      <w:r>
        <w:rPr>
          <w:sz w:val="21"/>
        </w:rPr>
        <w:t>参照以下分项报价的格式进行详细报价（其中信息系统租赁费用报价明显低于其他通过符合性审查投标人的报价，有可能影响产品质量或者不能诚信履约的，评标委员会有权要求其在评标现场合理的时间内提供书面说明，必要时提交相关证明材料），此分项报价需提供在投标文件中，</w:t>
      </w:r>
      <w:r>
        <w:rPr>
          <w:sz w:val="21"/>
        </w:rPr>
        <w:t>此报价仅作参考</w:t>
      </w:r>
      <w:r>
        <w:rPr>
          <w:sz w:val="21"/>
        </w:rPr>
        <w:t>：</w:t>
      </w:r>
    </w:p>
    <w:tbl>
      <w:tblPr>
        <w:tblW w:w="0" w:type="auto"/>
        <w:tblBorders>
          <w:top w:val="none" w:color="000000" w:sz="4"/>
          <w:left w:val="none" w:color="000000" w:sz="4"/>
          <w:bottom w:val="none" w:color="000000" w:sz="4"/>
          <w:right w:val="none" w:color="000000" w:sz="4"/>
          <w:insideH w:val="none"/>
          <w:insideV w:val="none"/>
        </w:tblBorders>
      </w:tblPr>
      <w:tblGrid>
        <w:gridCol w:w="672"/>
        <w:gridCol w:w="2018"/>
        <w:gridCol w:w="701"/>
        <w:gridCol w:w="687"/>
        <w:gridCol w:w="833"/>
        <w:gridCol w:w="1652"/>
        <w:gridCol w:w="1710"/>
      </w:tblGrid>
      <w:tr>
        <w:tc>
          <w:tcPr>
            <w:tcW w:type="dxa" w:w="67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1"/>
                <w:color w:val="000000"/>
              </w:rPr>
              <w:t>项目</w:t>
            </w:r>
          </w:p>
        </w:tc>
        <w:tc>
          <w:tcPr>
            <w:tcW w:type="dxa" w:w="2018"/>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firstLine="420"/>
              <w:jc w:val="both"/>
            </w:pPr>
            <w:r>
              <w:rPr>
                <w:sz w:val="21"/>
                <w:color w:val="000000"/>
              </w:rPr>
              <w:t>明细</w:t>
            </w:r>
          </w:p>
        </w:tc>
        <w:tc>
          <w:tcPr>
            <w:tcW w:type="dxa" w:w="70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1"/>
                <w:color w:val="000000"/>
              </w:rPr>
              <w:t>单价</w:t>
            </w:r>
          </w:p>
        </w:tc>
        <w:tc>
          <w:tcPr>
            <w:tcW w:type="dxa" w:w="68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1"/>
                <w:color w:val="000000"/>
              </w:rPr>
              <w:t>数量</w:t>
            </w:r>
          </w:p>
        </w:tc>
        <w:tc>
          <w:tcPr>
            <w:tcW w:type="dxa" w:w="83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1"/>
                <w:color w:val="000000"/>
              </w:rPr>
              <w:t>总额（元）</w:t>
            </w:r>
          </w:p>
        </w:tc>
        <w:tc>
          <w:tcPr>
            <w:tcW w:type="dxa" w:w="165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1"/>
                <w:color w:val="000000"/>
              </w:rPr>
              <w:t>测算依据</w:t>
            </w:r>
            <w:r>
              <w:rPr>
                <w:sz w:val="21"/>
                <w:color w:val="000000"/>
              </w:rPr>
              <w:t>/</w:t>
            </w:r>
            <w:r>
              <w:rPr>
                <w:sz w:val="21"/>
                <w:color w:val="000000"/>
              </w:rPr>
              <w:t>标准</w:t>
            </w:r>
          </w:p>
        </w:tc>
        <w:tc>
          <w:tcPr>
            <w:tcW w:type="dxa" w:w="171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firstLine="420"/>
              <w:jc w:val="both"/>
            </w:pPr>
            <w:r>
              <w:rPr>
                <w:sz w:val="21"/>
                <w:color w:val="000000"/>
              </w:rPr>
              <w:t>备注</w:t>
            </w:r>
          </w:p>
        </w:tc>
      </w:tr>
      <w:tr>
        <w:tc>
          <w:tcPr>
            <w:tcW w:type="dxa" w:w="67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1"/>
                <w:color w:val="000000"/>
              </w:rPr>
              <w:t>人力</w:t>
            </w:r>
            <w:r>
              <w:rPr>
                <w:sz w:val="21"/>
                <w:color w:val="000000"/>
              </w:rPr>
              <w:t>资源费用</w:t>
            </w:r>
          </w:p>
        </w:tc>
        <w:tc>
          <w:tcPr>
            <w:tcW w:type="dxa" w:w="201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1"/>
                <w:color w:val="000000"/>
              </w:rPr>
              <w:t>分别列示</w:t>
            </w:r>
            <w:r>
              <w:rPr>
                <w:sz w:val="21"/>
              </w:rPr>
              <w:t>项目负责人</w:t>
            </w:r>
            <w:r>
              <w:rPr>
                <w:sz w:val="21"/>
              </w:rPr>
              <w:t>1人</w:t>
            </w:r>
            <w:r>
              <w:rPr>
                <w:sz w:val="21"/>
              </w:rPr>
              <w:t>、</w:t>
            </w:r>
            <w:r>
              <w:rPr>
                <w:sz w:val="21"/>
              </w:rPr>
              <w:t>专职联络员</w:t>
            </w:r>
            <w:r>
              <w:rPr>
                <w:sz w:val="21"/>
              </w:rPr>
              <w:t>1人</w:t>
            </w:r>
            <w:r>
              <w:rPr>
                <w:sz w:val="21"/>
              </w:rPr>
              <w:t>、</w:t>
            </w:r>
            <w:r>
              <w:rPr>
                <w:sz w:val="21"/>
              </w:rPr>
              <w:t>抽查</w:t>
            </w:r>
            <w:r>
              <w:rPr>
                <w:sz w:val="21"/>
              </w:rPr>
              <w:t>人员</w:t>
            </w:r>
            <w:r>
              <w:rPr>
                <w:sz w:val="21"/>
              </w:rPr>
              <w:t>12人</w:t>
            </w:r>
            <w:r>
              <w:rPr>
                <w:sz w:val="21"/>
              </w:rPr>
              <w:t>费用</w:t>
            </w:r>
          </w:p>
        </w:tc>
        <w:tc>
          <w:tcPr>
            <w:tcW w:type="dxa" w:w="70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firstLine="420"/>
            </w:pPr>
          </w:p>
        </w:tc>
        <w:tc>
          <w:tcPr>
            <w:tcW w:type="dxa" w:w="68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c>
          <w:tcPr>
            <w:tcW w:type="dxa" w:w="83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c>
          <w:tcPr>
            <w:tcW w:type="dxa" w:w="165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c>
          <w:tcPr>
            <w:tcW w:type="dxa" w:w="171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1"/>
              </w:rPr>
              <w:t>含税费、管理费等相关费用</w:t>
            </w:r>
          </w:p>
        </w:tc>
      </w:tr>
      <w:tr>
        <w:tc>
          <w:tcPr>
            <w:tcW w:type="dxa" w:w="67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1"/>
                <w:color w:val="000000"/>
              </w:rPr>
              <w:t>电子标签费用</w:t>
            </w:r>
          </w:p>
        </w:tc>
        <w:tc>
          <w:tcPr>
            <w:tcW w:type="dxa" w:w="201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1"/>
              </w:rPr>
              <w:t>3000个井盖设施加装电子标签</w:t>
            </w:r>
          </w:p>
        </w:tc>
        <w:tc>
          <w:tcPr>
            <w:tcW w:type="dxa" w:w="70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firstLine="420"/>
            </w:pPr>
          </w:p>
        </w:tc>
        <w:tc>
          <w:tcPr>
            <w:tcW w:type="dxa" w:w="68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c>
          <w:tcPr>
            <w:tcW w:type="dxa" w:w="83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c>
          <w:tcPr>
            <w:tcW w:type="dxa" w:w="165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c>
          <w:tcPr>
            <w:tcW w:type="dxa" w:w="171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1"/>
              </w:rPr>
              <w:t>含税费、管理费等相关费用</w:t>
            </w:r>
          </w:p>
        </w:tc>
      </w:tr>
      <w:tr>
        <w:tc>
          <w:tcPr>
            <w:tcW w:type="dxa" w:w="67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1"/>
                <w:color w:val="000000"/>
              </w:rPr>
              <w:t>问题井盖送检费用</w:t>
            </w:r>
          </w:p>
        </w:tc>
        <w:tc>
          <w:tcPr>
            <w:tcW w:type="dxa" w:w="201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1"/>
              </w:rPr>
              <w:t>30个疑似存在质量问题的井盖实施送检</w:t>
            </w:r>
          </w:p>
        </w:tc>
        <w:tc>
          <w:tcPr>
            <w:tcW w:type="dxa" w:w="70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firstLine="420"/>
            </w:pPr>
          </w:p>
        </w:tc>
        <w:tc>
          <w:tcPr>
            <w:tcW w:type="dxa" w:w="68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c>
          <w:tcPr>
            <w:tcW w:type="dxa" w:w="83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c>
          <w:tcPr>
            <w:tcW w:type="dxa" w:w="165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c>
          <w:tcPr>
            <w:tcW w:type="dxa" w:w="171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1"/>
              </w:rPr>
              <w:t>含税费、管理费等相关费用</w:t>
            </w:r>
          </w:p>
        </w:tc>
      </w:tr>
      <w:tr>
        <w:tc>
          <w:tcPr>
            <w:tcW w:type="dxa" w:w="67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1"/>
                <w:color w:val="000000"/>
              </w:rPr>
              <w:t>应急处置费用</w:t>
            </w:r>
          </w:p>
        </w:tc>
        <w:tc>
          <w:tcPr>
            <w:tcW w:type="dxa" w:w="201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1"/>
              </w:rPr>
              <w:t>50个</w:t>
            </w:r>
            <w:r>
              <w:rPr>
                <w:sz w:val="21"/>
              </w:rPr>
              <w:t>问题井盖应急处置</w:t>
            </w:r>
          </w:p>
        </w:tc>
        <w:tc>
          <w:tcPr>
            <w:tcW w:type="dxa" w:w="70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firstLine="420"/>
            </w:pPr>
          </w:p>
        </w:tc>
        <w:tc>
          <w:tcPr>
            <w:tcW w:type="dxa" w:w="68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c>
          <w:tcPr>
            <w:tcW w:type="dxa" w:w="83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c>
          <w:tcPr>
            <w:tcW w:type="dxa" w:w="165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c>
          <w:tcPr>
            <w:tcW w:type="dxa" w:w="171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1"/>
              </w:rPr>
              <w:t>含税费、管理费等相关费用</w:t>
            </w:r>
          </w:p>
        </w:tc>
      </w:tr>
      <w:tr>
        <w:tc>
          <w:tcPr>
            <w:tcW w:type="dxa" w:w="67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1"/>
                <w:color w:val="000000"/>
              </w:rPr>
              <w:t>信息系统租赁费用</w:t>
            </w:r>
          </w:p>
        </w:tc>
        <w:tc>
          <w:tcPr>
            <w:tcW w:type="dxa" w:w="201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1"/>
                <w:color w:val="000000"/>
              </w:rPr>
              <w:t>根据项目需要列示</w:t>
            </w:r>
            <w:r>
              <w:rPr>
                <w:sz w:val="21"/>
                <w:color w:val="000000"/>
              </w:rPr>
              <w:t>每年信息系统使用成本</w:t>
            </w:r>
          </w:p>
        </w:tc>
        <w:tc>
          <w:tcPr>
            <w:tcW w:type="dxa" w:w="70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firstLine="420"/>
            </w:pPr>
          </w:p>
        </w:tc>
        <w:tc>
          <w:tcPr>
            <w:tcW w:type="dxa" w:w="68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c>
          <w:tcPr>
            <w:tcW w:type="dxa" w:w="83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c>
          <w:tcPr>
            <w:tcW w:type="dxa" w:w="165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c>
          <w:tcPr>
            <w:tcW w:type="dxa" w:w="171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pPr>
            <w:r>
              <w:rPr>
                <w:sz w:val="21"/>
              </w:rPr>
              <w:t>含税费、管理费等相关费用</w:t>
            </w:r>
          </w:p>
        </w:tc>
      </w:tr>
      <w:tr>
        <w:tc>
          <w:tcPr>
            <w:tcW w:type="dxa" w:w="67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1"/>
                <w:color w:val="000000"/>
              </w:rPr>
              <w:t>其他费用</w:t>
            </w:r>
          </w:p>
        </w:tc>
        <w:tc>
          <w:tcPr>
            <w:tcW w:type="dxa" w:w="201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1"/>
                <w:color w:val="000000"/>
              </w:rPr>
              <w:t>根据项目需要列示各类型设备、</w:t>
            </w:r>
            <w:r>
              <w:rPr>
                <w:sz w:val="21"/>
                <w:color w:val="000000"/>
              </w:rPr>
              <w:t>车辆、</w:t>
            </w:r>
            <w:r>
              <w:rPr>
                <w:sz w:val="21"/>
                <w:color w:val="000000"/>
              </w:rPr>
              <w:t>工具的购置费、各类型物料</w:t>
            </w:r>
            <w:r>
              <w:rPr>
                <w:sz w:val="21"/>
                <w:color w:val="000000"/>
              </w:rPr>
              <w:t>/</w:t>
            </w:r>
            <w:r>
              <w:rPr>
                <w:sz w:val="21"/>
                <w:color w:val="000000"/>
              </w:rPr>
              <w:t>耗材、</w:t>
            </w:r>
            <w:r>
              <w:rPr>
                <w:sz w:val="21"/>
                <w:color w:val="000000"/>
              </w:rPr>
              <w:t>应急演练、</w:t>
            </w:r>
            <w:r>
              <w:rPr>
                <w:sz w:val="21"/>
                <w:color w:val="000000"/>
              </w:rPr>
              <w:t>折旧费、租赁费用等</w:t>
            </w:r>
          </w:p>
        </w:tc>
        <w:tc>
          <w:tcPr>
            <w:tcW w:type="dxa" w:w="70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firstLine="420"/>
            </w:pPr>
          </w:p>
        </w:tc>
        <w:tc>
          <w:tcPr>
            <w:tcW w:type="dxa" w:w="68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c>
          <w:tcPr>
            <w:tcW w:type="dxa" w:w="83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c>
          <w:tcPr>
            <w:tcW w:type="dxa" w:w="165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c>
          <w:tcPr>
            <w:tcW w:type="dxa" w:w="171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1"/>
              </w:rPr>
              <w:t>含税费、管理费等相关费用</w:t>
            </w:r>
          </w:p>
        </w:tc>
      </w:tr>
      <w:tr>
        <w:tc>
          <w:tcPr>
            <w:tcW w:type="dxa" w:w="4911"/>
            <w:gridSpan w:val="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firstLine="420"/>
              <w:jc w:val="right"/>
            </w:pPr>
            <w:r>
              <w:rPr>
                <w:sz w:val="21"/>
                <w:color w:val="000000"/>
              </w:rPr>
              <w:t>总计</w:t>
            </w:r>
            <w:r>
              <w:rPr>
                <w:sz w:val="21"/>
                <w:color w:val="000000"/>
              </w:rPr>
              <w:t xml:space="preserve">   </w:t>
            </w:r>
          </w:p>
        </w:tc>
        <w:tc>
          <w:tcPr>
            <w:tcW w:type="dxa" w:w="165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firstLine="420"/>
            </w:pPr>
          </w:p>
        </w:tc>
        <w:tc>
          <w:tcPr>
            <w:tcW w:type="dxa" w:w="171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r>
    </w:tbl>
    <w:p>
      <w:pPr>
        <w:pStyle w:val="null3"/>
        <w:jc w:val="both"/>
      </w:pPr>
      <w:r>
        <w:rPr>
          <w:sz w:val="21"/>
        </w:rPr>
        <w:t>（</w:t>
      </w:r>
      <w:r>
        <w:rPr>
          <w:sz w:val="21"/>
        </w:rPr>
        <w:t>4</w:t>
      </w:r>
      <w:r>
        <w:rPr>
          <w:sz w:val="21"/>
        </w:rPr>
        <w:t>）</w:t>
      </w:r>
      <w:r>
        <w:rPr>
          <w:sz w:val="21"/>
        </w:rPr>
        <w:t>合同续签要求：</w:t>
      </w:r>
      <w:r>
        <w:rPr>
          <w:sz w:val="21"/>
        </w:rPr>
        <w:t>第二年和第三年合同金额以当年预算批复金额为准，如因财政削减导致预算不足，或者</w:t>
      </w:r>
      <w:r>
        <w:rPr>
          <w:sz w:val="21"/>
        </w:rPr>
        <w:t>前一</w:t>
      </w:r>
      <w:r>
        <w:rPr>
          <w:sz w:val="21"/>
        </w:rPr>
        <w:t>合同周期履约情况</w:t>
      </w:r>
      <w:r>
        <w:rPr>
          <w:sz w:val="21"/>
        </w:rPr>
        <w:t>不达标</w:t>
      </w:r>
      <w:r>
        <w:rPr>
          <w:sz w:val="21"/>
        </w:rPr>
        <w:t>（</w:t>
      </w:r>
      <w:r>
        <w:rPr>
          <w:sz w:val="21"/>
        </w:rPr>
        <w:t>合同履约考核标准</w:t>
      </w:r>
      <w:r>
        <w:rPr>
          <w:sz w:val="21"/>
        </w:rPr>
        <w:t>详见</w:t>
      </w:r>
      <w:r>
        <w:rPr>
          <w:sz w:val="21"/>
        </w:rPr>
        <w:t>招标文件第五章合同文本附件</w:t>
      </w:r>
      <w:r>
        <w:rPr>
          <w:sz w:val="21"/>
        </w:rPr>
        <w:t>5</w:t>
      </w:r>
      <w:r>
        <w:rPr>
          <w:sz w:val="21"/>
        </w:rPr>
        <w:t>《</w:t>
      </w:r>
      <w:r>
        <w:rPr>
          <w:sz w:val="21"/>
        </w:rPr>
        <w:t>合同履约考核标准</w:t>
      </w:r>
      <w:r>
        <w:rPr>
          <w:sz w:val="21"/>
        </w:rPr>
        <w:t>》）</w:t>
      </w:r>
      <w:r>
        <w:rPr>
          <w:sz w:val="21"/>
        </w:rPr>
        <w:t>，</w:t>
      </w:r>
      <w:r>
        <w:rPr>
          <w:sz w:val="21"/>
        </w:rPr>
        <w:t>经双方协商后，可终止续签。</w:t>
      </w:r>
    </w:p>
    <w:p>
      <w:pPr>
        <w:pStyle w:val="null3"/>
        <w:ind w:firstLine="420"/>
        <w:jc w:val="both"/>
      </w:pPr>
      <w:r>
        <w:rPr>
          <w:sz w:val="21"/>
        </w:rPr>
        <w:t>（</w:t>
      </w:r>
      <w:r>
        <w:rPr>
          <w:sz w:val="21"/>
        </w:rPr>
        <w:t>5</w:t>
      </w:r>
      <w:r>
        <w:rPr>
          <w:sz w:val="21"/>
        </w:rPr>
        <w:t>）</w:t>
      </w:r>
      <w:r>
        <w:rPr>
          <w:sz w:val="21"/>
        </w:rPr>
        <w:t>其他要求：</w:t>
      </w:r>
      <w:r>
        <w:rPr>
          <w:sz w:val="21"/>
        </w:rPr>
        <w:t>1.</w:t>
      </w:r>
      <w:r>
        <w:rPr>
          <w:sz w:val="21"/>
        </w:rPr>
        <w:t>本项目合同履行期内如发生人身安全及其他事故，一切责任和赔偿由中标供应商全权承担。</w:t>
      </w:r>
      <w:r>
        <w:rPr>
          <w:sz w:val="21"/>
        </w:rPr>
        <w:t>2.</w:t>
      </w:r>
      <w:r>
        <w:rPr>
          <w:sz w:val="21"/>
        </w:rPr>
        <w:t>中标供应商不得将本项目转包给第三方单位。</w:t>
      </w:r>
      <w:r>
        <w:rPr>
          <w:sz w:val="21"/>
        </w:rPr>
        <w:t>3.</w:t>
      </w:r>
      <w:r>
        <w:rPr>
          <w:sz w:val="21"/>
        </w:rPr>
        <w:t>中标供应商应在采购人要求的时间进度内完成本项目所有工作内容及相关服务。在项目实施过程中，采购人若发现中标供应商存在人员不到位、管理混乱、技术力量不足等可能导致项目无法按时完成的问题，有权要求中标供应商进行整改。</w:t>
      </w:r>
    </w:p>
    <w:p>
      <w:pPr>
        <w:pStyle w:val="null3"/>
      </w:pPr>
      <w:r>
        <w:rPr/>
        <w:t>采购包1（广州市城市管理和综合执法局全市井盖设施管理监督、抽查、应急处置项目）</w:t>
      </w:r>
      <w:r>
        <w:rPr>
          <w:b/>
        </w:rPr>
        <w:t>1.主要商务要求</w:t>
      </w:r>
    </w:p>
    <w:tbl>
      <w:tblPr>
        <w:tblW w:w="0" w:type="auto"/>
        <w:tblBorders>
          <w:top w:val="single"/>
          <w:left w:val="single"/>
          <w:bottom w:val="single"/>
          <w:right w:val="single"/>
          <w:insideH w:val="single"/>
          <w:insideV w:val="single"/>
        </w:tblBorders>
      </w:tblPr>
      <w:tblGrid>
        <w:gridCol w:w="4153"/>
        <w:gridCol w:w="4153"/>
      </w:tblGrid>
      <w:tr>
        <w:tc>
          <w:tcPr>
            <w:tcW w:type="dxa" w:w="4153"/>
          </w:tcPr>
          <w:p>
            <w:pPr>
              <w:pStyle w:val="null3"/>
            </w:pPr>
            <w:r>
              <w:rPr/>
              <w:t>标的提供的时间</w:t>
            </w:r>
          </w:p>
        </w:tc>
        <w:tc>
          <w:tcPr>
            <w:tcW w:type="dxa" w:w="4153"/>
          </w:tcPr>
          <w:p>
            <w:pPr>
              <w:pStyle w:val="null3"/>
            </w:pPr>
            <w:r>
              <w:rPr/>
              <w:t>本项目一招三年，合同一年一签。第一年合同服务期为12个月（2026年7月21日至2027年7月20日），第一年预算金额为317万元，投标人需在不超过第一年的预算限价下进行报价。 第二年、第三年合同是否续签由采购人视当年年度采购预算批复情况，并结合前一合同周期履约情况而定。第二年、第三年合同金额不超过首年合同金额（项目三年总预算金额为950.45万元）。每期自合同签署有效之日起1年。</w:t>
            </w:r>
          </w:p>
        </w:tc>
      </w:tr>
      <w:tr>
        <w:tc>
          <w:tcPr>
            <w:tcW w:type="dxa" w:w="4153"/>
          </w:tcPr>
          <w:p>
            <w:pPr>
              <w:pStyle w:val="null3"/>
            </w:pPr>
            <w:r>
              <w:rPr/>
              <w:t>标的提供的地点</w:t>
            </w:r>
          </w:p>
        </w:tc>
        <w:tc>
          <w:tcPr>
            <w:tcW w:type="dxa" w:w="4153"/>
          </w:tcPr>
          <w:p>
            <w:pPr>
              <w:pStyle w:val="null3"/>
            </w:pPr>
            <w:r>
              <w:rPr/>
              <w:t>采购人指定地点</w:t>
            </w:r>
          </w:p>
        </w:tc>
      </w:tr>
      <w:tr>
        <w:tc>
          <w:tcPr>
            <w:tcW w:type="dxa" w:w="4153"/>
          </w:tcPr>
          <w:p>
            <w:pPr>
              <w:pStyle w:val="null3"/>
            </w:pPr>
            <w:r>
              <w:rPr/>
              <w:t>付款方式</w:t>
            </w:r>
          </w:p>
        </w:tc>
        <w:tc>
          <w:tcPr>
            <w:tcW w:type="dxa" w:w="4153"/>
          </w:tcPr>
          <w:p>
            <w:pPr>
              <w:pStyle w:val="null3"/>
            </w:pPr>
            <w:r>
              <w:rPr/>
              <w:t>1期：支付比例30%,服务开始之日且收到中标供应商开具的等额有效发票后5个工作日内，采购人向中标供应商支付项目服务费用的30%作为预付款（需中标供应商提供开工实施申请）</w:t>
            </w:r>
          </w:p>
          <w:p>
            <w:pPr>
              <w:pStyle w:val="null3"/>
            </w:pPr>
            <w:r>
              <w:rPr/>
              <w:t>2期：支付比例40%,中标供应商向采购人提交半年阶段性工作报告后，经采购人审核同意并收到中标供应商开具的等额有效发票后5个工作日内，采购人向中标供应商支付项目服务费用的40%</w:t>
            </w:r>
          </w:p>
          <w:p>
            <w:pPr>
              <w:pStyle w:val="null3"/>
            </w:pPr>
            <w:r>
              <w:rPr/>
              <w:t>3期：支付比例30%,服务完成后，中标供应商向采购人提交所有进度工作资料及履行项目完毕的证明文件，且经采购人组织项目验收合格并收到中标供应商开具的等额有效发票后5个工作日内，采购人向中标供应商支付项目服务费用的30%。 注：中标供应商凭以下有效文件与采购人结算： 1.合同及项目过程文档； 2.中标供应商开具的正式发票； 3.中标通知书； 4.验收/成果报告等采购人要求的其他相关结算资料</w:t>
            </w:r>
          </w:p>
          <w:p>
            <w:pPr>
              <w:pStyle w:val="null3"/>
            </w:pPr>
            <w:r>
              <w:rPr/>
              <w:t>如项目发生合同融资，采购人需将合同款项支付到合同约定收款账户</w:t>
            </w:r>
          </w:p>
        </w:tc>
      </w:tr>
      <w:tr>
        <w:tc>
          <w:tcPr>
            <w:tcW w:type="dxa" w:w="4153"/>
          </w:tcPr>
          <w:p>
            <w:pPr>
              <w:pStyle w:val="null3"/>
            </w:pPr>
            <w:r>
              <w:rPr/>
              <w:t>验收要求</w:t>
            </w:r>
          </w:p>
        </w:tc>
        <w:tc>
          <w:tcPr>
            <w:tcW w:type="dxa" w:w="4153"/>
          </w:tcPr>
          <w:p>
            <w:pPr>
              <w:pStyle w:val="null3"/>
            </w:pPr>
            <w:r>
              <w:rPr/>
              <w:t>1期：中标供应商提交项目成果须满足验收要求，按项目进度提交工作台账资料，包括但不限于：工作小结、项目附件材料(项目附件材料包括但不限于日常检查记录、工作方案、会议纪要、质检报告、问题井盖检测报告、日常报送材料等台账资料)。服务期内：提交工作总结1份、半年工作总结不少于1份、每季度工作报告不少于1份、每月工作报告不少于1份。采购人组织第三方专家进行验收，产生的相关费用含在投标报价中。</w:t>
            </w:r>
          </w:p>
        </w:tc>
      </w:tr>
      <w:tr>
        <w:tc>
          <w:tcPr>
            <w:tcW w:type="dxa" w:w="4153"/>
          </w:tcPr>
          <w:p>
            <w:pPr>
              <w:pStyle w:val="null3"/>
            </w:pPr>
            <w:r>
              <w:rPr/>
              <w:t>履约保证金</w:t>
            </w:r>
          </w:p>
        </w:tc>
        <w:tc>
          <w:tcPr>
            <w:tcW w:type="dxa" w:w="4153"/>
          </w:tcPr>
          <w:p>
            <w:pPr>
              <w:pStyle w:val="null3"/>
            </w:pPr>
            <w:r>
              <w:rPr/>
              <w:t>不收取</w:t>
            </w:r>
          </w:p>
        </w:tc>
      </w:tr>
      <w:tr>
        <w:tc>
          <w:tcPr>
            <w:tcW w:type="dxa" w:w="4153"/>
          </w:tcPr>
          <w:p>
            <w:pPr>
              <w:pStyle w:val="null3"/>
            </w:pPr>
            <w:r>
              <w:rPr/>
              <w:t>其他</w:t>
            </w:r>
          </w:p>
        </w:tc>
        <w:tc>
          <w:tcPr>
            <w:tcW w:type="dxa" w:w="4153"/>
          </w:tcPr>
          <w:p>
            <w:pPr>
              <w:pStyle w:val="null3"/>
            </w:pPr>
            <w:r>
              <w:rPr/>
              <w:t>其他，真实性和有效性，同意采购方以任何形式对我方响应文件内容及采购方认为有必要的相关资料的真实性和有效性进行审查、验证 采购文件附件，供应商应将采购公告的采购文件附件中“补充附件”内容填写好相关信息后附在响应文件中</w:t>
            </w:r>
          </w:p>
        </w:tc>
      </w:tr>
    </w:tbl>
    <w:p>
      <w:pPr>
        <w:pStyle w:val="null3"/>
      </w:pPr>
      <w:r>
        <w:rPr>
          <w:b/>
        </w:rPr>
        <w:t>2.技术标准与要求</w:t>
      </w:r>
    </w:p>
    <w:tbl>
      <w:tblPr>
        <w:tblW w:w="0" w:type="auto"/>
        <w:tblBorders>
          <w:top w:val="single"/>
          <w:left w:val="single"/>
          <w:bottom w:val="single"/>
          <w:right w:val="single"/>
          <w:insideH w:val="single"/>
          <w:insideV w:val="single"/>
        </w:tblBorders>
      </w:tblPr>
      <w:tblGrid>
        <w:gridCol w:w="933"/>
        <w:gridCol w:w="933"/>
        <w:gridCol w:w="933"/>
        <w:gridCol w:w="933"/>
        <w:gridCol w:w="933"/>
        <w:gridCol w:w="933"/>
        <w:gridCol w:w="933"/>
        <w:gridCol w:w="840"/>
        <w:gridCol w:w="933"/>
      </w:tblGrid>
      <w:tr>
        <w:tc>
          <w:tcPr>
            <w:tcW w:type="dxa" w:w="933"/>
          </w:tcPr>
          <w:p>
            <w:pPr>
              <w:pStyle w:val="null3"/>
              <w:jc w:val="center"/>
            </w:pPr>
            <w:r>
              <w:rPr/>
              <w:t>序号</w:t>
            </w:r>
          </w:p>
        </w:tc>
        <w:tc>
          <w:tcPr>
            <w:tcW w:type="dxa" w:w="933"/>
          </w:tcPr>
          <w:p>
            <w:pPr>
              <w:pStyle w:val="null3"/>
              <w:jc w:val="center"/>
            </w:pPr>
            <w:r>
              <w:rPr/>
              <w:t>品目名称</w:t>
            </w:r>
          </w:p>
        </w:tc>
        <w:tc>
          <w:tcPr>
            <w:tcW w:type="dxa" w:w="933"/>
          </w:tcPr>
          <w:p>
            <w:pPr>
              <w:pStyle w:val="null3"/>
              <w:jc w:val="center"/>
            </w:pPr>
            <w:r>
              <w:rPr/>
              <w:t>标的名称</w:t>
            </w:r>
          </w:p>
        </w:tc>
        <w:tc>
          <w:tcPr>
            <w:tcW w:type="dxa" w:w="933"/>
          </w:tcPr>
          <w:p>
            <w:pPr>
              <w:pStyle w:val="null3"/>
              <w:jc w:val="center"/>
            </w:pPr>
            <w:r>
              <w:rPr/>
              <w:t>单位</w:t>
            </w:r>
          </w:p>
        </w:tc>
        <w:tc>
          <w:tcPr>
            <w:tcW w:type="dxa" w:w="933"/>
          </w:tcPr>
          <w:p>
            <w:pPr>
              <w:pStyle w:val="null3"/>
              <w:jc w:val="center"/>
            </w:pPr>
            <w:r>
              <w:rPr/>
              <w:t>数量</w:t>
            </w:r>
          </w:p>
        </w:tc>
        <w:tc>
          <w:tcPr>
            <w:tcW w:type="dxa" w:w="933"/>
          </w:tcPr>
          <w:p>
            <w:pPr>
              <w:pStyle w:val="null3"/>
              <w:jc w:val="center"/>
            </w:pPr>
            <w:r>
              <w:rPr/>
              <w:t>分项预算单价（元）</w:t>
            </w:r>
          </w:p>
        </w:tc>
        <w:tc>
          <w:tcPr>
            <w:tcW w:type="dxa" w:w="933"/>
          </w:tcPr>
          <w:p>
            <w:pPr>
              <w:pStyle w:val="null3"/>
              <w:jc w:val="center"/>
            </w:pPr>
            <w:r>
              <w:rPr/>
              <w:t>分项预算总价（元）</w:t>
            </w:r>
          </w:p>
        </w:tc>
        <w:tc>
          <w:tcPr>
            <w:tcW w:type="dxa" w:w="840"/>
          </w:tcPr>
          <w:p>
            <w:pPr>
              <w:pStyle w:val="null3"/>
            </w:pPr>
            <w:r>
              <w:rPr/>
              <w:t>所属行业</w:t>
            </w:r>
          </w:p>
        </w:tc>
        <w:tc>
          <w:tcPr>
            <w:tcW w:type="dxa" w:w="933"/>
          </w:tcPr>
          <w:p>
            <w:pPr>
              <w:pStyle w:val="null3"/>
              <w:jc w:val="center"/>
            </w:pPr>
            <w:r>
              <w:rPr/>
              <w:t>技术要求</w:t>
            </w:r>
          </w:p>
        </w:tc>
      </w:tr>
      <w:tr>
        <w:tc>
          <w:tcPr>
            <w:tcW w:type="dxa" w:w="933"/>
          </w:tcPr>
          <w:p>
            <w:pPr>
              <w:pStyle w:val="null3"/>
              <w:jc w:val="center"/>
            </w:pPr>
            <w:r>
              <w:rPr/>
              <w:t>1</w:t>
            </w:r>
          </w:p>
        </w:tc>
        <w:tc>
          <w:tcPr>
            <w:tcW w:type="dxa" w:w="933"/>
          </w:tcPr>
          <w:p>
            <w:pPr>
              <w:pStyle w:val="null3"/>
              <w:jc w:val="left"/>
            </w:pPr>
            <w:r>
              <w:rPr/>
              <w:t>其他服务</w:t>
            </w:r>
          </w:p>
        </w:tc>
        <w:tc>
          <w:tcPr>
            <w:tcW w:type="dxa" w:w="933"/>
          </w:tcPr>
          <w:p>
            <w:pPr>
              <w:pStyle w:val="null3"/>
              <w:jc w:val="left"/>
            </w:pPr>
            <w:r>
              <w:rPr/>
              <w:t>全市井盖设施管理监督、抽查、应急处置</w:t>
            </w:r>
          </w:p>
        </w:tc>
        <w:tc>
          <w:tcPr>
            <w:tcW w:type="dxa" w:w="933"/>
          </w:tcPr>
          <w:p>
            <w:pPr>
              <w:pStyle w:val="null3"/>
              <w:jc w:val="left"/>
            </w:pPr>
            <w:r>
              <w:rPr/>
              <w:t>项</w:t>
            </w:r>
          </w:p>
        </w:tc>
        <w:tc>
          <w:tcPr>
            <w:tcW w:type="dxa" w:w="933"/>
          </w:tcPr>
          <w:p>
            <w:pPr>
              <w:pStyle w:val="null3"/>
              <w:jc w:val="right"/>
            </w:pPr>
            <w:r>
              <w:rPr/>
              <w:t>1.00</w:t>
            </w:r>
          </w:p>
        </w:tc>
        <w:tc>
          <w:tcPr>
            <w:tcW w:type="dxa" w:w="933"/>
          </w:tcPr>
          <w:p>
            <w:pPr>
              <w:pStyle w:val="null3"/>
              <w:jc w:val="right"/>
            </w:pPr>
            <w:r>
              <w:rPr/>
              <w:t>3,170,000.00</w:t>
            </w:r>
          </w:p>
        </w:tc>
        <w:tc>
          <w:tcPr>
            <w:tcW w:type="dxa" w:w="933"/>
          </w:tcPr>
          <w:p>
            <w:pPr>
              <w:pStyle w:val="null3"/>
              <w:jc w:val="right"/>
            </w:pPr>
            <w:r>
              <w:rPr/>
              <w:t>3,170,000.00</w:t>
            </w:r>
          </w:p>
        </w:tc>
        <w:tc>
          <w:tcPr>
            <w:tcW w:type="dxa" w:w="840"/>
          </w:tcPr>
          <w:p>
            <w:pPr>
              <w:pStyle w:val="null3"/>
            </w:pPr>
            <w:r>
              <w:rPr/>
              <w:t>其他未列明行业</w:t>
            </w:r>
          </w:p>
        </w:tc>
        <w:tc>
          <w:tcPr>
            <w:tcW w:type="dxa" w:w="933"/>
          </w:tcPr>
          <w:p>
            <w:pPr>
              <w:pStyle w:val="null3"/>
            </w:pPr>
            <w:r>
              <w:rPr/>
              <w:t>详见附表一</w:t>
            </w:r>
          </w:p>
        </w:tc>
      </w:tr>
    </w:tbl>
    <w:p>
      <w:pPr>
        <w:pStyle w:val="null3"/>
      </w:pPr>
      <w:r>
        <w:rPr>
          <w:b/>
        </w:rPr>
        <w:t>附表</w:t>
      </w:r>
      <w:r>
        <w:rPr>
          <w:b/>
        </w:rPr>
        <w:t>一</w:t>
      </w:r>
      <w:r>
        <w:rPr>
          <w:b/>
        </w:rPr>
        <w:t>：</w:t>
      </w:r>
      <w:r>
        <w:rPr>
          <w:b/>
        </w:rPr>
        <w:t>全市井盖设施管理监督、抽查、应急处置</w:t>
      </w:r>
    </w:p>
    <w:tbl>
      <w:tblPr>
        <w:tblW w:w="0" w:type="auto"/>
        <w:tblBorders>
          <w:top w:val="single"/>
          <w:left w:val="single"/>
          <w:bottom w:val="single"/>
          <w:right w:val="single"/>
          <w:insideH w:val="single"/>
          <w:insideV w:val="single"/>
        </w:tblBorders>
      </w:tblPr>
      <w:tblGrid>
        <w:gridCol w:w="2076"/>
        <w:gridCol w:w="415"/>
        <w:gridCol w:w="5814"/>
      </w:tblGrid>
      <w:tr>
        <w:tc>
          <w:tcPr>
            <w:tcW w:type="dxa" w:w="2076"/>
          </w:tcPr>
          <w:p>
            <w:pPr>
              <w:pStyle w:val="null3"/>
            </w:pPr>
            <w:r>
              <w:rPr/>
              <w:t>参数性质</w:t>
            </w:r>
          </w:p>
        </w:tc>
        <w:tc>
          <w:tcPr>
            <w:tcW w:type="dxa" w:w="415"/>
          </w:tcPr>
          <w:p>
            <w:pPr>
              <w:pStyle w:val="null3"/>
            </w:pPr>
            <w:r>
              <w:rPr/>
              <w:t>序号</w:t>
            </w:r>
          </w:p>
        </w:tc>
        <w:tc>
          <w:tcPr>
            <w:tcW w:type="dxa" w:w="5814"/>
          </w:tcPr>
          <w:p>
            <w:pPr>
              <w:pStyle w:val="null3"/>
            </w:pPr>
            <w:r>
              <w:rPr/>
              <w:t>具体技术(参数)要求</w:t>
            </w:r>
          </w:p>
        </w:tc>
      </w:tr>
      <w:tr>
        <w:tc>
          <w:tcPr>
            <w:tcW w:type="dxa" w:w="2076"/>
          </w:tcPr>
          <w:p/>
        </w:tc>
        <w:tc>
          <w:tcPr>
            <w:tcW w:type="dxa" w:w="415"/>
          </w:tcPr>
          <w:p>
            <w:pPr>
              <w:pStyle w:val="null3"/>
            </w:pPr>
            <w:r>
              <w:rPr/>
              <w:t>1</w:t>
            </w:r>
          </w:p>
        </w:tc>
        <w:tc>
          <w:tcPr>
            <w:tcW w:type="dxa" w:w="5814"/>
          </w:tcPr>
          <w:p>
            <w:pPr>
              <w:pStyle w:val="null3"/>
              <w:spacing w:after="120"/>
              <w:jc w:val="left"/>
            </w:pPr>
            <w:r>
              <w:rPr>
                <w:sz w:val="21"/>
                <w:b/>
              </w:rPr>
              <w:t>一、</w:t>
            </w:r>
            <w:r>
              <w:rPr>
                <w:sz w:val="21"/>
                <w:b/>
              </w:rPr>
              <w:t>服务内容</w:t>
            </w:r>
          </w:p>
          <w:p>
            <w:pPr>
              <w:pStyle w:val="null3"/>
              <w:spacing w:after="120"/>
              <w:jc w:val="left"/>
            </w:pPr>
            <w:r>
              <w:rPr>
                <w:sz w:val="21"/>
              </w:rPr>
              <w:t>（一）负责对全市各区重点区域井盖设施维护管理情况按照采购人要求进行巡查（重点巡查区域及巡查频次要求详见</w:t>
            </w:r>
            <w:r>
              <w:rPr>
                <w:sz w:val="21"/>
              </w:rPr>
              <w:t>招标文件第五章合同文本附件</w:t>
            </w:r>
            <w:r>
              <w:rPr>
                <w:sz w:val="21"/>
              </w:rPr>
              <w:t>1</w:t>
            </w:r>
            <w:r>
              <w:rPr>
                <w:sz w:val="21"/>
              </w:rPr>
              <w:t>《广州市井盖设施重点巡查区域》）。</w:t>
            </w:r>
          </w:p>
          <w:p>
            <w:pPr>
              <w:pStyle w:val="null3"/>
              <w:spacing w:after="120"/>
              <w:jc w:val="left"/>
            </w:pPr>
            <w:r>
              <w:rPr>
                <w:sz w:val="21"/>
              </w:rPr>
              <w:t>（二）负责对全市各区井盖设施维护管理情况进行抽查（</w:t>
            </w:r>
            <w:r>
              <w:rPr>
                <w:sz w:val="21"/>
              </w:rPr>
              <w:t>抽查区域详见招标文件第五章合同文本附件</w:t>
            </w:r>
            <w:r>
              <w:rPr>
                <w:sz w:val="21"/>
              </w:rPr>
              <w:t>2</w:t>
            </w:r>
            <w:r>
              <w:rPr>
                <w:sz w:val="21"/>
              </w:rPr>
              <w:t>《广州市井盖设施</w:t>
            </w:r>
            <w:r>
              <w:rPr>
                <w:sz w:val="21"/>
              </w:rPr>
              <w:t>新建档案区域</w:t>
            </w:r>
            <w:r>
              <w:rPr>
                <w:sz w:val="21"/>
              </w:rPr>
              <w:t>》），</w:t>
            </w:r>
            <w:r>
              <w:rPr>
                <w:sz w:val="21"/>
              </w:rPr>
              <w:t>要求每月抽查范围覆盖全市各区，</w:t>
            </w:r>
            <w:r>
              <w:rPr>
                <w:sz w:val="21"/>
              </w:rPr>
              <w:t>对抽查井盖设施实施</w:t>
            </w:r>
            <w:r>
              <w:rPr>
                <w:sz w:val="21"/>
              </w:rPr>
              <w:t>“一井盖一编码”台账管理，数据格式应符合《井盖设施普查建档信息表》（详见</w:t>
            </w:r>
            <w:r>
              <w:rPr>
                <w:sz w:val="21"/>
              </w:rPr>
              <w:t>招标文件第五章合同文本附件</w:t>
            </w:r>
            <w:r>
              <w:rPr>
                <w:sz w:val="21"/>
              </w:rPr>
              <w:t>3</w:t>
            </w:r>
            <w:r>
              <w:rPr>
                <w:sz w:val="21"/>
              </w:rPr>
              <w:t>《井盖设施普查建档信息表》）要求。服务期内新增抽查井盖建档数不少于</w:t>
            </w:r>
            <w:r>
              <w:rPr>
                <w:sz w:val="21"/>
              </w:rPr>
              <w:t>25000</w:t>
            </w:r>
            <w:r>
              <w:rPr>
                <w:sz w:val="21"/>
              </w:rPr>
              <w:t>个</w:t>
            </w:r>
            <w:r>
              <w:rPr>
                <w:sz w:val="21"/>
              </w:rPr>
              <w:t>。</w:t>
            </w:r>
            <w:r>
              <w:rPr>
                <w:sz w:val="21"/>
              </w:rPr>
              <w:t>对不少于</w:t>
            </w:r>
            <w:r>
              <w:rPr>
                <w:sz w:val="21"/>
              </w:rPr>
              <w:t>3</w:t>
            </w:r>
            <w:r>
              <w:rPr>
                <w:sz w:val="21"/>
              </w:rPr>
              <w:t>000个井盖设施加装电子标签，并纳入信息系统监管。</w:t>
            </w:r>
          </w:p>
          <w:p>
            <w:pPr>
              <w:pStyle w:val="null3"/>
              <w:spacing w:after="120"/>
              <w:jc w:val="left"/>
            </w:pPr>
            <w:r>
              <w:rPr>
                <w:sz w:val="21"/>
              </w:rPr>
              <w:t>（三）对发现的问题井盖（井盖问题包括但不限于缺失、破损、松动、位移、异响等）均实行信息化台账管理。抽取不少于</w:t>
            </w:r>
            <w:r>
              <w:rPr>
                <w:sz w:val="21"/>
              </w:rPr>
              <w:t>30</w:t>
            </w:r>
            <w:r>
              <w:rPr>
                <w:sz w:val="21"/>
              </w:rPr>
              <w:t>个疑似存在质量问题的井盖实施送检（送有资质的第三方公司进行井盖设施承载能力等检测，并提供有法律效力的检测报告），检测及安装新井盖过程产生的费用（含施工、井盖设施及检测等费用）由投标人承担。</w:t>
            </w:r>
          </w:p>
          <w:p>
            <w:pPr>
              <w:pStyle w:val="null3"/>
              <w:spacing w:after="120"/>
              <w:jc w:val="left"/>
            </w:pPr>
            <w:r>
              <w:rPr>
                <w:sz w:val="21"/>
              </w:rPr>
              <w:t>（四）负责跟进抽查发现问题井盖的整改情况，建立跟踪机制，定期核实整改情况，并提供《问题井盖整改跟踪情况表》（详见</w:t>
            </w:r>
            <w:r>
              <w:rPr>
                <w:sz w:val="21"/>
              </w:rPr>
              <w:t>招标文件第五章合同文本附件</w:t>
            </w:r>
            <w:r>
              <w:rPr>
                <w:sz w:val="21"/>
              </w:rPr>
              <w:t>4《问题井盖整改跟踪情况表》），形成闭环管理。</w:t>
            </w:r>
          </w:p>
          <w:p>
            <w:pPr>
              <w:pStyle w:val="null3"/>
              <w:spacing w:after="120"/>
              <w:jc w:val="left"/>
            </w:pPr>
            <w:r>
              <w:rPr>
                <w:sz w:val="21"/>
              </w:rPr>
              <w:t>（五）负责对存在安全隐患的井盖设施进行应急处置，并加装电子标签，服务期内应急处置存在安全隐患的井盖设施不少于</w:t>
            </w:r>
            <w:r>
              <w:rPr>
                <w:sz w:val="21"/>
              </w:rPr>
              <w:t>5</w:t>
            </w:r>
            <w:r>
              <w:rPr>
                <w:sz w:val="21"/>
              </w:rPr>
              <w:t>0个。应设立应急物资储备仓库，配备应急处置所需的井盖设施底座、砂石、钢筋、水泥、砖块、沥青混凝土再生/搅拌机、液压动力站、圆形切割机等工程物资和机械。</w:t>
            </w:r>
          </w:p>
          <w:p>
            <w:pPr>
              <w:pStyle w:val="null3"/>
              <w:spacing w:after="120"/>
              <w:jc w:val="left"/>
            </w:pPr>
            <w:r>
              <w:rPr>
                <w:sz w:val="21"/>
              </w:rPr>
              <w:t>（六）负责在重大节日、重大（重要）活动、汛期、暴雨预警信号发布时应急值守及相关道路应急巡查工作。</w:t>
            </w:r>
          </w:p>
          <w:p>
            <w:pPr>
              <w:pStyle w:val="null3"/>
              <w:spacing w:after="120"/>
              <w:jc w:val="left"/>
            </w:pPr>
            <w:r>
              <w:rPr>
                <w:sz w:val="21"/>
              </w:rPr>
              <w:t>（七）对井盖设施权属单位提交的井盖数据进行复核并录入信息系统。</w:t>
            </w:r>
          </w:p>
          <w:p>
            <w:pPr>
              <w:pStyle w:val="null3"/>
              <w:spacing w:after="120"/>
              <w:jc w:val="left"/>
            </w:pPr>
            <w:r>
              <w:rPr>
                <w:sz w:val="21"/>
              </w:rPr>
              <w:t>（八）组织开展井盖设施突发事件应急演练。</w:t>
            </w:r>
          </w:p>
          <w:p>
            <w:pPr>
              <w:pStyle w:val="null3"/>
              <w:spacing w:after="120"/>
              <w:jc w:val="left"/>
            </w:pPr>
            <w:r>
              <w:rPr>
                <w:sz w:val="21"/>
              </w:rPr>
              <w:t>（九）完成采购人交办的各项应急事项，以及安保应急等工作。</w:t>
            </w:r>
          </w:p>
          <w:p>
            <w:pPr>
              <w:pStyle w:val="null3"/>
              <w:spacing w:after="120"/>
              <w:jc w:val="left"/>
            </w:pPr>
            <w:r>
              <w:rPr>
                <w:sz w:val="21"/>
              </w:rPr>
              <w:t>（十）在收到采购人通知（电话或书面）后及时响应。</w:t>
            </w:r>
          </w:p>
          <w:p>
            <w:pPr>
              <w:pStyle w:val="null3"/>
              <w:spacing w:after="120"/>
              <w:jc w:val="left"/>
            </w:pPr>
            <w:r>
              <w:rPr>
                <w:sz w:val="21"/>
              </w:rPr>
              <w:t>（十一）对采购人每月提供的全市</w:t>
            </w:r>
            <w:r>
              <w:rPr>
                <w:sz w:val="21"/>
              </w:rPr>
              <w:t>12345涉井盖设施工单情况表进行分析评估，形成分析报告，对不满意工单、重复投诉工单核实整改情况。</w:t>
            </w:r>
          </w:p>
          <w:p>
            <w:pPr>
              <w:pStyle w:val="null3"/>
              <w:spacing w:after="120"/>
              <w:jc w:val="left"/>
            </w:pPr>
            <w:r>
              <w:rPr>
                <w:sz w:val="21"/>
              </w:rPr>
              <w:t>（十二）设置项目负责人</w:t>
            </w:r>
            <w:r>
              <w:rPr>
                <w:sz w:val="21"/>
              </w:rPr>
              <w:t>1人（项目负责人应具有市政专业或给水排水专业或与项目相关专业的职称或资格证书），负责项目整体管控，统筹、组织、协调、落实项目各项工作，确保各项工作目标顺利完成。设置专职联络员1人</w:t>
            </w:r>
            <w:r>
              <w:rPr>
                <w:sz w:val="21"/>
              </w:rPr>
              <w:t>（</w:t>
            </w:r>
            <w:r>
              <w:rPr>
                <w:sz w:val="21"/>
              </w:rPr>
              <w:t>本科及以上</w:t>
            </w:r>
            <w:r>
              <w:rPr>
                <w:sz w:val="21"/>
              </w:rPr>
              <w:t>）</w:t>
            </w:r>
            <w:r>
              <w:rPr>
                <w:sz w:val="21"/>
              </w:rPr>
              <w:t>，按照采购人指定地点驻场办公，协调井盖设施管理、信息采集上报及其他交办工作。根据项目实际工作开展需要，配备抽查人员不少于</w:t>
            </w:r>
            <w:r>
              <w:rPr>
                <w:sz w:val="21"/>
              </w:rPr>
              <w:t>12人，根据项目需要配备巡查作业车辆及其他相关物资、设备。</w:t>
            </w:r>
          </w:p>
          <w:p>
            <w:pPr>
              <w:pStyle w:val="null3"/>
              <w:spacing w:after="120"/>
              <w:jc w:val="left"/>
            </w:pPr>
            <w:r>
              <w:rPr>
                <w:sz w:val="21"/>
              </w:rPr>
              <w:t>（十三）投标人应具备信息化技术，除日常巡检及应急处置维修外，其余工作内容需全部通过投标人的井盖设施信息化管理</w:t>
            </w:r>
            <w:r>
              <w:rPr>
                <w:sz w:val="21"/>
              </w:rPr>
              <w:t>手段</w:t>
            </w:r>
            <w:r>
              <w:rPr>
                <w:sz w:val="21"/>
              </w:rPr>
              <w:t>进行操作并提供给采购人使用。信息</w:t>
            </w:r>
            <w:r>
              <w:rPr>
                <w:sz w:val="21"/>
              </w:rPr>
              <w:t>化技术配套的系统</w:t>
            </w:r>
            <w:r>
              <w:rPr>
                <w:sz w:val="21"/>
              </w:rPr>
              <w:t>可实现问题井盖设施流转办理、全过程监督、统计等功能，实施档案管理并设立井盖信息共享接口。系统可录入采购人提供的井盖设施普查建档数据（约</w:t>
            </w:r>
            <w:r>
              <w:rPr>
                <w:sz w:val="21"/>
              </w:rPr>
              <w:t>120万个）。系统需根据采购人要求，在规定时间内（30个工作日内）完善相关功能模块。投标人应配备井盖定位精度仪器</w:t>
            </w:r>
            <w:r>
              <w:rPr>
                <w:sz w:val="21"/>
              </w:rPr>
              <w:t>不少于</w:t>
            </w:r>
            <w:r>
              <w:rPr>
                <w:sz w:val="21"/>
              </w:rPr>
              <w:t>5个</w:t>
            </w:r>
            <w:r>
              <w:rPr>
                <w:sz w:val="21"/>
              </w:rPr>
              <w:t>，可与井盖设施信息化管理系统适配，并保障数据精度。以上内容应提供证明文件同时提供现场使用演示。（鉴于</w:t>
            </w:r>
            <w:r>
              <w:rPr>
                <w:sz w:val="21"/>
              </w:rPr>
              <w:t>“市井盖设施信息化管理应用”已纳入我局城市管理一网统管平台升级改造建设项目，在每个合同签订前，可根据采购人自建信息系统开发实际情况，由采购人决定是否在该合同周期内取消使用中标人系统，并调减相应费用</w:t>
            </w:r>
            <w:r>
              <w:rPr>
                <w:sz w:val="21"/>
              </w:rPr>
              <w:t>。</w:t>
            </w:r>
            <w:r>
              <w:rPr>
                <w:sz w:val="21"/>
              </w:rPr>
              <w:t>采购人</w:t>
            </w:r>
            <w:r>
              <w:rPr>
                <w:sz w:val="21"/>
              </w:rPr>
              <w:t>自建信息系统建设完成后，</w:t>
            </w:r>
            <w:r>
              <w:rPr>
                <w:sz w:val="21"/>
              </w:rPr>
              <w:t>投标人</w:t>
            </w:r>
            <w:r>
              <w:rPr>
                <w:sz w:val="21"/>
              </w:rPr>
              <w:t>需要配合采购人做好数据移交</w:t>
            </w:r>
            <w:r>
              <w:rPr>
                <w:sz w:val="21"/>
              </w:rPr>
              <w:t>(提供承诺函，格式自拟）</w:t>
            </w:r>
            <w:r>
              <w:rPr>
                <w:sz w:val="21"/>
              </w:rPr>
              <w:t>）</w:t>
            </w:r>
          </w:p>
          <w:p>
            <w:pPr>
              <w:pStyle w:val="null3"/>
              <w:jc w:val="both"/>
            </w:pPr>
            <w:r>
              <w:rPr>
                <w:sz w:val="21"/>
              </w:rPr>
              <w:t>（十四）每月工作任务结束后</w:t>
            </w:r>
            <w:r>
              <w:rPr>
                <w:sz w:val="21"/>
              </w:rPr>
              <w:t>5个工作日内，向采购人提供抽查情况的书面报告、质检报告，并将相关资料归档；每季度工作任务结束后5个工作日内，提供抽查情况的书面报告、质检报告，并将相关资料进行归档。</w:t>
            </w:r>
          </w:p>
        </w:tc>
      </w:tr>
      <w:tr>
        <w:tc>
          <w:tcPr>
            <w:tcW w:type="dxa" w:w="2076"/>
          </w:tcPr>
          <w:p/>
        </w:tc>
        <w:tc>
          <w:tcPr>
            <w:tcW w:type="dxa" w:w="415"/>
          </w:tcPr>
          <w:p>
            <w:pPr>
              <w:pStyle w:val="null3"/>
            </w:pPr>
            <w:r>
              <w:rPr/>
              <w:t>2</w:t>
            </w:r>
          </w:p>
        </w:tc>
        <w:tc>
          <w:tcPr>
            <w:tcW w:type="dxa" w:w="5814"/>
          </w:tcPr>
          <w:p>
            <w:pPr>
              <w:pStyle w:val="null3"/>
              <w:jc w:val="both"/>
            </w:pPr>
            <w:r>
              <w:rPr>
                <w:sz w:val="21"/>
                <w:b/>
              </w:rPr>
              <w:t>二、</w:t>
            </w:r>
            <w:r>
              <w:rPr>
                <w:sz w:val="21"/>
                <w:b/>
              </w:rPr>
              <w:t>知识产权归属</w:t>
            </w:r>
          </w:p>
          <w:p>
            <w:pPr>
              <w:pStyle w:val="null3"/>
              <w:spacing w:after="120"/>
              <w:jc w:val="left"/>
            </w:pPr>
            <w:r>
              <w:rPr>
                <w:sz w:val="21"/>
              </w:rPr>
              <w:t>（一）采购人享有对本项目成果的全部知识产权；中标供应商项目组成员享有对本项目成果的署名权。未经采购人同意，中标供应商及其项目组成员不得公开发表、使用或向任何第三方提供本项目成果。</w:t>
            </w:r>
          </w:p>
          <w:p>
            <w:pPr>
              <w:pStyle w:val="null3"/>
              <w:spacing w:after="120"/>
              <w:jc w:val="left"/>
            </w:pPr>
            <w:r>
              <w:rPr>
                <w:sz w:val="21"/>
              </w:rPr>
              <w:t>（二）中标供应商保证其向采购人提交的项目成果（包括且不限于阶段性成果和最终成果）及中标供应商为实现该成果所使用的必要方法不侵犯第三人的合法权益。</w:t>
            </w:r>
          </w:p>
          <w:p>
            <w:pPr>
              <w:pStyle w:val="null3"/>
              <w:jc w:val="both"/>
            </w:pPr>
            <w:r>
              <w:rPr>
                <w:sz w:val="21"/>
              </w:rPr>
              <w:t>（三）采购人因使用中标供应商提交的成果被第三人指控侵权、提出异议或权利主张的，中标供应商应负责解决，并承担由此给采购人造成的一切损失（包括不限于律师费、诉讼费以及采购人对第三人的赔偿）。任何生效法律文书要求采购人承担责任的，采购人承担责任后，有权向中标供应商追偿。</w:t>
            </w:r>
          </w:p>
        </w:tc>
      </w:tr>
      <w:tr>
        <w:tc>
          <w:tcPr>
            <w:tcW w:type="dxa" w:w="2076"/>
          </w:tcPr>
          <w:p/>
        </w:tc>
        <w:tc>
          <w:tcPr>
            <w:tcW w:type="dxa" w:w="415"/>
          </w:tcPr>
          <w:p>
            <w:pPr>
              <w:pStyle w:val="null3"/>
            </w:pPr>
            <w:r>
              <w:rPr/>
              <w:t>3</w:t>
            </w:r>
          </w:p>
        </w:tc>
        <w:tc>
          <w:tcPr>
            <w:tcW w:type="dxa" w:w="5814"/>
          </w:tcPr>
          <w:p>
            <w:pPr>
              <w:pStyle w:val="null3"/>
              <w:spacing w:after="120"/>
              <w:jc w:val="left"/>
            </w:pPr>
            <w:r>
              <w:rPr>
                <w:sz w:val="21"/>
                <w:b/>
              </w:rPr>
              <w:t>三、</w:t>
            </w:r>
            <w:r>
              <w:rPr>
                <w:sz w:val="21"/>
                <w:b/>
              </w:rPr>
              <w:t>保密要求</w:t>
            </w:r>
          </w:p>
          <w:p>
            <w:pPr>
              <w:pStyle w:val="null3"/>
              <w:jc w:val="both"/>
            </w:pPr>
            <w:r>
              <w:rPr>
                <w:sz w:val="21"/>
              </w:rPr>
              <w:t>任何一方在没有得到对方书面同意的情况下不得向第三方泄露因履行本项目而掌握的另一方提供的任何保密信息，以及通过签订和履行本项目而获知对方状况、政策、动向、商业秘密等。保密期限自知悉对方秘密信息之日起至保密信息由对方通过合法途径让普通公众知悉时止。采购人和中标供应商双方均应遵守保密条款，不因本项目期满、终止或解除而失效。</w:t>
            </w:r>
          </w:p>
        </w:tc>
      </w:tr>
      <w:tr>
        <w:tc>
          <w:tcPr>
            <w:tcW w:type="dxa" w:w="2076"/>
          </w:tcPr>
          <w:p/>
        </w:tc>
        <w:tc>
          <w:tcPr>
            <w:tcW w:type="dxa" w:w="415"/>
          </w:tcPr>
          <w:p>
            <w:pPr>
              <w:pStyle w:val="null3"/>
            </w:pPr>
            <w:r>
              <w:rPr/>
              <w:t>4</w:t>
            </w:r>
          </w:p>
        </w:tc>
        <w:tc>
          <w:tcPr>
            <w:tcW w:type="dxa" w:w="5814"/>
          </w:tcPr>
          <w:p>
            <w:pPr>
              <w:pStyle w:val="null3"/>
              <w:spacing w:after="120"/>
              <w:jc w:val="left"/>
            </w:pPr>
            <w:r>
              <w:rPr>
                <w:sz w:val="21"/>
                <w:b/>
              </w:rPr>
              <w:t>四、其他要求</w:t>
            </w:r>
          </w:p>
          <w:p>
            <w:pPr>
              <w:pStyle w:val="null3"/>
              <w:jc w:val="both"/>
            </w:pPr>
            <w:r>
              <w:rPr>
                <w:sz w:val="21"/>
              </w:rPr>
              <w:t>（一）项目总体服务方案要求</w:t>
            </w:r>
          </w:p>
          <w:p>
            <w:pPr>
              <w:pStyle w:val="null3"/>
              <w:jc w:val="both"/>
            </w:pPr>
            <w:r>
              <w:rPr>
                <w:sz w:val="21"/>
              </w:rPr>
              <w:t>为更好地开展全市井盖设施管理监督、抽查、应急处置工作，</w:t>
            </w:r>
            <w:r>
              <w:rPr>
                <w:sz w:val="21"/>
              </w:rPr>
              <w:t>投标人</w:t>
            </w:r>
            <w:r>
              <w:rPr>
                <w:sz w:val="21"/>
              </w:rPr>
              <w:t>需按照服务内容及要求，提供完善和细化的项目难点和重点分析及应对措施、</w:t>
            </w:r>
            <w:r>
              <w:rPr>
                <w:sz w:val="21"/>
              </w:rPr>
              <w:t>对</w:t>
            </w:r>
            <w:r>
              <w:rPr>
                <w:sz w:val="21"/>
              </w:rPr>
              <w:t>《井盖设施技术规范》（</w:t>
            </w:r>
            <w:r>
              <w:rPr>
                <w:sz w:val="21"/>
              </w:rPr>
              <w:t>DB4401/T215-2023，</w:t>
            </w:r>
            <w:r>
              <w:rPr>
                <w:sz w:val="21"/>
              </w:rPr>
              <w:t>的解读，考察投标人对此规范的</w:t>
            </w:r>
            <w:r>
              <w:rPr>
                <w:sz w:val="21"/>
              </w:rPr>
              <w:t>熟悉程度</w:t>
            </w:r>
            <w:r>
              <w:rPr>
                <w:sz w:val="21"/>
              </w:rPr>
              <w:t>，便于提供高效的服务、具体的服务实施方案、</w:t>
            </w:r>
            <w:r>
              <w:rPr>
                <w:sz w:val="21"/>
              </w:rPr>
              <w:t>《项目质量保障方案》</w:t>
            </w:r>
            <w:r>
              <w:rPr>
                <w:sz w:val="21"/>
              </w:rPr>
              <w:t>、《进度控制方案》、《安全管理制度》、《应急处置和应急演练方案》</w:t>
            </w:r>
            <w:r>
              <w:rPr>
                <w:sz w:val="21"/>
              </w:rPr>
              <w:t>。</w:t>
            </w:r>
          </w:p>
          <w:p>
            <w:pPr>
              <w:pStyle w:val="null3"/>
              <w:jc w:val="both"/>
            </w:pPr>
            <w:r>
              <w:rPr>
                <w:sz w:val="21"/>
              </w:rPr>
              <w:t>（二）基本方案</w:t>
            </w:r>
          </w:p>
          <w:p>
            <w:pPr>
              <w:pStyle w:val="null3"/>
              <w:jc w:val="both"/>
            </w:pPr>
            <w:r>
              <w:rPr>
                <w:sz w:val="21"/>
              </w:rPr>
              <w:t>1.对项目需求重点难点分析及合理化建议</w:t>
            </w:r>
          </w:p>
          <w:p>
            <w:pPr>
              <w:pStyle w:val="null3"/>
              <w:jc w:val="both"/>
            </w:pPr>
            <w:r>
              <w:rPr>
                <w:sz w:val="21"/>
              </w:rPr>
              <w:t>全市井盖设施范围广、</w:t>
            </w:r>
            <w:r>
              <w:rPr>
                <w:sz w:val="21"/>
              </w:rPr>
              <w:t>工作量大</w:t>
            </w:r>
            <w:r>
              <w:rPr>
                <w:sz w:val="21"/>
              </w:rPr>
              <w:t>，不同区域</w:t>
            </w:r>
            <w:r>
              <w:rPr>
                <w:sz w:val="21"/>
              </w:rPr>
              <w:t>监督</w:t>
            </w:r>
            <w:r>
              <w:rPr>
                <w:sz w:val="21"/>
              </w:rPr>
              <w:t>有一定差别，</w:t>
            </w:r>
            <w:r>
              <w:rPr>
                <w:sz w:val="21"/>
              </w:rPr>
              <w:t>监督</w:t>
            </w:r>
            <w:r>
              <w:rPr>
                <w:sz w:val="21"/>
              </w:rPr>
              <w:t>方式须有针对性。如何合理分配车辆、人员等，安全高效进行问题</w:t>
            </w:r>
            <w:r>
              <w:rPr>
                <w:sz w:val="21"/>
              </w:rPr>
              <w:t>查找</w:t>
            </w:r>
            <w:r>
              <w:rPr>
                <w:sz w:val="21"/>
              </w:rPr>
              <w:t>、分类汇总、</w:t>
            </w:r>
            <w:r>
              <w:rPr>
                <w:sz w:val="21"/>
              </w:rPr>
              <w:t>实现一井盖一编码</w:t>
            </w:r>
            <w:r>
              <w:rPr>
                <w:sz w:val="21"/>
              </w:rPr>
              <w:t>，是本项目的主要难点和重点之一。</w:t>
            </w:r>
          </w:p>
          <w:p>
            <w:pPr>
              <w:pStyle w:val="null3"/>
              <w:jc w:val="both"/>
            </w:pPr>
            <w:r>
              <w:rPr>
                <w:sz w:val="21"/>
              </w:rPr>
              <w:t>投标人</w:t>
            </w:r>
            <w:r>
              <w:rPr>
                <w:sz w:val="21"/>
              </w:rPr>
              <w:t>须对标的范围内的重点区域监督条件做详细、准确的分析，并结合车、人员的配置、分布做详细的说明，提供对项目难点和重点分析及应对措施（包括但不限于</w:t>
            </w:r>
            <w:r>
              <w:rPr>
                <w:sz w:val="21"/>
              </w:rPr>
              <w:t>监督</w:t>
            </w:r>
            <w:r>
              <w:rPr>
                <w:sz w:val="21"/>
              </w:rPr>
              <w:t>区域状况、</w:t>
            </w:r>
            <w:r>
              <w:rPr>
                <w:sz w:val="21"/>
              </w:rPr>
              <w:t>监督</w:t>
            </w:r>
            <w:r>
              <w:rPr>
                <w:sz w:val="21"/>
              </w:rPr>
              <w:t>内容等）。其分析的准确性及作业力量配置的强度作为评审重要因素。</w:t>
            </w:r>
          </w:p>
          <w:p>
            <w:pPr>
              <w:pStyle w:val="null3"/>
              <w:jc w:val="both"/>
            </w:pPr>
            <w:r>
              <w:rPr>
                <w:sz w:val="21"/>
              </w:rPr>
              <w:t>2.</w:t>
            </w:r>
            <w:r>
              <w:rPr>
                <w:sz w:val="21"/>
              </w:rPr>
              <w:t>《井盖设施技术规范》</w:t>
            </w:r>
            <w:r>
              <w:rPr>
                <w:sz w:val="21"/>
              </w:rPr>
              <w:t>是</w:t>
            </w:r>
            <w:r>
              <w:rPr>
                <w:sz w:val="21"/>
              </w:rPr>
              <w:t>井盖监督工作的</w:t>
            </w:r>
            <w:r>
              <w:rPr>
                <w:sz w:val="21"/>
              </w:rPr>
              <w:t>“标尺”和“底线”</w:t>
            </w:r>
            <w:r>
              <w:rPr>
                <w:sz w:val="21"/>
              </w:rPr>
              <w:t>，</w:t>
            </w:r>
            <w:r>
              <w:rPr>
                <w:sz w:val="21"/>
              </w:rPr>
              <w:t>它把原本模糊的</w:t>
            </w:r>
            <w:r>
              <w:rPr>
                <w:sz w:val="21"/>
              </w:rPr>
              <w:t>“管理感觉”变成了可量化、可追责的硬性指标</w:t>
            </w:r>
            <w:r>
              <w:rPr>
                <w:sz w:val="21"/>
              </w:rPr>
              <w:t>。投标人对此规范的熟悉程度与应用效果贯穿与日程监督服务工作中，投标人需提供详细的解读理解，以便考核投标人是否具备提供高质量的服务水平。</w:t>
            </w:r>
          </w:p>
          <w:p>
            <w:pPr>
              <w:pStyle w:val="null3"/>
              <w:jc w:val="both"/>
            </w:pPr>
            <w:r>
              <w:rPr>
                <w:sz w:val="21"/>
              </w:rPr>
              <w:t>3</w:t>
            </w:r>
            <w:r>
              <w:rPr>
                <w:sz w:val="21"/>
              </w:rPr>
              <w:t>.项目质量保障方案：</w:t>
            </w:r>
          </w:p>
          <w:p>
            <w:pPr>
              <w:pStyle w:val="null3"/>
              <w:jc w:val="both"/>
            </w:pPr>
            <w:r>
              <w:rPr>
                <w:sz w:val="21"/>
              </w:rPr>
              <w:t>投标人</w:t>
            </w:r>
            <w:r>
              <w:rPr>
                <w:sz w:val="21"/>
              </w:rPr>
              <w:t>应建立质量保障方案，针对本项目制定的质量保证体系及措施，包括但不限于</w:t>
            </w:r>
            <w:r>
              <w:rPr>
                <w:sz w:val="21"/>
              </w:rPr>
              <w:t>①内部管理、②服务意识、③质量保障体系及④组织措施等：内部管理有科学合理的人员架构，分工明确，有领导小组、执行小组以及质控小组，配备的团队人员具备完成本次</w:t>
            </w:r>
            <w:r>
              <w:rPr>
                <w:sz w:val="21"/>
              </w:rPr>
              <w:t>监督、抽查</w:t>
            </w:r>
            <w:r>
              <w:rPr>
                <w:sz w:val="21"/>
              </w:rPr>
              <w:t>服务工作的专业水平，相应的职称证书，科学的人员架构可以确保监督、抽查服务的质量，高要求严标准完成评价工作。</w:t>
            </w:r>
          </w:p>
          <w:p>
            <w:pPr>
              <w:pStyle w:val="null3"/>
              <w:jc w:val="both"/>
            </w:pPr>
            <w:r>
              <w:rPr>
                <w:sz w:val="21"/>
              </w:rPr>
              <w:t>4.进度控制方案：全市井盖设施范围广、工作量大,为确保可以按服务要求完成每天的监督、抽查处置等工作，投标人需有科学合理的进度控制方案，投标文件需提供抽查进度控制方案，包括但不限于①工作进度方案、②时间安排、③各环节规划等</w:t>
            </w:r>
          </w:p>
          <w:p>
            <w:pPr>
              <w:pStyle w:val="null3"/>
              <w:jc w:val="both"/>
            </w:pPr>
            <w:r>
              <w:rPr>
                <w:sz w:val="21"/>
              </w:rPr>
              <w:t>5.安全管理制度：投标人需提供安全管理制度包括但不限于①如何避免伤亡事故或②群伤事故等</w:t>
            </w:r>
          </w:p>
          <w:p>
            <w:pPr>
              <w:pStyle w:val="null3"/>
              <w:jc w:val="both"/>
            </w:pPr>
            <w:r>
              <w:rPr>
                <w:sz w:val="21"/>
              </w:rPr>
              <w:t>6.应急处置和应急演练方案：投标人需提供应急处置和应急演练方案，内容至少包含①制订完善的应急处置方案；②应急演练方案；③有重大节日、重大（重要）活动、汛期、暴雨预警信号发布时应急值守及相关道路应急巡查工作的方案等。</w:t>
            </w:r>
          </w:p>
          <w:p>
            <w:pPr>
              <w:pStyle w:val="null3"/>
              <w:jc w:val="both"/>
            </w:pPr>
            <w:r>
              <w:rPr>
                <w:sz w:val="21"/>
              </w:rPr>
              <w:t>（三）信息系统要求</w:t>
            </w:r>
          </w:p>
          <w:p>
            <w:pPr>
              <w:pStyle w:val="null3"/>
              <w:jc w:val="both"/>
            </w:pPr>
            <w:r>
              <w:rPr>
                <w:sz w:val="21"/>
              </w:rPr>
              <w:t>★</w:t>
            </w:r>
            <w:r>
              <w:rPr>
                <w:sz w:val="21"/>
              </w:rPr>
              <w:t>采购人自建信息系统建设完成后，</w:t>
            </w:r>
            <w:r>
              <w:rPr>
                <w:sz w:val="21"/>
              </w:rPr>
              <w:t>投标人</w:t>
            </w:r>
            <w:r>
              <w:rPr>
                <w:sz w:val="21"/>
              </w:rPr>
              <w:t>需要配合采购人做好数据移交</w:t>
            </w:r>
            <w:r>
              <w:rPr>
                <w:sz w:val="21"/>
              </w:rPr>
              <w:t>(提供承诺函，格式自拟）</w:t>
            </w:r>
          </w:p>
        </w:tc>
      </w:tr>
      <w:tr>
        <w:tc>
          <w:tcPr>
            <w:tcW w:type="dxa" w:w="2076"/>
          </w:tcPr>
          <w:p>
            <w:pPr>
              <w:pStyle w:val="null3"/>
            </w:pPr>
            <w:r>
              <w:rPr/>
              <w:t>说明</w:t>
            </w:r>
          </w:p>
        </w:tc>
        <w:tc>
          <w:tcPr>
            <w:tcW w:type="dxa" w:w="6229"/>
            <w:gridSpan w:val="2"/>
          </w:tcPr>
          <w:p>
            <w:pPr>
              <w:pStyle w:val="null3"/>
              <w:jc w:val="left"/>
            </w:pPr>
            <w:r>
              <w:rPr/>
              <w:t xml:space="preserve"> 打“★”号条款为实质性条款，若有任何一条负偏离或不满足则导致投标无效。 </w:t>
            </w:r>
            <w:r>
              <w:br/>
            </w:r>
            <w:r>
              <w:rPr/>
              <w:t>打“▲”号条款为重要技术参数，若有部分“▲”条款未响应或不满足，不作为无效投标条款。</w:t>
            </w:r>
          </w:p>
        </w:tc>
      </w:tr>
    </w:tbl>
    <w:p>
      <w:pPr>
        <w:pStyle w:val="null3"/>
      </w:pPr>
      <w:r>
        <w:rPr/>
        <w:t xml:space="preserve">  </w:t>
      </w:r>
    </w:p>
    <w:p>
      <w:pPr>
        <w:pStyle w:val="null3"/>
        <w:jc w:val="center"/>
        <w:outlineLvl w:val="1"/>
      </w:pPr>
      <w:r>
        <w:rPr>
          <w:sz w:val="36"/>
          <w:b/>
        </w:rPr>
        <w:t>第三章 投标人须知</w:t>
      </w:r>
    </w:p>
    <w:p>
      <w:pPr>
        <w:pStyle w:val="null3"/>
        <w:ind w:firstLine="480"/>
      </w:pPr>
      <w:r>
        <w:rPr/>
        <w:t xml:space="preserve"> 投标人必须认真阅读招标文件中所有的事项、格式、条款和采购需求等。投标人没有按照招标文件要求提交全部资料，或者投标文件没有对招标文件在各方面都做出实质性响应的可能导致其投标无效或被拒绝。</w:t>
      </w:r>
    </w:p>
    <w:p>
      <w:pPr>
        <w:pStyle w:val="null3"/>
        <w:ind w:firstLine="480"/>
      </w:pPr>
      <w:r>
        <w:rPr/>
        <w:t>请注意：供应商需在投标文件截止时间前，将加密投标文件上传至云平台项目采购系统中并取得回执，逾期上传或错误方式投递送达将导致投标无效。</w:t>
      </w:r>
    </w:p>
    <w:p>
      <w:pPr>
        <w:pStyle w:val="null3"/>
        <w:outlineLvl w:val="3"/>
      </w:pPr>
      <w:r>
        <w:rPr>
          <w:sz w:val="24"/>
          <w:b/>
        </w:rPr>
        <w:t>一、名词解释</w:t>
      </w:r>
    </w:p>
    <w:p>
      <w:pPr>
        <w:pStyle w:val="null3"/>
        <w:ind w:firstLine="480"/>
      </w:pPr>
      <w:r>
        <w:rPr/>
        <w:t>1.采购代理机构：本项目是指国义招标股份有限公司 ，负责整个采购活动的组织，依法负责编制和发布招标文件，对招标文件拥有最终的解释权，不以任何身份出任评标委员会成员。</w:t>
      </w:r>
    </w:p>
    <w:p>
      <w:pPr>
        <w:pStyle w:val="null3"/>
        <w:ind w:firstLine="480"/>
      </w:pPr>
      <w:r>
        <w:rPr/>
        <w:t xml:space="preserve"> 2.采购人：本项目是指</w:t>
      </w:r>
      <w:r>
        <w:rPr/>
        <w:t>广州市城市管理和综合执法局</w:t>
      </w:r>
      <w:r>
        <w:rPr/>
        <w:t>，是采购活动当事人之一，负责项目的整体规划、技术方案可行性设计论证与实施，作为合同采购方（用户）的主体承担质疑回复、履行合同、验收与评价等义务。</w:t>
      </w:r>
    </w:p>
    <w:p>
      <w:pPr>
        <w:pStyle w:val="null3"/>
        <w:ind w:firstLine="480"/>
      </w:pPr>
      <w:r>
        <w:rPr/>
        <w:t>3.投标人：是指在云平台项目采购系统完成本项目投标登记并提交电子投标文件的供应商。</w:t>
      </w:r>
    </w:p>
    <w:p>
      <w:pPr>
        <w:pStyle w:val="null3"/>
        <w:ind w:firstLine="480"/>
      </w:pPr>
      <w:r>
        <w:rPr/>
        <w:t>4.“评标委员会”是指根据《中华人民共和国政府采购法》等法律法规规定，由采购人代表和有关专家组成以确定中标供应商或者推荐中标候选人的临时组织。</w:t>
      </w:r>
    </w:p>
    <w:p>
      <w:pPr>
        <w:pStyle w:val="null3"/>
        <w:ind w:firstLine="480"/>
      </w:pPr>
      <w:r>
        <w:rPr/>
        <w:t>5.“中标供应商”是指经评标委员会评审确定的对招标文件做出实质性响应，经采购人按照规定在评标委员会推荐的中标候选人中确定的或评标委员会受采购人委托直接确认的投标人。</w:t>
      </w:r>
    </w:p>
    <w:p>
      <w:pPr>
        <w:pStyle w:val="null3"/>
        <w:ind w:firstLine="480"/>
      </w:pPr>
      <w:r>
        <w:rPr/>
        <w:t>6.招标文件：是指包括招标公告和招标文件及其补充、变更和澄清等一系列文件。</w:t>
      </w:r>
    </w:p>
    <w:p>
      <w:pPr>
        <w:pStyle w:val="null3"/>
        <w:ind w:firstLine="480"/>
      </w:pPr>
      <w:r>
        <w:rPr/>
        <w:t>7.电子投标文件：是指使用云平台提供的投标客户端制作加密并上传到系统的投标文件。（投标客户端制作投标文件时，生成的后缀为“.标书”的文件）</w:t>
      </w:r>
    </w:p>
    <w:p>
      <w:pPr>
        <w:pStyle w:val="null3"/>
        <w:ind w:firstLine="480"/>
      </w:pPr>
      <w:r>
        <w:rPr/>
        <w:t>8.备用电子投标文件：是指使用云平台提供的投标客户端制作电子投标文件时，同时生成的同一版本的备用投标文件。（投标客户端制作投标文件时，生成的后缀为“.备用标书”的文件）</w:t>
      </w:r>
    </w:p>
    <w:p>
      <w:pPr>
        <w:pStyle w:val="null3"/>
        <w:ind w:firstLine="480"/>
      </w:pPr>
      <w:r>
        <w:rPr/>
        <w:t xml:space="preserve"> 9.电子签名和电子印章：是指获得中华人民共和国工业和信息化部颁发的《电子认证服务许可证》、国家密码管理局颁发的《电子认证服务使用密码许可证》的资质，具备承担因数字证书原因产生纠纷的相关责任的能力，且在广东省内具有数量基础和服务能力的依法设立的电子认证服务机构签发的电子签名和电子签章认证证书（即CA数字证书）。供应商应当到相关服务机构办理并取得数字证书介质和应用。电子签名包括单位法定代表人、被委托人及其他个人的电子形式签名；电子印章包括机构法人电子形式印章。电子签名及电子印章与手写签名或者盖章具有同等的法律效力。签名（含电子签名）和盖章（含电子印章）是不同使用场景，应按招标文件要求在投标（响应）文件指定位置进行签名（含电子签名）和盖章（含电子印章），对允许采用手写签名的文件，应在纸质文件手写签名后，提供文件的彩色扫描电子文档进行后续操作。</w:t>
      </w:r>
    </w:p>
    <w:p>
      <w:pPr>
        <w:pStyle w:val="null3"/>
        <w:ind w:firstLine="480"/>
      </w:pPr>
      <w:r>
        <w:rPr/>
        <w:t xml:space="preserve"> 10.“全称”、“公司全称”、“加盖单位公章”及“公章”：在电子投标（响应）文件及相关的其他电子资料中，涉及“全称”或“公司全称”的应在对应文件编辑时使用文本录入方式，或在纸质投标（响应）文件上进行手写签名，或通过投标客户端使用电子印章完成；涉及“加盖单位公章”和“公章”应使用投标人单位的数字证书并通过投标客户端使用电子印章完成。</w:t>
      </w:r>
    </w:p>
    <w:p>
      <w:pPr>
        <w:pStyle w:val="null3"/>
        <w:ind w:firstLine="480"/>
      </w:pPr>
      <w:r>
        <w:rPr/>
        <w:t xml:space="preserve"> 11.“投标人代表签字”及“授权代表”：在电子投标（响应）文件及相关的其他电子资料中，涉及“投标人代表签字”或“授权代表”应在投标（响应）文件编辑时使用文本录入方式，或在纸质投标（响应）文件上进行手写签名，或通过投标客户端使用电子签名完成。</w:t>
      </w:r>
    </w:p>
    <w:p>
      <w:pPr>
        <w:pStyle w:val="null3"/>
        <w:ind w:firstLine="480"/>
      </w:pPr>
      <w:r>
        <w:rPr/>
        <w:t>12.“法定代表人”：在电子投标（响应）文件及相关的其他电子资料中，涉及“法定代表人”应在纸质投标（响应）文件上进行手写签名，或通过投标客户端使用电子签名完成。</w:t>
      </w:r>
    </w:p>
    <w:p>
      <w:pPr>
        <w:pStyle w:val="null3"/>
        <w:ind w:firstLine="480"/>
      </w:pPr>
      <w:r>
        <w:rPr/>
        <w:t>13.日期、天数、时间：未有特别说明时，均为公历日（天）及北京时间。</w:t>
      </w:r>
    </w:p>
    <w:p>
      <w:pPr>
        <w:pStyle w:val="null3"/>
        <w:ind w:firstLine="480"/>
      </w:pPr>
      <w:r>
        <w:rPr/>
        <w:t>（温馨提示：采购人与代理机构在制定采购文件内容时应与上述条款保持一致，以避免采购文件内容前后不一致，出现歧义。）</w:t>
      </w:r>
    </w:p>
    <w:p>
      <w:pPr>
        <w:pStyle w:val="null3"/>
        <w:outlineLvl w:val="2"/>
      </w:pPr>
      <w:r>
        <w:rPr>
          <w:sz w:val="28"/>
          <w:b/>
        </w:rPr>
        <w:t>二、须知前附表</w:t>
      </w:r>
    </w:p>
    <w:tbl>
      <w:tblPr>
        <w:tblW w:w="0" w:type="auto"/>
        <w:tblBorders>
          <w:top w:val="single"/>
          <w:left w:val="single"/>
          <w:bottom w:val="single"/>
          <w:right w:val="single"/>
          <w:insideH w:val="single"/>
          <w:insideV w:val="single"/>
        </w:tblBorders>
      </w:tblPr>
      <w:tblGrid>
        <w:gridCol w:w="1051"/>
        <w:gridCol w:w="2252"/>
        <w:gridCol w:w="5004"/>
      </w:tblGrid>
      <w:tr>
        <w:tc>
          <w:tcPr>
            <w:tcW w:type="dxa" w:w="8307"/>
            <w:gridSpan w:val="3"/>
          </w:tcPr>
          <w:p>
            <w:pPr>
              <w:pStyle w:val="null3"/>
            </w:pPr>
            <w:r>
              <w:rPr/>
              <w:t xml:space="preserve"> 本表与招标文件对应章节的内容若不一致，以本表为准。</w:t>
            </w:r>
          </w:p>
        </w:tc>
      </w:tr>
      <w:tr>
        <w:tc>
          <w:tcPr>
            <w:tcW w:type="dxa" w:w="1051"/>
          </w:tcPr>
          <w:p>
            <w:pPr>
              <w:pStyle w:val="null3"/>
            </w:pPr>
            <w:r>
              <w:rPr/>
              <w:t xml:space="preserve"> 序号</w:t>
            </w:r>
          </w:p>
        </w:tc>
        <w:tc>
          <w:tcPr>
            <w:tcW w:type="dxa" w:w="2252"/>
          </w:tcPr>
          <w:p>
            <w:pPr>
              <w:pStyle w:val="null3"/>
            </w:pPr>
            <w:r>
              <w:rPr/>
              <w:t xml:space="preserve"> 条款名称</w:t>
            </w:r>
          </w:p>
        </w:tc>
        <w:tc>
          <w:tcPr>
            <w:tcW w:type="dxa" w:w="5004"/>
          </w:tcPr>
          <w:p>
            <w:pPr>
              <w:pStyle w:val="null3"/>
            </w:pPr>
            <w:r>
              <w:rPr/>
              <w:t xml:space="preserve"> 内容及要求</w:t>
            </w:r>
          </w:p>
        </w:tc>
      </w:tr>
      <w:tr>
        <w:tc>
          <w:tcPr>
            <w:tcW w:type="dxa" w:w="1051"/>
          </w:tcPr>
          <w:p>
            <w:pPr>
              <w:pStyle w:val="null3"/>
            </w:pPr>
            <w:r>
              <w:rPr/>
              <w:t xml:space="preserve"> 1</w:t>
            </w:r>
          </w:p>
        </w:tc>
        <w:tc>
          <w:tcPr>
            <w:tcW w:type="dxa" w:w="2252"/>
          </w:tcPr>
          <w:p>
            <w:pPr>
              <w:pStyle w:val="null3"/>
            </w:pPr>
            <w:r>
              <w:rPr/>
              <w:t xml:space="preserve"> 采购包情况</w:t>
            </w:r>
          </w:p>
        </w:tc>
        <w:tc>
          <w:tcPr>
            <w:tcW w:type="dxa" w:w="5004"/>
          </w:tcPr>
          <w:p>
            <w:pPr>
              <w:pStyle w:val="null3"/>
            </w:pPr>
            <w:r>
              <w:rPr/>
              <w:t xml:space="preserve"> 本项目共</w:t>
            </w:r>
            <w:r>
              <w:rPr/>
              <w:t>1</w:t>
            </w:r>
            <w:r>
              <w:rPr/>
              <w:t>个采购包</w:t>
            </w:r>
          </w:p>
        </w:tc>
      </w:tr>
      <w:tr>
        <w:tc>
          <w:tcPr>
            <w:tcW w:type="dxa" w:w="1051"/>
          </w:tcPr>
          <w:p>
            <w:pPr>
              <w:pStyle w:val="null3"/>
            </w:pPr>
            <w:r>
              <w:rPr/>
              <w:t xml:space="preserve"> 2</w:t>
            </w:r>
          </w:p>
        </w:tc>
        <w:tc>
          <w:tcPr>
            <w:tcW w:type="dxa" w:w="2252"/>
          </w:tcPr>
          <w:p>
            <w:pPr>
              <w:pStyle w:val="null3"/>
            </w:pPr>
            <w:r>
              <w:rPr/>
              <w:t xml:space="preserve"> 开标方式</w:t>
            </w:r>
          </w:p>
        </w:tc>
        <w:tc>
          <w:tcPr>
            <w:tcW w:type="dxa" w:w="5004"/>
          </w:tcPr>
          <w:p>
            <w:pPr>
              <w:pStyle w:val="null3"/>
            </w:pPr>
            <w:r>
              <w:rPr/>
              <w:t>远程电子开标</w:t>
            </w:r>
          </w:p>
        </w:tc>
      </w:tr>
      <w:tr>
        <w:tc>
          <w:tcPr>
            <w:tcW w:type="dxa" w:w="1051"/>
          </w:tcPr>
          <w:p>
            <w:pPr>
              <w:pStyle w:val="null3"/>
            </w:pPr>
            <w:r>
              <w:rPr/>
              <w:t xml:space="preserve"> 3</w:t>
            </w:r>
          </w:p>
        </w:tc>
        <w:tc>
          <w:tcPr>
            <w:tcW w:type="dxa" w:w="2252"/>
          </w:tcPr>
          <w:p>
            <w:pPr>
              <w:pStyle w:val="null3"/>
            </w:pPr>
            <w:r>
              <w:rPr/>
              <w:t xml:space="preserve"> 评标方式</w:t>
            </w:r>
          </w:p>
        </w:tc>
        <w:tc>
          <w:tcPr>
            <w:tcW w:type="dxa" w:w="5004"/>
          </w:tcPr>
          <w:p>
            <w:pPr>
              <w:pStyle w:val="null3"/>
            </w:pPr>
            <w:r>
              <w:rPr/>
              <w:t>现场电子评标</w:t>
            </w:r>
            <w:r>
              <w:rPr/>
              <w:t xml:space="preserve"> （供应商应当审慎标记各评审项的应答部分，标记内容清晰且完整，否则将自行承担不利后果）</w:t>
            </w:r>
          </w:p>
        </w:tc>
      </w:tr>
      <w:tr>
        <w:tc>
          <w:tcPr>
            <w:tcW w:type="dxa" w:w="1051"/>
          </w:tcPr>
          <w:p>
            <w:pPr>
              <w:pStyle w:val="null3"/>
            </w:pPr>
            <w:r>
              <w:rPr/>
              <w:t xml:space="preserve"> 4</w:t>
            </w:r>
          </w:p>
        </w:tc>
        <w:tc>
          <w:tcPr>
            <w:tcW w:type="dxa" w:w="2252"/>
          </w:tcPr>
          <w:p>
            <w:pPr>
              <w:pStyle w:val="null3"/>
            </w:pPr>
            <w:r>
              <w:rPr/>
              <w:t xml:space="preserve"> 评标办法</w:t>
            </w:r>
          </w:p>
        </w:tc>
        <w:tc>
          <w:tcPr>
            <w:tcW w:type="dxa" w:w="5004"/>
          </w:tcPr>
          <w:p>
            <w:pPr>
              <w:pStyle w:val="null3"/>
            </w:pPr>
            <w:r>
              <w:rPr/>
              <w:t>采购包1：综合评分法</w:t>
            </w:r>
          </w:p>
        </w:tc>
      </w:tr>
      <w:tr>
        <w:tc>
          <w:tcPr>
            <w:tcW w:type="dxa" w:w="1051"/>
          </w:tcPr>
          <w:p>
            <w:pPr>
              <w:pStyle w:val="null3"/>
            </w:pPr>
            <w:r>
              <w:rPr/>
              <w:t>5</w:t>
            </w:r>
          </w:p>
        </w:tc>
        <w:tc>
          <w:tcPr>
            <w:tcW w:type="dxa" w:w="2252"/>
          </w:tcPr>
          <w:p>
            <w:pPr>
              <w:pStyle w:val="null3"/>
            </w:pPr>
            <w:r>
              <w:rPr/>
              <w:t>报价形式</w:t>
            </w:r>
          </w:p>
        </w:tc>
        <w:tc>
          <w:tcPr>
            <w:tcW w:type="dxa" w:w="5004"/>
          </w:tcPr>
          <w:p>
            <w:pPr>
              <w:pStyle w:val="null3"/>
            </w:pPr>
            <w:r>
              <w:rPr/>
              <w:t>采购包1：总价</w:t>
            </w:r>
          </w:p>
        </w:tc>
      </w:tr>
      <w:tr>
        <w:tc>
          <w:tcPr>
            <w:tcW w:type="dxa" w:w="1051"/>
          </w:tcPr>
          <w:p>
            <w:pPr>
              <w:pStyle w:val="null3"/>
            </w:pPr>
            <w:r>
              <w:rPr/>
              <w:t>6</w:t>
            </w:r>
          </w:p>
        </w:tc>
        <w:tc>
          <w:tcPr>
            <w:tcW w:type="dxa" w:w="2252"/>
          </w:tcPr>
          <w:p>
            <w:pPr>
              <w:pStyle w:val="null3"/>
            </w:pPr>
            <w:r>
              <w:rPr/>
              <w:t>报价要求</w:t>
            </w:r>
          </w:p>
        </w:tc>
        <w:tc>
          <w:tcPr>
            <w:tcW w:type="dxa" w:w="5004"/>
          </w:tcPr>
          <w:p>
            <w:pPr>
              <w:pStyle w:val="null3"/>
            </w:pPr>
            <w:r>
              <w:rPr/>
              <w:t>各采购包报价不超过预算总价</w:t>
            </w:r>
          </w:p>
        </w:tc>
      </w:tr>
      <w:tr>
        <w:tc>
          <w:tcPr>
            <w:tcW w:type="dxa" w:w="1051"/>
          </w:tcPr>
          <w:p>
            <w:pPr>
              <w:pStyle w:val="null3"/>
            </w:pPr>
            <w:r>
              <w:rPr/>
              <w:t xml:space="preserve"> 7</w:t>
            </w:r>
          </w:p>
        </w:tc>
        <w:tc>
          <w:tcPr>
            <w:tcW w:type="dxa" w:w="2252"/>
          </w:tcPr>
          <w:p>
            <w:pPr>
              <w:pStyle w:val="null3"/>
            </w:pPr>
            <w:r>
              <w:rPr/>
              <w:t xml:space="preserve"> 现场踏勘</w:t>
            </w:r>
          </w:p>
        </w:tc>
        <w:tc>
          <w:tcPr>
            <w:tcW w:type="dxa" w:w="5004"/>
          </w:tcPr>
          <w:p>
            <w:pPr>
              <w:pStyle w:val="null3"/>
            </w:pPr>
            <w:r>
              <w:rPr/>
              <w:t>否</w:t>
            </w:r>
          </w:p>
        </w:tc>
      </w:tr>
      <w:tr>
        <w:tc>
          <w:tcPr>
            <w:tcW w:type="dxa" w:w="1051"/>
          </w:tcPr>
          <w:p>
            <w:pPr>
              <w:pStyle w:val="null3"/>
            </w:pPr>
            <w:r>
              <w:rPr/>
              <w:t xml:space="preserve"> 8</w:t>
            </w:r>
          </w:p>
        </w:tc>
        <w:tc>
          <w:tcPr>
            <w:tcW w:type="dxa" w:w="2252"/>
          </w:tcPr>
          <w:p>
            <w:pPr>
              <w:pStyle w:val="null3"/>
            </w:pPr>
            <w:r>
              <w:rPr/>
              <w:t xml:space="preserve"> 投标有效期</w:t>
            </w:r>
          </w:p>
        </w:tc>
        <w:tc>
          <w:tcPr>
            <w:tcW w:type="dxa" w:w="5004"/>
          </w:tcPr>
          <w:p>
            <w:pPr>
              <w:pStyle w:val="null3"/>
            </w:pPr>
            <w:r>
              <w:rPr/>
              <w:t>从提交投标（响应）文件的截止之日起90日历天</w:t>
            </w:r>
          </w:p>
        </w:tc>
      </w:tr>
      <w:tr>
        <w:tc>
          <w:tcPr>
            <w:tcW w:type="dxa" w:w="1051"/>
          </w:tcPr>
          <w:p>
            <w:pPr>
              <w:pStyle w:val="null3"/>
            </w:pPr>
            <w:r>
              <w:rPr/>
              <w:t xml:space="preserve"> 9</w:t>
            </w:r>
          </w:p>
        </w:tc>
        <w:tc>
          <w:tcPr>
            <w:tcW w:type="dxa" w:w="2252"/>
          </w:tcPr>
          <w:p>
            <w:pPr>
              <w:pStyle w:val="null3"/>
            </w:pPr>
            <w:r>
              <w:rPr/>
              <w:t xml:space="preserve"> 投标保证金</w:t>
            </w:r>
          </w:p>
        </w:tc>
        <w:tc>
          <w:tcPr>
            <w:tcW w:type="dxa" w:w="5004"/>
          </w:tcPr>
          <w:p>
            <w:pPr>
              <w:pStyle w:val="null3"/>
              <w:ind w:firstLine="480"/>
            </w:pPr>
            <w:r>
              <w:rPr/>
              <w:t>不收取投标（响应）保证金</w:t>
            </w:r>
          </w:p>
          <w:p>
            <w:pPr>
              <w:pStyle w:val="null3"/>
              <w:ind w:firstLine="480"/>
            </w:pPr>
            <w:r>
              <w:rPr/>
              <w:t>投标保证金有效期∶与投标有效期一致。</w:t>
            </w:r>
          </w:p>
          <w:p>
            <w:pPr>
              <w:pStyle w:val="null3"/>
              <w:ind w:firstLine="480"/>
            </w:pPr>
            <w:r>
              <w:rPr/>
              <w:t xml:space="preserve"> 投标保函提交方式：供应商可通过"广东政府采购智慧云平台金融服务中心"(http://gdgpo.czt.gd.gov.cn/zcdservice/zcd/guangdong/)，申请办理投标（响应）担保函、保险（保证）凭证，成功出函的等效于现金缴纳投标保证金。</w:t>
            </w:r>
          </w:p>
        </w:tc>
      </w:tr>
      <w:tr>
        <w:tc>
          <w:tcPr>
            <w:tcW w:type="dxa" w:w="1051"/>
          </w:tcPr>
          <w:p>
            <w:pPr>
              <w:pStyle w:val="null3"/>
            </w:pPr>
            <w:r>
              <w:rPr/>
              <w:t>10</w:t>
            </w:r>
          </w:p>
        </w:tc>
        <w:tc>
          <w:tcPr>
            <w:tcW w:type="dxa" w:w="2252"/>
          </w:tcPr>
          <w:p>
            <w:pPr>
              <w:pStyle w:val="null3"/>
            </w:pPr>
            <w:r>
              <w:rPr/>
              <w:t xml:space="preserve"> 投标文件要求</w:t>
            </w:r>
          </w:p>
        </w:tc>
        <w:tc>
          <w:tcPr>
            <w:tcW w:type="dxa" w:w="5004"/>
          </w:tcPr>
          <w:p>
            <w:pPr>
              <w:pStyle w:val="null3"/>
              <w:ind w:firstLine="480"/>
            </w:pPr>
            <w:r>
              <w:rPr>
                <w:b/>
              </w:rPr>
              <w:t>一、电子投标文件（必须提供）：</w:t>
            </w:r>
          </w:p>
          <w:p>
            <w:pPr>
              <w:pStyle w:val="null3"/>
              <w:ind w:firstLine="480"/>
            </w:pPr>
            <w:r>
              <w:rPr/>
              <w:t>（1）加密的电子投标文件 1 份（需在递交投标文件截止时间前成功上传至云平台项目采购系统）。</w:t>
            </w:r>
          </w:p>
          <w:p>
            <w:pPr>
              <w:pStyle w:val="null3"/>
              <w:ind w:firstLine="480"/>
            </w:pPr>
            <w:r>
              <w:rPr/>
              <w:t>（2）非加密电子版文件 U 盘(或光盘)</w:t>
            </w:r>
            <w:r>
              <w:rPr/>
              <w:t>0</w:t>
            </w:r>
            <w:r>
              <w:rPr/>
              <w:t>份，加密的电子投标文件与非加密的电子投标文件必须完全一致。</w:t>
            </w:r>
          </w:p>
          <w:p>
            <w:pPr>
              <w:pStyle w:val="null3"/>
              <w:ind w:firstLine="480"/>
            </w:pPr>
            <w:r>
              <w:rPr>
                <w:b/>
              </w:rPr>
              <w:t>非加密电子版投标文件使用情形:</w:t>
            </w:r>
            <w:r>
              <w:rPr/>
              <w:t xml:space="preserve"> 当无法使用 CA 证书在云平台项目采购系统进行电子投标文件开标解密时，供应商须在代理机构指引下启用非加密电子版投标文件。</w:t>
            </w:r>
          </w:p>
        </w:tc>
      </w:tr>
      <w:tr>
        <w:tc>
          <w:tcPr>
            <w:tcW w:type="dxa" w:w="1051"/>
          </w:tcPr>
          <w:p>
            <w:pPr>
              <w:pStyle w:val="null3"/>
            </w:pPr>
            <w:r>
              <w:rPr/>
              <w:t xml:space="preserve"> 11</w:t>
            </w:r>
          </w:p>
        </w:tc>
        <w:tc>
          <w:tcPr>
            <w:tcW w:type="dxa" w:w="2252"/>
          </w:tcPr>
          <w:p>
            <w:pPr>
              <w:pStyle w:val="null3"/>
            </w:pPr>
            <w:r>
              <w:rPr/>
              <w:t xml:space="preserve"> 中标候选供应商推荐家数</w:t>
            </w:r>
          </w:p>
        </w:tc>
        <w:tc>
          <w:tcPr>
            <w:tcW w:type="dxa" w:w="5004"/>
          </w:tcPr>
          <w:p>
            <w:pPr>
              <w:pStyle w:val="null3"/>
            </w:pPr>
            <w:r>
              <w:rPr/>
              <w:t>采购包1：</w:t>
            </w:r>
            <w:r>
              <w:rPr/>
              <w:t>2家</w:t>
            </w:r>
          </w:p>
        </w:tc>
      </w:tr>
      <w:tr>
        <w:tc>
          <w:tcPr>
            <w:tcW w:type="dxa" w:w="1051"/>
          </w:tcPr>
          <w:p>
            <w:pPr>
              <w:pStyle w:val="null3"/>
            </w:pPr>
            <w:r>
              <w:rPr/>
              <w:t>12</w:t>
            </w:r>
          </w:p>
        </w:tc>
        <w:tc>
          <w:tcPr>
            <w:tcW w:type="dxa" w:w="2252"/>
          </w:tcPr>
          <w:p>
            <w:pPr>
              <w:pStyle w:val="null3"/>
              <w:ind w:firstLine="480"/>
            </w:pPr>
            <w:r>
              <w:rPr/>
              <w:t>中标供应商数量</w:t>
            </w:r>
          </w:p>
        </w:tc>
        <w:tc>
          <w:tcPr>
            <w:tcW w:type="dxa" w:w="5004"/>
          </w:tcPr>
          <w:p>
            <w:pPr>
              <w:pStyle w:val="null3"/>
            </w:pPr>
            <w:r>
              <w:rPr/>
              <w:t>采购包1：</w:t>
            </w:r>
            <w:r>
              <w:rPr/>
              <w:t>1家</w:t>
            </w:r>
          </w:p>
        </w:tc>
      </w:tr>
      <w:tr>
        <w:tc>
          <w:tcPr>
            <w:tcW w:type="dxa" w:w="1051"/>
          </w:tcPr>
          <w:p>
            <w:pPr>
              <w:pStyle w:val="null3"/>
            </w:pPr>
            <w:r>
              <w:rPr/>
              <w:t>13</w:t>
            </w:r>
          </w:p>
        </w:tc>
        <w:tc>
          <w:tcPr>
            <w:tcW w:type="dxa" w:w="2252"/>
          </w:tcPr>
          <w:p>
            <w:pPr>
              <w:pStyle w:val="null3"/>
              <w:ind w:firstLine="480"/>
            </w:pPr>
            <w:r>
              <w:rPr/>
              <w:t>有效供应商家数</w:t>
            </w:r>
          </w:p>
        </w:tc>
        <w:tc>
          <w:tcPr>
            <w:tcW w:type="dxa" w:w="5004"/>
          </w:tcPr>
          <w:p>
            <w:pPr>
              <w:pStyle w:val="null3"/>
              <w:jc w:val="left"/>
            </w:pPr>
            <w:r>
              <w:rPr/>
              <w:t>采购包1：3家</w:t>
            </w:r>
          </w:p>
          <w:p>
            <w:pPr>
              <w:pStyle w:val="null3"/>
              <w:ind w:firstLine="480"/>
            </w:pPr>
            <w:r>
              <w:rPr/>
              <w:t>此人数约定了开标与评标过程中的最低有效供应商家数，当家数不足时项目将不得开标、不得评标或直接废标。</w:t>
            </w:r>
          </w:p>
        </w:tc>
      </w:tr>
      <w:tr>
        <w:tc>
          <w:tcPr>
            <w:tcW w:type="dxa" w:w="1051"/>
          </w:tcPr>
          <w:p>
            <w:pPr>
              <w:pStyle w:val="null3"/>
            </w:pPr>
            <w:r>
              <w:rPr/>
              <w:t>14</w:t>
            </w:r>
          </w:p>
        </w:tc>
        <w:tc>
          <w:tcPr>
            <w:tcW w:type="dxa" w:w="2252"/>
          </w:tcPr>
          <w:p>
            <w:pPr>
              <w:pStyle w:val="null3"/>
            </w:pPr>
            <w:r>
              <w:rPr/>
              <w:t xml:space="preserve"> 项目兼投兼中规则</w:t>
            </w:r>
          </w:p>
        </w:tc>
        <w:tc>
          <w:tcPr>
            <w:tcW w:type="dxa" w:w="5004"/>
          </w:tcPr>
          <w:p>
            <w:pPr>
              <w:pStyle w:val="null3"/>
            </w:pPr>
            <w:r>
              <w:rPr/>
              <w:t>兼投兼中：-</w:t>
            </w:r>
          </w:p>
        </w:tc>
      </w:tr>
      <w:tr>
        <w:tc>
          <w:tcPr>
            <w:tcW w:type="dxa" w:w="1051"/>
          </w:tcPr>
          <w:p>
            <w:pPr>
              <w:pStyle w:val="null3"/>
            </w:pPr>
            <w:r>
              <w:rPr/>
              <w:t>15</w:t>
            </w:r>
          </w:p>
        </w:tc>
        <w:tc>
          <w:tcPr>
            <w:tcW w:type="dxa" w:w="2252"/>
          </w:tcPr>
          <w:p>
            <w:pPr>
              <w:pStyle w:val="null3"/>
            </w:pPr>
            <w:r>
              <w:rPr/>
              <w:t xml:space="preserve"> 中标供应商确定方式</w:t>
            </w:r>
          </w:p>
        </w:tc>
        <w:tc>
          <w:tcPr>
            <w:tcW w:type="dxa" w:w="5004"/>
          </w:tcPr>
          <w:p>
            <w:pPr>
              <w:pStyle w:val="null3"/>
            </w:pPr>
            <w:r>
              <w:rPr/>
              <w:t>采购人按照评审报告中推荐的成交候选人确定中标（成交）人。</w:t>
            </w:r>
          </w:p>
        </w:tc>
      </w:tr>
      <w:tr>
        <w:tc>
          <w:tcPr>
            <w:tcW w:type="dxa" w:w="1051"/>
          </w:tcPr>
          <w:p>
            <w:pPr>
              <w:pStyle w:val="null3"/>
            </w:pPr>
            <w:r>
              <w:rPr/>
              <w:t>16</w:t>
            </w:r>
          </w:p>
        </w:tc>
        <w:tc>
          <w:tcPr>
            <w:tcW w:type="dxa" w:w="2252"/>
          </w:tcPr>
          <w:p>
            <w:pPr>
              <w:pStyle w:val="null3"/>
            </w:pPr>
            <w:r>
              <w:rPr/>
              <w:t xml:space="preserve"> 代理服务费</w:t>
            </w:r>
          </w:p>
        </w:tc>
        <w:tc>
          <w:tcPr>
            <w:tcW w:type="dxa" w:w="5004"/>
          </w:tcPr>
          <w:p>
            <w:pPr>
              <w:pStyle w:val="null3"/>
            </w:pPr>
            <w:r>
              <w:rPr/>
              <w:t>收取。</w:t>
            </w:r>
            <w:r>
              <w:rPr/>
              <w:t>采购机构代理服务收费标准：中标供应商按以下标准和规定向采购代理机构缴纳采购代理服务费：(1)以中标通知书确定的中标金额作为采购代理服务费的计算基数；(2)采购代理服务费采用差额定率累进法进行计算，服务类项目按照以下标准计取：100万元及以下的部分，按照1.5%计取；100-500万元的部分，按照0.8%计取。</w:t>
            </w:r>
          </w:p>
        </w:tc>
      </w:tr>
      <w:tr>
        <w:tc>
          <w:tcPr>
            <w:tcW w:type="dxa" w:w="1051"/>
          </w:tcPr>
          <w:p>
            <w:pPr>
              <w:pStyle w:val="null3"/>
            </w:pPr>
            <w:r>
              <w:rPr/>
              <w:t>17</w:t>
            </w:r>
          </w:p>
        </w:tc>
        <w:tc>
          <w:tcPr>
            <w:tcW w:type="dxa" w:w="2252"/>
          </w:tcPr>
          <w:p>
            <w:pPr>
              <w:pStyle w:val="null3"/>
            </w:pPr>
            <w:r>
              <w:rPr/>
              <w:t xml:space="preserve"> 代理服务费收取方式</w:t>
            </w:r>
          </w:p>
        </w:tc>
        <w:tc>
          <w:tcPr>
            <w:tcW w:type="dxa" w:w="5004"/>
          </w:tcPr>
          <w:p>
            <w:pPr>
              <w:pStyle w:val="null3"/>
            </w:pPr>
            <w:r>
              <w:rPr/>
              <w:t>向中标/成交供应商收取</w:t>
            </w:r>
          </w:p>
        </w:tc>
      </w:tr>
      <w:tr>
        <w:tc>
          <w:tcPr>
            <w:tcW w:type="dxa" w:w="1051"/>
          </w:tcPr>
          <w:p>
            <w:pPr>
              <w:pStyle w:val="null3"/>
            </w:pPr>
            <w:r>
              <w:rPr/>
              <w:t>18</w:t>
            </w:r>
          </w:p>
        </w:tc>
        <w:tc>
          <w:tcPr>
            <w:tcW w:type="dxa" w:w="2252"/>
          </w:tcPr>
          <w:p>
            <w:pPr>
              <w:pStyle w:val="null3"/>
            </w:pPr>
            <w:r>
              <w:rPr/>
              <w:t xml:space="preserve"> 其他</w:t>
            </w:r>
          </w:p>
        </w:tc>
        <w:tc>
          <w:tcPr>
            <w:tcW w:type="dxa" w:w="5004"/>
          </w:tcPr>
          <w:p>
            <w:pPr>
              <w:pStyle w:val="null3"/>
              <w:jc w:val="left"/>
            </w:pPr>
            <w:r>
              <w:rPr/>
              <w:t>其他，1、本项目评分部分的综合信用评价得分运用广州公共资源交易政府采购领域信用评价体系进行计算(综合信用评价得分=供应商在广州公共资源交易信用评价(政府采购供应商信用评价分) X 5%) 。供应商应在响应前通过广州交易集团有限公司网站完成企业信用档案登记，并确认成功，以免出现企业信用评价分无法使用等情况，登记手册可查阅 http://www.gzggzy.cn/fwznxtbzczsc/951149jhtml。供应商的信用评价分以开标当天广州交易集团有限公司网站公布的分值为准(通过“广州交易集团有限公司网站-信用信息-广州公共资源交易信用平台3.0”进行核实,未能在网站查询到供应商信用评价分的，以当天信用评价基准分计算。 2、采购人应当自《中标通知书》发出之日起十个工作日内，按照招标文件和中标供应商投标文件的约定，与中标供应商签订合同。</w:t>
            </w:r>
          </w:p>
        </w:tc>
      </w:tr>
      <w:tr>
        <w:tc>
          <w:tcPr>
            <w:tcW w:type="dxa" w:w="1051"/>
          </w:tcPr>
          <w:p>
            <w:pPr>
              <w:pStyle w:val="null3"/>
            </w:pPr>
            <w:r>
              <w:rPr/>
              <w:t>19</w:t>
            </w:r>
          </w:p>
        </w:tc>
        <w:tc>
          <w:tcPr>
            <w:tcW w:type="dxa" w:w="2252"/>
          </w:tcPr>
          <w:p>
            <w:pPr>
              <w:pStyle w:val="null3"/>
            </w:pPr>
            <w:r>
              <w:rPr/>
              <w:t xml:space="preserve"> 开标解密时长</w:t>
            </w:r>
          </w:p>
        </w:tc>
        <w:tc>
          <w:tcPr>
            <w:tcW w:type="dxa" w:w="5004"/>
          </w:tcPr>
          <w:p>
            <w:pPr>
              <w:pStyle w:val="null3"/>
            </w:pPr>
            <w:r>
              <w:rPr/>
              <w:t>30分钟</w:t>
            </w:r>
          </w:p>
          <w:p>
            <w:pPr>
              <w:pStyle w:val="null3"/>
            </w:pPr>
            <w:r>
              <w:rPr/>
              <w:t>说明：具体情况根据开标时现场代理机构人员设置为准</w:t>
            </w:r>
          </w:p>
        </w:tc>
      </w:tr>
      <w:tr>
        <w:tc>
          <w:tcPr>
            <w:tcW w:type="dxa" w:w="1051"/>
          </w:tcPr>
          <w:p>
            <w:pPr>
              <w:pStyle w:val="null3"/>
            </w:pPr>
            <w:r>
              <w:rPr/>
              <w:t>20</w:t>
            </w:r>
          </w:p>
        </w:tc>
        <w:tc>
          <w:tcPr>
            <w:tcW w:type="dxa" w:w="2252"/>
          </w:tcPr>
          <w:p>
            <w:pPr>
              <w:pStyle w:val="null3"/>
            </w:pPr>
            <w:r>
              <w:rPr/>
              <w:t xml:space="preserve"> 专门面向中小企业采购</w:t>
            </w:r>
          </w:p>
        </w:tc>
        <w:tc>
          <w:tcPr>
            <w:tcW w:type="dxa" w:w="5004"/>
          </w:tcPr>
          <w:p>
            <w:pPr>
              <w:pStyle w:val="null3"/>
              <w:jc w:val="left"/>
            </w:pPr>
            <w:r>
              <w:rPr/>
              <w:t>采购包1：面向小微企业，采购包专门预留</w:t>
            </w:r>
          </w:p>
        </w:tc>
      </w:tr>
    </w:tbl>
    <w:p>
      <w:pPr>
        <w:pStyle w:val="null3"/>
        <w:outlineLvl w:val="2"/>
      </w:pPr>
      <w:r>
        <w:rPr>
          <w:sz w:val="28"/>
          <w:b/>
        </w:rPr>
        <w:t>三、说明</w:t>
      </w:r>
    </w:p>
    <w:p>
      <w:pPr>
        <w:pStyle w:val="null3"/>
        <w:outlineLvl w:val="3"/>
      </w:pPr>
      <w:r>
        <w:rPr>
          <w:sz w:val="24"/>
          <w:b/>
        </w:rPr>
        <w:t>1.总则</w:t>
      </w:r>
    </w:p>
    <w:p>
      <w:pPr>
        <w:pStyle w:val="null3"/>
        <w:ind w:firstLine="480"/>
      </w:pPr>
      <w:r>
        <w:rPr/>
        <w:t>采购人、采购代理机构及投标人进行的本次采购活动适用《中华人民共和国政府采购法》及其配套的法规、规章、政策。</w:t>
      </w:r>
    </w:p>
    <w:p>
      <w:pPr>
        <w:pStyle w:val="null3"/>
        <w:ind w:firstLine="480"/>
      </w:pPr>
      <w:r>
        <w:rPr/>
        <w:t xml:space="preserve"> 投标人应仔细阅读本项目招标公告及招标文件的所有内容（包括变更、补充、澄清以及修改等，且均为招标文件的组成部分），按照招标文件要求以及格式编制投标文件，并保证其真实性，否则一切后果自负。</w:t>
      </w:r>
    </w:p>
    <w:p>
      <w:pPr>
        <w:pStyle w:val="null3"/>
        <w:ind w:firstLine="480"/>
      </w:pPr>
      <w:r>
        <w:rPr/>
        <w:t>本次公开招标项目，是以招标公告的方式邀请非特定的投标人参加投标。</w:t>
      </w:r>
    </w:p>
    <w:p>
      <w:pPr>
        <w:pStyle w:val="null3"/>
        <w:outlineLvl w:val="3"/>
      </w:pPr>
      <w:r>
        <w:rPr>
          <w:sz w:val="24"/>
          <w:b/>
        </w:rPr>
        <w:t>2.适用范围</w:t>
      </w:r>
    </w:p>
    <w:p>
      <w:pPr>
        <w:pStyle w:val="null3"/>
        <w:ind w:firstLine="480"/>
      </w:pPr>
      <w:r>
        <w:rPr/>
        <w:t>本招标文件仅适用于本次招标公告中所涉及的项目和内容。</w:t>
      </w:r>
    </w:p>
    <w:p>
      <w:pPr>
        <w:pStyle w:val="null3"/>
        <w:outlineLvl w:val="3"/>
      </w:pPr>
      <w:r>
        <w:rPr>
          <w:sz w:val="24"/>
          <w:b/>
        </w:rPr>
        <w:t>3.进口产品</w:t>
      </w:r>
    </w:p>
    <w:p>
      <w:pPr>
        <w:pStyle w:val="null3"/>
        <w:ind w:firstLine="480"/>
      </w:pPr>
      <w:r>
        <w:rPr/>
        <w:t xml:space="preserve"> 若本项目允许采购进口产品，供应商应保证所投产品可履行合法报通关手续进入中国关境内。</w:t>
      </w:r>
    </w:p>
    <w:p>
      <w:pPr>
        <w:pStyle w:val="null3"/>
        <w:ind w:firstLine="480"/>
      </w:pPr>
      <w:r>
        <w:rPr/>
        <w:t>若本项目不允许采购进口产品，如供应商所投产品为进口产品，其响应将被认定为响应无效。</w:t>
      </w:r>
    </w:p>
    <w:p>
      <w:pPr>
        <w:pStyle w:val="null3"/>
        <w:outlineLvl w:val="3"/>
      </w:pPr>
      <w:r>
        <w:rPr>
          <w:sz w:val="24"/>
          <w:b/>
        </w:rPr>
        <w:t>4.投标的费用</w:t>
      </w:r>
    </w:p>
    <w:p>
      <w:pPr>
        <w:pStyle w:val="null3"/>
        <w:ind w:firstLine="480"/>
      </w:pPr>
      <w:r>
        <w:rPr/>
        <w:t>不论投标结果如何，投标人应承担所有与准备和参加投标有关的费用。采购代理机构和采购人均无义务和责任承担相关费用。</w:t>
      </w:r>
    </w:p>
    <w:p>
      <w:pPr>
        <w:pStyle w:val="null3"/>
        <w:outlineLvl w:val="3"/>
      </w:pPr>
      <w:r>
        <w:rPr>
          <w:sz w:val="24"/>
          <w:b/>
        </w:rPr>
        <w:t>5.以联合体形式投标的，应符合以下规定：</w:t>
      </w:r>
    </w:p>
    <w:p>
      <w:pPr>
        <w:pStyle w:val="null3"/>
        <w:ind w:firstLine="480"/>
      </w:pPr>
      <w:r>
        <w:rPr/>
        <w:t>5.1联合体各方均应当满足《中华人民共和国政府采购法》第二十二条规定的条件，并在投标文件中提供联合体各方的相关证明材料。</w:t>
      </w:r>
    </w:p>
    <w:p>
      <w:pPr>
        <w:pStyle w:val="null3"/>
        <w:ind w:firstLine="480"/>
      </w:pPr>
      <w:r>
        <w:rPr/>
        <w:t>5.2 联合体各方之间应签订共同投标协议书并在投标文件中提交，明确约定联合体各方承担的工作和相应的责任。联合体各方签订共同投标协议书后，不得再以自己名义单独在同一项目（采购包）中投标，也不得组成新的联合体参加同一项目（采购包）投标，若违反规定则其参与的所有投标将视为无效投标。</w:t>
      </w:r>
    </w:p>
    <w:p>
      <w:pPr>
        <w:pStyle w:val="null3"/>
        <w:ind w:firstLine="480"/>
      </w:pPr>
      <w:r>
        <w:rPr/>
        <w:t>5.3 联合体应以联合协议中确定的牵头方名义登录云平台项目采购系统进行项目投标，录入联合体所有成员单位的全称并使用成员单位的电子印章进行联投确认，联合体名称需与共同投标协议书签署方一致。对于需交投标保证金的，以牵头方名义缴纳。</w:t>
      </w:r>
    </w:p>
    <w:p>
      <w:pPr>
        <w:pStyle w:val="null3"/>
        <w:ind w:firstLine="480"/>
      </w:pPr>
      <w:r>
        <w:rPr/>
        <w:t>5.4联合体成员存在不良信用记录的，视同联合体存在不良信用记录。</w:t>
      </w:r>
    </w:p>
    <w:p>
      <w:pPr>
        <w:pStyle w:val="null3"/>
        <w:ind w:firstLine="480"/>
      </w:pPr>
      <w:r>
        <w:rPr/>
        <w:t>5.5联合体各方均应满足《中华人民共和国政府采购法》第二十二条规定的条件。根据《中华人民共和国政府采购法实施条例》第二十二条，联合体中有同类资质的供应商按照联合体分工承担相同工作的，应当按照资质等级较低的供应商确定资质等级。</w:t>
      </w:r>
    </w:p>
    <w:p>
      <w:pPr>
        <w:pStyle w:val="null3"/>
        <w:ind w:firstLine="480"/>
      </w:pPr>
      <w:r>
        <w:rPr/>
        <w:t>5.6联合体各方应当共同与采购人签订采购合同，就合同约定的事项对采购人承担连带责任。</w:t>
      </w:r>
    </w:p>
    <w:p>
      <w:pPr>
        <w:pStyle w:val="null3"/>
        <w:outlineLvl w:val="3"/>
      </w:pPr>
      <w:r>
        <w:rPr>
          <w:sz w:val="24"/>
          <w:b/>
        </w:rPr>
        <w:t>6.关联企业投标说明</w:t>
      </w:r>
    </w:p>
    <w:p>
      <w:pPr>
        <w:pStyle w:val="null3"/>
        <w:ind w:firstLine="480"/>
      </w:pPr>
      <w:r>
        <w:rPr/>
        <w:t>6.1 对于不接受联合体投标的采购项目（采购包）：法定代表人或单位负责人为同一个人或者存在直接控股、管理关系的不同供应商，不得同时参加同一项目或同一采购包的投标。如同时参加，则其投标将被拒绝。</w:t>
      </w:r>
    </w:p>
    <w:p>
      <w:pPr>
        <w:pStyle w:val="null3"/>
        <w:ind w:firstLine="480"/>
      </w:pPr>
      <w:r>
        <w:rPr/>
        <w:t>6.2 对于接受联合体投标的采购项目（采购包）：除联合体外，法定代表人或单位负责人为同一个人或者存在直接控股、管理关系的不同供应商，不得同时参加同一项目或同一采购包的投标。如同时参加，则评审时将同时被拒绝。</w:t>
      </w:r>
    </w:p>
    <w:p>
      <w:pPr>
        <w:pStyle w:val="null3"/>
        <w:outlineLvl w:val="3"/>
      </w:pPr>
      <w:r>
        <w:rPr>
          <w:sz w:val="24"/>
          <w:b/>
        </w:rPr>
        <w:t>7.关于中小微企业投标</w:t>
      </w:r>
    </w:p>
    <w:p>
      <w:pPr>
        <w:pStyle w:val="null3"/>
        <w:ind w:firstLine="480"/>
      </w:pPr>
      <w:r>
        <w:rPr/>
        <w:t xml:space="preserve"> 中小微企业响应是指在政府采购活动中，供应商提供的货物均由中小微企业制造、工程均由中小微企业承建或者服务均由中小微企业承接，并在响应文件中提供《中小企业声明函》。本条款所称中小微企业，是指在中华人民共和国境内依法设立，依据国务院批准的中小企业划分标准确定的中型企业、小型企业和微型企业，但与大企业的负责人为同一人，或者与大企业存在直接控股、管理关系的除外。符合中小企业划分标准的个体工商户，在政府采购活动中视同中小企业。 中小企业划分见《关于印发中小企业划型标准规定的通知》（工信部联企业〔2011〕300号) 。</w:t>
      </w:r>
    </w:p>
    <w:p>
      <w:pPr>
        <w:pStyle w:val="null3"/>
        <w:ind w:firstLine="480"/>
      </w:pPr>
      <w:r>
        <w:rPr/>
        <w:t>根据财库〔2014〕68号《财政部 司法部关于政府采购支持监狱企业发展有关问题的通知》，监狱企业视同小微企业。监狱企业是指由司法部认定的为罪犯、戒毒人员提供生产项目和劳动对象，且全部产权属于司法部监狱管理局、戒毒管理局、直属煤矿管理局，各省、自治区、直辖市监狱管理局、戒毒管理局，各地(设区的市)监狱、强制隔离戒毒所、戒毒康复所，以及新疆生产建设兵团监狱管理局、戒毒管理局的企业。监狱企业投标时，提供由省级以上监狱管理局、戒毒管理局(含新疆生产建设兵团)出具的属于监狱企业的证明文件，不再提供《中小企业声明函》。</w:t>
      </w:r>
    </w:p>
    <w:p>
      <w:pPr>
        <w:pStyle w:val="null3"/>
        <w:ind w:firstLine="480"/>
      </w:pPr>
      <w:r>
        <w:rPr/>
        <w:t>根据财库〔2017〕141号《财政部 民政部 中国残疾人联合会关于促进残疾人就业政府采购政策的通知》，在政府采购活动中，残疾人福利性单位视同小型、微型企业，享受政府采购支持政策的残疾人福利性单位应当同时满足《财政部 民政部 中国残疾人联合会关于促进残疾人就业政府采购政策的通知》所列条件。残疾人福利性单位属于小型、微型企业的，不重复享受政策。符合条件的残疾人福利性单位在参加政府采购活动时，应当提供《残疾人福利性单位声明函》，并对声明的真实性负责。</w:t>
      </w:r>
    </w:p>
    <w:p>
      <w:pPr>
        <w:pStyle w:val="null3"/>
        <w:outlineLvl w:val="3"/>
      </w:pPr>
      <w:r>
        <w:rPr>
          <w:sz w:val="24"/>
          <w:b/>
        </w:rPr>
        <w:t>8.纪律与保密事项</w:t>
      </w:r>
    </w:p>
    <w:p>
      <w:pPr>
        <w:pStyle w:val="null3"/>
        <w:ind w:firstLine="480"/>
      </w:pPr>
      <w:r>
        <w:rPr/>
        <w:t>8.1投标人不得相互串通投标报价，不得妨碍其他投标人的公平竞争，不得损害采购人或其他投标人的合法权益，投标人不得以向采购人、评标委员会成员行贿或者采取其他不正当手段谋取中标。</w:t>
      </w:r>
    </w:p>
    <w:p>
      <w:pPr>
        <w:pStyle w:val="null3"/>
        <w:ind w:firstLine="480"/>
      </w:pPr>
      <w:r>
        <w:rPr/>
        <w:t>8.2在确定中标供应商之前，投标人不得与采购人就投标价格、投标方案等实质性内容进行谈判，也不得私下接触评标委员会成员。</w:t>
      </w:r>
    </w:p>
    <w:p>
      <w:pPr>
        <w:pStyle w:val="null3"/>
        <w:ind w:firstLine="480"/>
      </w:pPr>
      <w:r>
        <w:rPr/>
        <w:t>8.3在确定中标供应商之前，投标人试图在投标文件审查、澄清、比较和评价时对评标委员会、采购人和采购代理机构施加任何影响都可能导致其投标无效。</w:t>
      </w:r>
    </w:p>
    <w:p>
      <w:pPr>
        <w:pStyle w:val="null3"/>
        <w:ind w:firstLine="480"/>
      </w:pPr>
      <w:r>
        <w:rPr/>
        <w:t>8.4获得本招标文件者，须履行本项目下保密义务，不得将因本次项目获得的信息向第三人外传，不得将招标文件用作本次投标以外的任何用途。</w:t>
      </w:r>
    </w:p>
    <w:p>
      <w:pPr>
        <w:pStyle w:val="null3"/>
        <w:ind w:firstLine="480"/>
      </w:pPr>
      <w:r>
        <w:rPr/>
        <w:t xml:space="preserve"> 8.5由采购人向投标人提供的图纸、详细资料、样品、模型、模件和所有其它资料，均为保密资料，仅被用于它所规定的用途。除非得到采购人的同意，不能向任何第三方透露。开标结束后，应采购人要求，投标人应归还所有从采购人处获得的保密资料。</w:t>
      </w:r>
    </w:p>
    <w:p>
      <w:pPr>
        <w:pStyle w:val="null3"/>
        <w:ind w:firstLine="480"/>
      </w:pPr>
      <w:r>
        <w:rPr/>
        <w:t>8.6采购人或采购代理机构有权将供应商提供的所有资料向有关政府部门或评审小组披露。</w:t>
      </w:r>
    </w:p>
    <w:p>
      <w:pPr>
        <w:pStyle w:val="null3"/>
        <w:ind w:firstLine="480"/>
      </w:pPr>
      <w:r>
        <w:rPr/>
        <w:t xml:space="preserve"> 8.7在采购人或采购代理机构认为适当时、国家机关调查、审查、审计时以及其他符合法律规定的情形下，采购人或采购代理机构无须事先征求供应商同意而可以披露关于采购过程、合同文本、签署情况的资料、供应商的名称及地址、响应文件的有关信息以及补充条款等，但应当在合理的必要范围内。对任何已经公布过的内容或与之内容相同的资料，以及供应商已经泄露或公开的，无须再承担保密责任。</w:t>
      </w:r>
    </w:p>
    <w:p>
      <w:pPr>
        <w:pStyle w:val="null3"/>
        <w:outlineLvl w:val="3"/>
      </w:pPr>
      <w:r>
        <w:rPr>
          <w:sz w:val="24"/>
          <w:b/>
        </w:rPr>
        <w:t>9.语言文字以及度量衡单位</w:t>
      </w:r>
    </w:p>
    <w:p>
      <w:pPr>
        <w:pStyle w:val="null3"/>
        <w:ind w:firstLine="480"/>
      </w:pPr>
      <w:r>
        <w:rPr/>
        <w:t xml:space="preserve"> 9.1除招标文件另有规定外，投标文件应使用中文文本，若有不同文本，以中文文本为准。投标文件提供的全部资料中，若原件属于非中文描述，应提供具有翻译资质的机构翻译的中文译本。前述翻译机构应为中国翻译协会成员单位，翻译的中文译本应由翻译人员签名并加盖翻译机构公章，同时提供翻译人员翻译资格证书。中文译本、翻译机构的成员单位证书及翻译人员的资格证书可为复印件。</w:t>
      </w:r>
    </w:p>
    <w:p>
      <w:pPr>
        <w:pStyle w:val="null3"/>
        <w:ind w:firstLine="480"/>
      </w:pPr>
      <w:r>
        <w:rPr/>
        <w:t>9.2除非招标文件的技术规格中另有规定，投标人在投标文件中及其与采购人和采购代理机构的所有往来文件中的计量单位均应采用中华人民共和国法定计量单位。</w:t>
      </w:r>
    </w:p>
    <w:p>
      <w:pPr>
        <w:pStyle w:val="null3"/>
        <w:ind w:firstLine="480"/>
      </w:pPr>
      <w:r>
        <w:rPr/>
        <w:t>9.3投标人所提供的货物和服务均应以人民币报价，货币单位：元。</w:t>
      </w:r>
    </w:p>
    <w:p>
      <w:pPr>
        <w:pStyle w:val="null3"/>
        <w:outlineLvl w:val="3"/>
      </w:pPr>
      <w:r>
        <w:rPr>
          <w:sz w:val="24"/>
          <w:b/>
        </w:rPr>
        <w:t>10. 现场踏勘（如有）</w:t>
      </w:r>
    </w:p>
    <w:p>
      <w:pPr>
        <w:pStyle w:val="null3"/>
        <w:ind w:firstLine="480"/>
      </w:pPr>
      <w:r>
        <w:rPr/>
        <w:t>10.1招标文件规定组织踏勘现场的，采购人按招标文件规定的时间、地点组织投标人踏勘项目现场。</w:t>
      </w:r>
    </w:p>
    <w:p>
      <w:pPr>
        <w:pStyle w:val="null3"/>
        <w:ind w:firstLine="480"/>
      </w:pPr>
      <w:r>
        <w:rPr/>
        <w:t>10.2投标人自行承担踏勘现场发生的责任、风险和自身费用。</w:t>
      </w:r>
    </w:p>
    <w:p>
      <w:pPr>
        <w:pStyle w:val="null3"/>
        <w:ind w:firstLine="480"/>
      </w:pPr>
      <w:r>
        <w:rPr/>
        <w:t>10.3采购人在踏勘现场中介绍的资料和数据等，只是为了使投标人能够利用招标人现有的资料。招标人对投标人由此而作出的推论、解释和结论概不负责。</w:t>
      </w:r>
    </w:p>
    <w:p>
      <w:pPr>
        <w:pStyle w:val="null3"/>
        <w:outlineLvl w:val="3"/>
      </w:pPr>
      <w:r>
        <w:rPr>
          <w:sz w:val="24"/>
          <w:b/>
        </w:rPr>
        <w:t>11.关于分支机构投标</w:t>
      </w:r>
    </w:p>
    <w:p>
      <w:pPr>
        <w:pStyle w:val="null3"/>
        <w:ind w:firstLine="480"/>
      </w:pPr>
      <w:r>
        <w:rPr/>
        <w:t xml:space="preserve"> 对接受分支机构投标的项目，分支机构投标的，须提供分支机构的营业执照（执业许可证）扫描件及总公司（总所）出具给分支机构的授权书，授权书须加盖总公司（总所）公章。总公司（总所）可就本项目或此类项目在一定范围或时间内出具授权书。已由总公司（总所）授权的，总公司（总所）取得的相关资质证书对分支机构有效，法律法规或者行业另有规定的除外。依法设立登记的分支机构以自己的名义参加政府采购活动，产生的民事责任由法人承担。（保险类项目则为：本项目只接受保险分公司或中心支公司以上的保险机构投标；分公司或中心支公司的保险机构投标的，还须提供分公司或中心支公司的保险机构的营业执照。依法设立登记的分支机构以自己的名义参加政府采购活动，产生的民事责任由法人承担。 ）</w:t>
      </w:r>
    </w:p>
    <w:p>
      <w:pPr>
        <w:pStyle w:val="null3"/>
        <w:outlineLvl w:val="2"/>
      </w:pPr>
      <w:r>
        <w:rPr>
          <w:sz w:val="28"/>
          <w:b/>
        </w:rPr>
        <w:t>四、招标文件的澄清和修改</w:t>
      </w:r>
    </w:p>
    <w:p>
      <w:pPr>
        <w:pStyle w:val="null3"/>
        <w:ind w:firstLine="480"/>
      </w:pPr>
      <w:r>
        <w:rPr/>
        <w:t xml:space="preserve"> 1.采购代理机构对招标文件进行必要的澄清或者修改的，在指定媒体上发布更正公告。澄清或者修改的内容可能影响投标文件编制的，更正公告在投标截止时间至少15日前发出；不足15日的，代理机构顺延提交投标文件截止时间。</w:t>
      </w:r>
    </w:p>
    <w:p>
      <w:pPr>
        <w:pStyle w:val="null3"/>
        <w:ind w:firstLine="480"/>
      </w:pPr>
      <w:r>
        <w:rPr/>
        <w:t xml:space="preserve"> 2.更正公告及其所发布的内容或信息（包括但不限于：招标文件的澄清或修改、现场考察或答疑会的有关事宜等）作为招标文件的组成部分，对投标人具有约束力。一经在指定媒体上发布后，更正公告将作为通知所有招标文件收受人的书面形式。</w:t>
      </w:r>
    </w:p>
    <w:p>
      <w:pPr>
        <w:pStyle w:val="null3"/>
        <w:ind w:firstLine="480"/>
      </w:pPr>
      <w:r>
        <w:rPr/>
        <w:t>3.如更正公告有重新发布电子招标文件的，供应商应登录云平台项目采购系统下载最新发布的电子招标文件制作投标文件。</w:t>
      </w:r>
    </w:p>
    <w:p>
      <w:pPr>
        <w:pStyle w:val="null3"/>
        <w:ind w:firstLine="480"/>
      </w:pPr>
      <w:r>
        <w:rPr/>
        <w:t xml:space="preserve"> 4.投标人在规定的时间内未对招标文件提出疑问、质疑或要求澄清的，将视其为无异议。对招标文件中描述有歧义或前后不一致的地方，评标委员会有权进行评判，但对同一条款的评判应适用于每个投标人。</w:t>
      </w:r>
    </w:p>
    <w:p>
      <w:pPr>
        <w:pStyle w:val="null3"/>
        <w:outlineLvl w:val="2"/>
      </w:pPr>
      <w:r>
        <w:rPr>
          <w:sz w:val="28"/>
          <w:b/>
        </w:rPr>
        <w:t>五、投标要求</w:t>
      </w:r>
    </w:p>
    <w:p>
      <w:pPr>
        <w:pStyle w:val="null3"/>
        <w:outlineLvl w:val="3"/>
      </w:pPr>
      <w:r>
        <w:rPr>
          <w:sz w:val="24"/>
          <w:b/>
        </w:rPr>
        <w:t>1.投标登记</w:t>
      </w:r>
    </w:p>
    <w:p>
      <w:pPr>
        <w:pStyle w:val="null3"/>
        <w:ind w:firstLine="480"/>
      </w:pPr>
      <w:r>
        <w:rPr/>
        <w:t xml:space="preserve"> 投标人应从广东省政府采购网（https://gdgpo.czt.gd.gov.cn/）上广东政府采购智慧云平台（以下简称“云平台”）的政府采购供应商入口进行免费注册后，登录进入项目采购系统完成项目投标登记并在线获取招标文件（未按上述方式获取招标文件的供应商，其投标资格将被视为无效）。</w:t>
      </w:r>
    </w:p>
    <w:p>
      <w:pPr>
        <w:pStyle w:val="null3"/>
        <w:outlineLvl w:val="3"/>
      </w:pPr>
      <w:r>
        <w:rPr>
          <w:sz w:val="24"/>
          <w:b/>
        </w:rPr>
        <w:t>2.投标文件的制作</w:t>
      </w:r>
    </w:p>
    <w:p>
      <w:pPr>
        <w:pStyle w:val="null3"/>
        <w:ind w:firstLine="480"/>
      </w:pPr>
      <w:r>
        <w:rPr/>
        <w:t>2.1投标文件中，所有内容均以电子文件编制，其格式要求详见第六章说明。如因不按要求编制导致系统无法检索、读取相关信息时，其后果由投标人承担。由于本项目采用电子化投标，请充分考虑设备、网络环境、人员对系统熟悉度等因素，合理安排投标文件制作、提交时间，建议至少提前一天完成制作、提交工作。</w:t>
      </w:r>
    </w:p>
    <w:p>
      <w:pPr>
        <w:pStyle w:val="null3"/>
        <w:ind w:firstLine="480"/>
      </w:pPr>
      <w:r>
        <w:rPr/>
        <w:t xml:space="preserve"> 2.2投标人应使用云平台提供的投标客户端编制、标记、加密投标文件，成功加密后将生成指定格式的电子投标文件和电子备用投标文件。所有投标文件不能进行压缩处理。关于电子投标报价（如有报价）说明如下：</w:t>
      </w:r>
    </w:p>
    <w:p>
      <w:pPr>
        <w:pStyle w:val="null3"/>
        <w:ind w:firstLine="480"/>
      </w:pPr>
      <w:r>
        <w:rPr/>
        <w:t xml:space="preserve"> (1)投标人应按照“第二章采购需求”的需求内容、责任范围以及合同条款进行报价。并按“开标一览表”和“分项报价表”规定的格式报出总价和分项价格。投标总价中不得包含招标文件要求以外的内容，否则，在评审时不予核减。</w:t>
      </w:r>
    </w:p>
    <w:p>
      <w:pPr>
        <w:pStyle w:val="null3"/>
        <w:ind w:firstLine="480"/>
      </w:pPr>
      <w:r>
        <w:rPr/>
        <w:t>(2)投标报价包括本项目采购需求和投入使用的所有费用，包括但不限于主件、标准附件、备品备件、施工、服务、专用工具、安装、调试、检验、培训、运输、保险、税款等。</w:t>
      </w:r>
    </w:p>
    <w:p>
      <w:pPr>
        <w:pStyle w:val="null3"/>
        <w:ind w:firstLine="480"/>
      </w:pPr>
      <w:r>
        <w:rPr/>
        <w:t>2.3 如有对多个采购包投标的，要对每个采购包独立制作电子投标文件。</w:t>
      </w:r>
    </w:p>
    <w:p>
      <w:pPr>
        <w:pStyle w:val="null3"/>
        <w:ind w:firstLine="480"/>
      </w:pPr>
      <w:r>
        <w:rPr/>
        <w:t>2.4投标人不得将同一个项目或同一个采购包的内容拆开投标，否则其报价将被视为非实质性响应。</w:t>
      </w:r>
    </w:p>
    <w:p>
      <w:pPr>
        <w:pStyle w:val="null3"/>
        <w:ind w:firstLine="480"/>
      </w:pPr>
      <w:r>
        <w:rPr/>
        <w:t>2.5投标人须对招标文件的对应要求给予唯一的实质性响应，否则将视为不响应。</w:t>
      </w:r>
    </w:p>
    <w:p>
      <w:pPr>
        <w:pStyle w:val="null3"/>
        <w:ind w:firstLine="480"/>
      </w:pPr>
      <w:r>
        <w:rPr/>
        <w:t>2.6招标文件中，凡标有“★”的地方均为实质性响应条款，投标人若有一项带“★”的条款未响应或不满足，将按无效投标处理。</w:t>
      </w:r>
    </w:p>
    <w:p>
      <w:pPr>
        <w:pStyle w:val="null3"/>
        <w:ind w:firstLine="480"/>
      </w:pPr>
      <w:r>
        <w:rPr/>
        <w:t xml:space="preserve"> 2.7投标人必须按招标文件指定的格式填写各种报价，各报价应计算正确。除在招标文件另有规定外（如：报折扣、报优惠率等），计量单位应使用中华人民共和国法定计量单位，以人民币填报所有报价。</w:t>
      </w:r>
    </w:p>
    <w:p>
      <w:pPr>
        <w:pStyle w:val="null3"/>
        <w:ind w:firstLine="480"/>
      </w:pPr>
      <w:r>
        <w:rPr/>
        <w:t xml:space="preserve"> 2.8投标文件以及投标人与采购人、代理机构就有关投标的往来函电均应使用中文。投标人提交的支持性文件和印制的文件可以用另一种语言，但相应内容应翻译成中文，在解释投标文件时以中文文本为准。</w:t>
      </w:r>
    </w:p>
    <w:p>
      <w:pPr>
        <w:pStyle w:val="null3"/>
        <w:ind w:firstLine="480"/>
      </w:pPr>
      <w:r>
        <w:rPr/>
        <w:t xml:space="preserve"> 2.9投标人应按招标文件的规定及附件要求的内容和格式完整地填写和提供资料。投标人必须对投标文件所提供的全部资料的真实性承担法律责任，并无条件接受采购人和政府采购监督管理部门对其中任何资料进行核实（核对原件）的要求。采购人核对发现有不一致或供应商无正当理由不按时提供原件的，应当书面知会代理机构，并书面报告本级人民政府财政部门。</w:t>
      </w:r>
    </w:p>
    <w:p>
      <w:pPr>
        <w:pStyle w:val="null3"/>
        <w:outlineLvl w:val="3"/>
      </w:pPr>
      <w:r>
        <w:rPr>
          <w:sz w:val="24"/>
          <w:b/>
        </w:rPr>
        <w:t>3.投标文件的提交</w:t>
      </w:r>
    </w:p>
    <w:p>
      <w:pPr>
        <w:pStyle w:val="null3"/>
        <w:ind w:firstLine="480"/>
      </w:pPr>
      <w:r>
        <w:rPr/>
        <w:t xml:space="preserve"> 3.1在投标文件提交截止时间前，投标人须将电子投标文件成功完整上传到云平台项目采购系统，且取得投标回执。时间以云平台项目采购系统服务器从中国科学院国家授时中心取得的北京时间为准，投标截止时间结束后，系统将不允许投标人上传投标文件，已上传投标文件但未完成传输的文件系统将拒绝接收。</w:t>
      </w:r>
    </w:p>
    <w:p>
      <w:pPr>
        <w:pStyle w:val="null3"/>
        <w:ind w:firstLine="480"/>
      </w:pPr>
      <w:r>
        <w:rPr/>
        <w:t>3.2代理机构对因不可抗力事件造成的投标文件的损坏、丢失的，不承担责任。</w:t>
      </w:r>
    </w:p>
    <w:p>
      <w:pPr>
        <w:pStyle w:val="null3"/>
        <w:ind w:firstLine="480"/>
      </w:pPr>
      <w:r>
        <w:rPr/>
        <w:t>3.3出现下述情形之一，属于未成功提交投标文件，按无效投标处理：</w:t>
      </w:r>
    </w:p>
    <w:p>
      <w:pPr>
        <w:pStyle w:val="null3"/>
        <w:ind w:firstLine="480"/>
      </w:pPr>
      <w:r>
        <w:rPr/>
        <w:t>（1）至提交投标文件截止时，投标文件未完整上传的。</w:t>
      </w:r>
    </w:p>
    <w:p>
      <w:pPr>
        <w:pStyle w:val="null3"/>
        <w:ind w:firstLine="480"/>
      </w:pPr>
      <w:r>
        <w:rPr/>
        <w:t>（2）投标文件未按投标格式中注明需签字盖章的要求进行签名（含电子签名）和加盖电子印章，或签名（含电子签名）或电子印章不完整的。</w:t>
      </w:r>
    </w:p>
    <w:p>
      <w:pPr>
        <w:pStyle w:val="null3"/>
        <w:ind w:firstLine="480"/>
      </w:pPr>
      <w:r>
        <w:rPr/>
        <w:t>（3）投标文件损坏或格式不正确的。</w:t>
      </w:r>
    </w:p>
    <w:p>
      <w:pPr>
        <w:pStyle w:val="null3"/>
        <w:outlineLvl w:val="3"/>
      </w:pPr>
      <w:r>
        <w:rPr>
          <w:sz w:val="24"/>
          <w:b/>
        </w:rPr>
        <w:t>4.投标文件的修改、撤回与撤销</w:t>
      </w:r>
    </w:p>
    <w:p>
      <w:pPr>
        <w:pStyle w:val="null3"/>
        <w:ind w:firstLine="480"/>
      </w:pPr>
      <w:r>
        <w:rPr/>
        <w:t xml:space="preserve"> 4.1在提交投标文件截止时间前，投标人可以修改或撤回未解密的电子投标文件，并于提交投标文件截止时间前将修改后重新生成的电子投标文件上传至系统，到达投标文件提交截止时间后，将不允许修改或撤回。</w:t>
      </w:r>
    </w:p>
    <w:p>
      <w:pPr>
        <w:pStyle w:val="null3"/>
        <w:ind w:firstLine="480"/>
      </w:pPr>
      <w:r>
        <w:rPr/>
        <w:t>4.2在提交投标文件截止时间后，投标人不得补充、修改和更换投标文件。</w:t>
      </w:r>
    </w:p>
    <w:p>
      <w:pPr>
        <w:pStyle w:val="null3"/>
        <w:outlineLvl w:val="3"/>
      </w:pPr>
      <w:r>
        <w:rPr>
          <w:sz w:val="24"/>
          <w:b/>
        </w:rPr>
        <w:t>5.投标文件的解密</w:t>
      </w:r>
    </w:p>
    <w:p>
      <w:pPr>
        <w:pStyle w:val="null3"/>
        <w:ind w:firstLine="480"/>
      </w:pPr>
      <w:r>
        <w:rPr/>
        <w:t xml:space="preserve"> 到达开标时间后，投标人需携带并使用制作该投标文件的同一数字证书参加开标解密，投标人须在采购代理机构规定的时间内完成投标文件解密，投标人未携带数字证书或其他非系统原因导致的逾期未解密投标文件，将作无效投标处理。</w:t>
      </w:r>
    </w:p>
    <w:p>
      <w:pPr>
        <w:pStyle w:val="null3"/>
        <w:outlineLvl w:val="3"/>
      </w:pPr>
      <w:r>
        <w:rPr>
          <w:sz w:val="24"/>
          <w:b/>
        </w:rPr>
        <w:t>6.投标保证金</w:t>
      </w:r>
    </w:p>
    <w:p>
      <w:pPr>
        <w:pStyle w:val="null3"/>
        <w:ind w:firstLine="480"/>
      </w:pPr>
      <w:r>
        <w:rPr/>
        <w:t xml:space="preserve"> 本项目不收取投标保证金</w:t>
      </w:r>
    </w:p>
    <w:p>
      <w:pPr>
        <w:pStyle w:val="null3"/>
        <w:outlineLvl w:val="3"/>
      </w:pPr>
      <w:r>
        <w:rPr>
          <w:sz w:val="24"/>
          <w:b/>
        </w:rPr>
        <w:t>7.投标有效期</w:t>
      </w:r>
    </w:p>
    <w:p>
      <w:pPr>
        <w:pStyle w:val="null3"/>
        <w:ind w:firstLine="480"/>
      </w:pPr>
      <w:r>
        <w:rPr/>
        <w:t>7.1投标有效期内投标人撤销投标文件的，采购人或者采购代理机构可以不退还投标保证金（如有）。采用投标保函方式替代保证金的，采购人或者采购代理机构可以向担保机构索赔保证金。</w:t>
      </w:r>
    </w:p>
    <w:p>
      <w:pPr>
        <w:pStyle w:val="null3"/>
        <w:ind w:firstLine="480"/>
      </w:pPr>
      <w:r>
        <w:rPr/>
        <w:t xml:space="preserve"> 7.2出现特殊情况需延长投标有效期的，采购人或采购代理机构可于投标有效期满之前要求投标人同意延长有效期，要求与答复均以书面形式通知所有投标人。投标人同意延长的，应相应延长其投标保证金（如有）的有效期，但不得要求或被允许修改或撤销其投标文件；投标人可以拒绝延长有效期，但其投标将会被视为无效，拒绝延长有效期的投标人有权收回其投标保证金（如有）。采用投标保函方式替代保证金的，投标有效期超出保函有效期的，采购人或者采购代理机构应提示投标人重新开函，未获得有效保函的投标人其投标将会被视为无效。</w:t>
      </w:r>
    </w:p>
    <w:p>
      <w:pPr>
        <w:pStyle w:val="null3"/>
        <w:outlineLvl w:val="3"/>
      </w:pPr>
      <w:r>
        <w:rPr>
          <w:sz w:val="24"/>
          <w:b/>
        </w:rPr>
        <w:t>8.样品（演示）</w:t>
      </w:r>
    </w:p>
    <w:p>
      <w:pPr>
        <w:pStyle w:val="null3"/>
        <w:ind w:firstLine="480"/>
      </w:pPr>
      <w:r>
        <w:rPr/>
        <w:t>8.1招标文件规定投标人提交样品的，样品属于投标文件的组成部分。样品的生产、运输、安装、保全等一切费用由投标人自理。</w:t>
      </w:r>
    </w:p>
    <w:p>
      <w:pPr>
        <w:pStyle w:val="null3"/>
        <w:ind w:firstLine="480"/>
      </w:pPr>
      <w:r>
        <w:rPr/>
        <w:t>8.2投标截止时间前，投标人应将样品送达至指定地点。若需要现场演示的，投标人应提前做好演示准备（包括演示设备）。</w:t>
      </w:r>
    </w:p>
    <w:p>
      <w:pPr>
        <w:pStyle w:val="null3"/>
        <w:ind w:firstLine="480"/>
      </w:pPr>
      <w:r>
        <w:rPr/>
        <w:t xml:space="preserve"> 8.3采购结果公告发布后，中标供应商的样品由采购人封存，作为履约验收的依据之一。未中标供应商在接到采购代理机构通知后，应按规定时间尽快自行取回样品，否则视同供应商不再认领，代理机构有权进行处理。</w:t>
      </w:r>
    </w:p>
    <w:p>
      <w:pPr>
        <w:pStyle w:val="null3"/>
        <w:outlineLvl w:val="3"/>
      </w:pPr>
      <w:r>
        <w:rPr>
          <w:sz w:val="24"/>
          <w:b/>
        </w:rPr>
        <w:t>9.除招标文件另有规定外，有下列情形之一的，投标无效：</w:t>
      </w:r>
    </w:p>
    <w:p>
      <w:pPr>
        <w:pStyle w:val="null3"/>
        <w:ind w:firstLine="480"/>
      </w:pPr>
      <w:r>
        <w:rPr/>
        <w:t>9.1投标文件未按照招标文件要求签署、盖章；</w:t>
      </w:r>
    </w:p>
    <w:p>
      <w:pPr>
        <w:pStyle w:val="null3"/>
        <w:ind w:firstLine="480"/>
      </w:pPr>
      <w:r>
        <w:rPr/>
        <w:t>9.2不符合招标文件中规定的资格要求；</w:t>
      </w:r>
    </w:p>
    <w:p>
      <w:pPr>
        <w:pStyle w:val="null3"/>
        <w:ind w:firstLine="480"/>
      </w:pPr>
      <w:r>
        <w:rPr/>
        <w:t>9.3投标报价超过招标文件中规定的预算金额或最高限价；</w:t>
      </w:r>
    </w:p>
    <w:p>
      <w:pPr>
        <w:pStyle w:val="null3"/>
        <w:ind w:firstLine="480"/>
      </w:pPr>
      <w:r>
        <w:rPr/>
        <w:t>9.4投标文件含有采购人不能接受的附加条件；</w:t>
      </w:r>
    </w:p>
    <w:p>
      <w:pPr>
        <w:pStyle w:val="null3"/>
        <w:ind w:firstLine="480"/>
      </w:pPr>
      <w:r>
        <w:rPr/>
        <w:t>9.5有关法律、法规和规章及招标文件规定的其他无效情形。</w:t>
      </w:r>
    </w:p>
    <w:p>
      <w:pPr>
        <w:pStyle w:val="null3"/>
        <w:outlineLvl w:val="2"/>
      </w:pPr>
      <w:r>
        <w:rPr>
          <w:sz w:val="28"/>
          <w:b/>
        </w:rPr>
        <w:t>六、开标、评标和定标</w:t>
      </w:r>
    </w:p>
    <w:p>
      <w:pPr>
        <w:pStyle w:val="null3"/>
        <w:outlineLvl w:val="3"/>
      </w:pPr>
      <w:r>
        <w:rPr>
          <w:sz w:val="24"/>
          <w:b/>
        </w:rPr>
        <w:t>1.开标</w:t>
      </w:r>
    </w:p>
    <w:p>
      <w:pPr>
        <w:pStyle w:val="null3"/>
        <w:ind w:firstLine="480"/>
      </w:pPr>
      <w:r>
        <w:rPr/>
        <w:t>1.1 开标程序</w:t>
      </w:r>
    </w:p>
    <w:p>
      <w:pPr>
        <w:pStyle w:val="null3"/>
        <w:ind w:firstLine="480"/>
      </w:pPr>
      <w:r>
        <w:rPr/>
        <w:t xml:space="preserve"> 招标工作人员按招标公告规定的时间进行开标，由采购人或者采购代理机构工作人员宣布投标人名称、解密情况，投标价格和招标文件规定的需要宣布的其他内容（以开标一览表要求为准）。开标分为现场电子开标和远程电子开标两种。</w:t>
      </w:r>
    </w:p>
    <w:p>
      <w:pPr>
        <w:pStyle w:val="null3"/>
        <w:ind w:firstLine="480"/>
      </w:pPr>
      <w:r>
        <w:rPr/>
        <w:t xml:space="preserve"> 采用现场电子开标的：投标人的法定代表人或其委托代理人应当按照本招标公告载明的时间和地点前往参加开标，并携带编制本项目（采购包）电子投标文件时加密所用的数字证书、存储有备用电子投标文件的U盘前往开标现场。</w:t>
      </w:r>
    </w:p>
    <w:p>
      <w:pPr>
        <w:pStyle w:val="null3"/>
        <w:ind w:firstLine="480"/>
      </w:pPr>
      <w:r>
        <w:rPr/>
        <w:t xml:space="preserve"> 采用远程电子开标的：投标人的法定代表人或其授权代表应当按照本招标公告载明的时间和模式等要求参加开标。在投标截止时间前30分钟，应当登录云平台开标大厅进行签到，并且填写授权代表的姓名与手机号码。若因签到时填写的授权代表信息有误而导致的不良后果，由供应商自行承担。</w:t>
      </w:r>
    </w:p>
    <w:p>
      <w:pPr>
        <w:pStyle w:val="null3"/>
        <w:ind w:firstLine="480"/>
      </w:pPr>
      <w:r>
        <w:rPr/>
        <w:t xml:space="preserve"> 开标时，投标人应当使用编制本项目（采购包）电子投标文件时加密所用数字证书在开始解密后按照代理机构规定的时间内完成电子投标文件的解密，如遇不可抗力等其他特殊情况，采购代理机构可视情况延长解密时间。投标人未携带数字证书或其他非系统原因导致的在规定时间内未解密投标文件，将作无效投标处理。（采用远程电子开标的，各投标人在参加开标以前须自行对使用电脑的网络环境、驱动安装、客户端安装以及数字证书的有效性等进行检测，确保可以正常使用）。</w:t>
      </w:r>
    </w:p>
    <w:p>
      <w:pPr>
        <w:pStyle w:val="null3"/>
        <w:ind w:firstLine="480"/>
      </w:pPr>
      <w:r>
        <w:rPr/>
        <w:t xml:space="preserve"> 如在电子开标过程中出现无法正常解密的，代理机构可根据实际情况开启上传备用电子投标文件通道。系统将对上传的备用电子投标文件的合法性进行验证，若发现提交的备用电子投标文件与加密的电子投标文件版本不一致（即两份文件不是通过投标客户端同时加密生成的），系统将拒绝接收，视为无效投标。如供应商无法在代理规定的时间内完成备用电子投标文件的上传，投标将被拒绝，作无效投标处理。</w:t>
      </w:r>
    </w:p>
    <w:p>
      <w:pPr>
        <w:pStyle w:val="null3"/>
        <w:ind w:firstLine="480"/>
      </w:pPr>
      <w:r>
        <w:rPr/>
        <w:t>1.2开标异议</w:t>
      </w:r>
    </w:p>
    <w:p>
      <w:pPr>
        <w:pStyle w:val="null3"/>
        <w:ind w:firstLine="480"/>
      </w:pPr>
      <w:r>
        <w:rPr/>
        <w:t>投标人代表对开标过程和开标记录有疑义，以及认为采购人、采购代理机构相关工作人员有需要回避的情形的，应当场提出询问或者回避申请。投标人未参加开标的，视同认可开标结果。</w:t>
      </w:r>
    </w:p>
    <w:p>
      <w:pPr>
        <w:pStyle w:val="null3"/>
        <w:ind w:firstLine="480"/>
      </w:pPr>
      <w:r>
        <w:rPr/>
        <w:t>1.3 投标截止时间后，投标人不足须知前附表中约定的有效供应商家数的，不得开标。同时，本次采购活动结束。</w:t>
      </w:r>
    </w:p>
    <w:p>
      <w:pPr>
        <w:pStyle w:val="null3"/>
        <w:ind w:firstLine="480"/>
      </w:pPr>
      <w:r>
        <w:rPr/>
        <w:t>1.4开标时出现下列情况的，视为投标无效处理：</w:t>
      </w:r>
    </w:p>
    <w:p>
      <w:pPr>
        <w:pStyle w:val="null3"/>
        <w:ind w:firstLine="480"/>
      </w:pPr>
      <w:r>
        <w:rPr/>
        <w:t>（1）经检查数字证书无效的；</w:t>
      </w:r>
    </w:p>
    <w:p>
      <w:pPr>
        <w:pStyle w:val="null3"/>
        <w:ind w:firstLine="480"/>
      </w:pPr>
      <w:r>
        <w:rPr/>
        <w:t>（2）因投标人自身原因，未在规定时间内完成电子投标文件解密的；</w:t>
      </w:r>
    </w:p>
    <w:p>
      <w:pPr>
        <w:pStyle w:val="null3"/>
        <w:ind w:firstLine="480"/>
      </w:pPr>
      <w:r>
        <w:rPr/>
        <w:t>（3）如需使用备用电子投标文件解密时，在规定的解密时间内无法提供备用电子投标文件或提供的备用电子投标文件与加密的电子投标文件版本不一致（即两份文件不是通过投标客户端同时加密生成的）。</w:t>
      </w:r>
    </w:p>
    <w:p>
      <w:pPr>
        <w:pStyle w:val="null3"/>
        <w:outlineLvl w:val="3"/>
      </w:pPr>
      <w:r>
        <w:rPr>
          <w:sz w:val="24"/>
          <w:b/>
        </w:rPr>
        <w:t>2.评审（详见第四章）</w:t>
      </w:r>
    </w:p>
    <w:p>
      <w:pPr>
        <w:pStyle w:val="null3"/>
        <w:outlineLvl w:val="3"/>
      </w:pPr>
      <w:r>
        <w:rPr>
          <w:sz w:val="24"/>
          <w:b/>
        </w:rPr>
        <w:t>3.定标</w:t>
      </w:r>
    </w:p>
    <w:p>
      <w:pPr>
        <w:pStyle w:val="null3"/>
        <w:ind w:firstLine="480"/>
      </w:pPr>
      <w:r>
        <w:rPr/>
        <w:t>3.1中标公告：</w:t>
      </w:r>
    </w:p>
    <w:p>
      <w:pPr>
        <w:pStyle w:val="null3"/>
        <w:ind w:firstLine="480"/>
      </w:pPr>
      <w:r>
        <w:rPr/>
        <w:t>中标供应商确定之日起2个工作日内， 采购人或采购代理机构将在中国政府采购网(www.ccgp.gov.cn)、广东省政府采购网(https://gdgpo.czt.gd.gov.cn/)</w:t>
      </w:r>
      <w:r>
        <w:rPr/>
        <w:t>国义招标股份有限公司网站（https://www.ebidding.com/）</w:t>
      </w:r>
      <w:r>
        <w:rPr/>
        <w:t>上以公告的形式发布中标结果，中标公告的公告期限为 1 个工作日。中标公告同时作为采购代理机构通知除中标供应商外的其他投标人没有中标的书面形式，采购代理机构不再以其它方式另行通知。</w:t>
      </w:r>
    </w:p>
    <w:p>
      <w:pPr>
        <w:pStyle w:val="null3"/>
        <w:ind w:firstLine="480"/>
      </w:pPr>
      <w:r>
        <w:rPr/>
        <w:t>3.2中标通知书：</w:t>
      </w:r>
    </w:p>
    <w:p>
      <w:pPr>
        <w:pStyle w:val="null3"/>
        <w:ind w:firstLine="480"/>
      </w:pPr>
      <w:r>
        <w:rPr/>
        <w:t xml:space="preserve"> 中标通知书在发布中标公告时，在云平台同步发送至中标供应商。中标供应商可在云平台自行下载打印《中标通知书》，《中标通知书》将作为授予合同资格的唯一合法依据。中标通知书发出后，采购人不得违法改变中标结果，中标供应商不得放弃中标。中标供应商放弃中标的，应当依法承担相应的法律责任。</w:t>
      </w:r>
    </w:p>
    <w:p>
      <w:pPr>
        <w:pStyle w:val="null3"/>
      </w:pPr>
      <w:r>
        <w:rPr/>
        <w:t>3.3项目废标处理：</w:t>
      </w:r>
    </w:p>
    <w:p>
      <w:pPr>
        <w:pStyle w:val="null3"/>
        <w:ind w:firstLine="480"/>
      </w:pPr>
      <w:r>
        <w:rPr/>
        <w:t>根据《中华人民共和国政府采购法》第三十六条及招标文件的约定，本项目或分包下列情况出现将作废标处理：</w:t>
      </w:r>
    </w:p>
    <w:p>
      <w:pPr>
        <w:pStyle w:val="null3"/>
        <w:ind w:firstLine="480"/>
      </w:pPr>
      <w:r>
        <w:rPr/>
        <w:t>（1）符合专业资格条件的投标人或者对招标文件作实质响应的有效投标人不足三家的（说明：使用综合评分法的采购项目，提供相同品牌产品且通过资格审查、符合性审查的不同投标人参加同一合同项下投标的，按一家投标人计算） 。</w:t>
      </w:r>
    </w:p>
    <w:p>
      <w:pPr>
        <w:pStyle w:val="null3"/>
        <w:ind w:firstLine="480"/>
      </w:pPr>
      <w:r>
        <w:rPr/>
        <w:t>（2）出现影响采购公正的违法、违规行为的。</w:t>
      </w:r>
    </w:p>
    <w:p>
      <w:pPr>
        <w:pStyle w:val="null3"/>
        <w:ind w:firstLine="480"/>
      </w:pPr>
      <w:r>
        <w:rPr/>
        <w:t>（3）投标人的报价均超过了采购预算，采购人不能支付的。</w:t>
      </w:r>
    </w:p>
    <w:p>
      <w:pPr>
        <w:pStyle w:val="null3"/>
        <w:ind w:firstLine="480"/>
      </w:pPr>
      <w:r>
        <w:rPr/>
        <w:t>（4）因重大变故，采购任务取消的。</w:t>
      </w:r>
    </w:p>
    <w:p>
      <w:pPr>
        <w:pStyle w:val="null3"/>
        <w:ind w:firstLine="480"/>
      </w:pPr>
      <w:r>
        <w:rPr/>
        <w:t>对废标的采购项目，评标委员会应出具采购文件是否存在不合理条款的论证意见。</w:t>
      </w:r>
    </w:p>
    <w:p>
      <w:pPr>
        <w:pStyle w:val="null3"/>
        <w:ind w:firstLine="480"/>
      </w:pPr>
      <w:r>
        <w:rPr/>
        <w:t>3.4终止公告：</w:t>
      </w:r>
    </w:p>
    <w:p>
      <w:pPr>
        <w:pStyle w:val="null3"/>
        <w:ind w:firstLine="480"/>
      </w:pPr>
      <w:r>
        <w:rPr/>
        <w:t xml:space="preserve"> 项目废标后，采购人或采购代理机构将在中国政府采购网(www.ccgp.gov.cn)、广东省政府采购网(https://gdgpo.czt.gd.gov.cn/)、</w:t>
      </w:r>
      <w:r>
        <w:rPr/>
        <w:t>国义招标股份有限公司网站（https://www.ebidding.com/）</w:t>
      </w:r>
      <w:r>
        <w:rPr/>
        <w:t>上发布终止公告，终止公告的公告期限为1个工作日。</w:t>
      </w:r>
    </w:p>
    <w:p>
      <w:pPr>
        <w:pStyle w:val="null3"/>
        <w:outlineLvl w:val="2"/>
      </w:pPr>
      <w:r>
        <w:rPr>
          <w:sz w:val="28"/>
          <w:b/>
        </w:rPr>
        <w:t>七、询问、质疑与投诉</w:t>
      </w:r>
    </w:p>
    <w:p>
      <w:pPr>
        <w:pStyle w:val="null3"/>
        <w:outlineLvl w:val="3"/>
      </w:pPr>
      <w:r>
        <w:rPr>
          <w:sz w:val="24"/>
          <w:b/>
        </w:rPr>
        <w:t>1.询问</w:t>
      </w:r>
    </w:p>
    <w:p>
      <w:pPr>
        <w:pStyle w:val="null3"/>
        <w:ind w:firstLine="480"/>
      </w:pPr>
      <w:r>
        <w:rPr/>
        <w:t xml:space="preserve"> 投标人对政府采购活动事项（招标文件、采购过程和中标结果）有疑问的，可以向采购人或采购代理机构提出询问，采购人或采购代理机构将及时作出答复，但答复的内容不涉及商业秘密。询问可以口头方式提出，也可以书面方式提出，书面方式包括但不限于传真、信函、电子邮件。联系方式见《投标邀请函》中“采购人、采购代理机构的名称、地址和联系方式”。</w:t>
      </w:r>
    </w:p>
    <w:p>
      <w:pPr>
        <w:pStyle w:val="null3"/>
        <w:outlineLvl w:val="3"/>
      </w:pPr>
      <w:r>
        <w:rPr>
          <w:sz w:val="24"/>
          <w:b/>
        </w:rPr>
        <w:t>2.质疑</w:t>
      </w:r>
    </w:p>
    <w:p>
      <w:pPr>
        <w:pStyle w:val="null3"/>
        <w:ind w:firstLine="480"/>
      </w:pPr>
      <w:r>
        <w:rPr/>
        <w:t xml:space="preserve"> 2.1供应商认为招标文件、采购过程和中标结果使自己的权益受到损害的，可以在知道或者应知其权益受到损害之日起七个工作日内，以书面原件形式向采购人或采购代理机构一次性提出针对同一采购程序环节的质疑，逾期质疑无效。供应商应知其权益受到损害之日是指：</w:t>
      </w:r>
    </w:p>
    <w:p>
      <w:pPr>
        <w:pStyle w:val="null3"/>
        <w:ind w:firstLine="480"/>
      </w:pPr>
      <w:r>
        <w:rPr/>
        <w:t>(1)对招标文件提出质疑的，为获取招标文件之日或者招标文件公告期限届满之日；</w:t>
      </w:r>
    </w:p>
    <w:p>
      <w:pPr>
        <w:pStyle w:val="null3"/>
        <w:ind w:firstLine="480"/>
      </w:pPr>
      <w:r>
        <w:rPr/>
        <w:t>(2)对采购过程提出质疑的，为各采购程序环节结束之日；</w:t>
      </w:r>
    </w:p>
    <w:p>
      <w:pPr>
        <w:pStyle w:val="null3"/>
        <w:ind w:firstLine="480"/>
      </w:pPr>
      <w:r>
        <w:rPr/>
        <w:t>(3)对中标结果提出质疑的，为中标结果公告期限届满之日。</w:t>
      </w:r>
    </w:p>
    <w:p>
      <w:pPr>
        <w:pStyle w:val="null3"/>
        <w:ind w:firstLine="480"/>
      </w:pPr>
      <w:r>
        <w:rPr/>
        <w:t>2.2质疑函应当包括下列主要内容：</w:t>
      </w:r>
    </w:p>
    <w:p>
      <w:pPr>
        <w:pStyle w:val="null3"/>
        <w:ind w:firstLine="480"/>
      </w:pPr>
      <w:r>
        <w:rPr/>
        <w:t>(1)质疑供应商和相关供应商的名称、地址、邮编、联系人及联系电话等；</w:t>
      </w:r>
    </w:p>
    <w:p>
      <w:pPr>
        <w:pStyle w:val="null3"/>
        <w:ind w:firstLine="480"/>
      </w:pPr>
      <w:r>
        <w:rPr/>
        <w:t>(2)质疑项目名称及编号、具体明确的质疑事项和与质疑事项相关的请求；</w:t>
      </w:r>
    </w:p>
    <w:p>
      <w:pPr>
        <w:pStyle w:val="null3"/>
        <w:ind w:firstLine="480"/>
      </w:pPr>
      <w:r>
        <w:rPr/>
        <w:t>(3)认为采购文件、采购过程、中标和成交结果使自己的合法权益受到损害的法律依据、事实依据、相关证明材料及证据来源；</w:t>
      </w:r>
    </w:p>
    <w:p>
      <w:pPr>
        <w:pStyle w:val="null3"/>
        <w:ind w:firstLine="480"/>
      </w:pPr>
      <w:r>
        <w:rPr/>
        <w:t>(4)提出质疑的日期。</w:t>
      </w:r>
    </w:p>
    <w:p>
      <w:pPr>
        <w:pStyle w:val="null3"/>
        <w:ind w:firstLine="480"/>
      </w:pPr>
      <w:r>
        <w:rPr/>
        <w:t>2.3 质疑函应当署名。质疑供应商为自然人的，应当由本人签字；质疑供应商为法人或者其他组织的，应当由法定代表人、主要负责人，或者其授权代表签字或者盖章，并加盖公章。</w:t>
      </w:r>
    </w:p>
    <w:p>
      <w:pPr>
        <w:pStyle w:val="null3"/>
        <w:ind w:firstLine="480"/>
      </w:pPr>
      <w:r>
        <w:rPr/>
        <w:t>2.4以联合体形式参加政府采购活动的，其质疑应当由联合体成员委托主体提出。</w:t>
      </w:r>
    </w:p>
    <w:p>
      <w:pPr>
        <w:pStyle w:val="null3"/>
        <w:ind w:firstLine="480"/>
      </w:pPr>
      <w:r>
        <w:rPr/>
        <w:t xml:space="preserve"> 2.5供应商质疑应当有明确的请求和必要的证明材料。质疑内容不得含有虚假、恶意成份。依照谁主张谁举证的原则，提出质疑者必须同时提交相关确凿的证据材料和注明证据的确切来源，证据来源必须合法，采购人或采购代理机构有权将质疑函转发质疑事项各关联方，请其作出解释说明。对捏造事实、滥用维权扰乱采购秩序的恶意质疑者，将上报政府采购监督管理部门依法处理。</w:t>
      </w:r>
    </w:p>
    <w:p>
      <w:pPr>
        <w:pStyle w:val="null3"/>
        <w:ind w:firstLine="480"/>
      </w:pPr>
      <w:r>
        <w:rPr/>
        <w:t>2.6质疑联系方式如下：</w:t>
      </w:r>
    </w:p>
    <w:p>
      <w:pPr>
        <w:pStyle w:val="null3"/>
        <w:ind w:firstLine="480"/>
      </w:pPr>
      <w:r>
        <w:rPr/>
        <w:t>质疑联系人：</w:t>
      </w:r>
      <w:r>
        <w:rPr/>
        <w:t>郭小姐、李小姐</w:t>
      </w:r>
    </w:p>
    <w:p>
      <w:pPr>
        <w:pStyle w:val="null3"/>
        <w:ind w:firstLine="480"/>
      </w:pPr>
      <w:r>
        <w:rPr/>
        <w:t>电话：</w:t>
      </w:r>
      <w:r>
        <w:rPr/>
        <w:t>020-37860713/715（工作时间：8：30-17：00）</w:t>
      </w:r>
    </w:p>
    <w:p>
      <w:pPr>
        <w:pStyle w:val="null3"/>
        <w:ind w:firstLine="480"/>
      </w:pPr>
      <w:r>
        <w:rPr/>
        <w:t>传真：</w:t>
      </w:r>
      <w:r>
        <w:rPr/>
        <w:t>/</w:t>
      </w:r>
    </w:p>
    <w:p>
      <w:pPr>
        <w:pStyle w:val="null3"/>
        <w:ind w:firstLine="480"/>
      </w:pPr>
      <w:r>
        <w:rPr/>
        <w:t>邮箱：</w:t>
      </w:r>
      <w:r>
        <w:rPr/>
        <w:t>guochunxi@ebidding.com</w:t>
      </w:r>
    </w:p>
    <w:p>
      <w:pPr>
        <w:pStyle w:val="null3"/>
        <w:ind w:firstLine="480"/>
      </w:pPr>
      <w:r>
        <w:rPr/>
        <w:t>地址：</w:t>
      </w:r>
      <w:r>
        <w:rPr/>
        <w:t>广州市东风东路726号9楼903室（纪检审计部）</w:t>
      </w:r>
    </w:p>
    <w:p>
      <w:pPr>
        <w:pStyle w:val="null3"/>
        <w:ind w:firstLine="480"/>
      </w:pPr>
      <w:r>
        <w:rPr/>
        <w:t>邮编：</w:t>
      </w:r>
      <w:r>
        <w:rPr/>
        <w:t>/</w:t>
      </w:r>
    </w:p>
    <w:p>
      <w:pPr>
        <w:pStyle w:val="null3"/>
        <w:outlineLvl w:val="3"/>
      </w:pPr>
      <w:r>
        <w:rPr>
          <w:sz w:val="24"/>
          <w:b/>
        </w:rPr>
        <w:t>3.投诉</w:t>
      </w:r>
    </w:p>
    <w:p>
      <w:pPr>
        <w:pStyle w:val="null3"/>
        <w:ind w:firstLine="480"/>
      </w:pPr>
      <w:r>
        <w:rPr/>
        <w:t>质疑人对采购人或采购代理机构的质疑答复不满意或在规定时间内未得到答复的，可以在答复期满后15个工作日内，按如下联系方式向本项目监督管理部门提起投诉。</w:t>
      </w:r>
    </w:p>
    <w:p>
      <w:pPr>
        <w:pStyle w:val="null3"/>
      </w:pPr>
      <w:r>
        <w:rPr/>
        <w:t>政府采购监督管理机构名称：广州市财政局政府采购监管处</w:t>
      </w:r>
    </w:p>
    <w:p>
      <w:pPr>
        <w:pStyle w:val="null3"/>
      </w:pPr>
      <w:r>
        <w:rPr/>
        <w:t>地 址：广州市天河区华利路61号1506室</w:t>
      </w:r>
    </w:p>
    <w:p>
      <w:pPr>
        <w:pStyle w:val="null3"/>
      </w:pPr>
      <w:r>
        <w:rPr/>
        <w:t>电 话：020-38923575</w:t>
      </w:r>
    </w:p>
    <w:p>
      <w:pPr>
        <w:pStyle w:val="null3"/>
      </w:pPr>
      <w:r>
        <w:rPr/>
        <w:t>邮 编：510030</w:t>
      </w:r>
    </w:p>
    <w:p>
      <w:pPr>
        <w:pStyle w:val="null3"/>
      </w:pPr>
      <w:r>
        <w:rPr/>
        <w:t>传 真：/</w:t>
      </w:r>
    </w:p>
    <w:p>
      <w:pPr>
        <w:pStyle w:val="null3"/>
        <w:outlineLvl w:val="2"/>
      </w:pPr>
      <w:r>
        <w:rPr>
          <w:sz w:val="28"/>
          <w:b/>
        </w:rPr>
        <w:t>八、合同签订和履行</w:t>
      </w:r>
    </w:p>
    <w:p>
      <w:pPr>
        <w:pStyle w:val="null3"/>
        <w:outlineLvl w:val="3"/>
      </w:pPr>
      <w:r>
        <w:rPr>
          <w:sz w:val="24"/>
          <w:b/>
        </w:rPr>
        <w:t>1.合同签订</w:t>
      </w:r>
    </w:p>
    <w:p>
      <w:pPr>
        <w:pStyle w:val="null3"/>
        <w:ind w:firstLine="480"/>
      </w:pPr>
      <w:r>
        <w:rPr/>
        <w:t xml:space="preserve"> 1.1采购人应当自《中标通知书》发出之日起二十日内，按照招标文件和中标供应商投标文件的约定，与中标供应商签订合同。所签订的合同不得对招标文件和中标供应商投标文件作实质性修改。超过30天尚未完成政府采购合同签订的政府采购项目，采购人应当登录广东省政府采购网，填报未能依法签订政府采购合同的具体原因、整改措施和预计签订合同时间等信息。</w:t>
      </w:r>
    </w:p>
    <w:p>
      <w:pPr>
        <w:pStyle w:val="null3"/>
        <w:ind w:firstLine="480"/>
      </w:pPr>
      <w:r>
        <w:rPr/>
        <w:t>1.2采购人不得提出试用合格等任何不合理的要求作为签订合同的条件，且不得与中标供应商私下订立背离合同实质性内容的协议。</w:t>
      </w:r>
    </w:p>
    <w:p>
      <w:pPr>
        <w:pStyle w:val="null3"/>
        <w:ind w:firstLine="480"/>
      </w:pPr>
      <w:r>
        <w:rPr/>
        <w:t>1.3合同条款中应规定，乙方完全遵守《中华人民共和国民法典》有关规定和《中华人民共和国妇女权益保障法》中关于“劳动和社会保障权益”的有关要求。</w:t>
      </w:r>
    </w:p>
    <w:p>
      <w:pPr>
        <w:pStyle w:val="null3"/>
        <w:ind w:firstLine="480"/>
      </w:pPr>
      <w:r>
        <w:rPr/>
        <w:t>1.4采购人应当自政府采购合同签订之日起2个工作日内，将政府采购合同在省级以上人民政府财政部门指定的媒体上公告，但政府采购合同中涉及国家秘密、商业秘密的内容除外。</w:t>
      </w:r>
    </w:p>
    <w:p>
      <w:pPr>
        <w:pStyle w:val="null3"/>
        <w:ind w:firstLine="480"/>
      </w:pPr>
      <w:r>
        <w:rPr/>
        <w:t xml:space="preserve"> 1.5采购人应当自政府采购合同签订之日起2个工作日内，登录广东省政府采购网上传政府采购合同扫描版，如实填报政府采购合同的签订时间。依法签订的补充合同，也应在补充合同签订之日起2个工作日内公开并备案采购合同。</w:t>
      </w:r>
    </w:p>
    <w:p>
      <w:pPr>
        <w:pStyle w:val="null3"/>
        <w:outlineLvl w:val="3"/>
      </w:pPr>
      <w:r>
        <w:rPr>
          <w:sz w:val="24"/>
          <w:b/>
        </w:rPr>
        <w:t>2.合同的履行</w:t>
      </w:r>
    </w:p>
    <w:p>
      <w:pPr>
        <w:pStyle w:val="null3"/>
        <w:ind w:firstLine="480"/>
      </w:pPr>
      <w:r>
        <w:rPr/>
        <w:t xml:space="preserve"> 2.1政府采购合同订立后，合同各方不得擅自变更、中止或者终止合同。</w:t>
      </w:r>
    </w:p>
    <w:p>
      <w:pPr>
        <w:pStyle w:val="null3"/>
        <w:ind w:firstLine="480"/>
      </w:pPr>
      <w:r>
        <w:rPr/>
        <w:t xml:space="preserve"> 2.2政府采购合同履行中，采购人需追加与合同标的相同的货物、工程或者服务的，在不改变合同其他条款的前提下，可以与中标供应商签订补充合同，但所补充合同的采购金额不得超过原采购金额的10%。依法签订的补充合同，也应在补充合同签订之日起2个工作日内登录广东省政府采购网上传备案。</w:t>
      </w:r>
    </w:p>
    <w:p>
      <w:pPr>
        <w:pStyle w:val="null3"/>
        <w:ind w:firstLine="480"/>
      </w:pPr>
      <w:r>
        <w:rPr/>
        <w:t>2.3有融资要求的中标供应商可根据自身情况，在广东省政府采购网上自行选择金融机构及其融资产品，凭政府采购中标通知书或政府采购合同向金融机构提出融资申请。</w:t>
      </w:r>
    </w:p>
    <w:p>
      <w:pPr>
        <w:pStyle w:val="null3"/>
      </w:pPr>
      <w:r>
        <w:rPr/>
        <w:t xml:space="preserve">  </w:t>
      </w:r>
    </w:p>
    <w:p>
      <w:pPr>
        <w:pStyle w:val="null3"/>
        <w:jc w:val="center"/>
        <w:outlineLvl w:val="1"/>
      </w:pPr>
      <w:r>
        <w:rPr>
          <w:sz w:val="36"/>
          <w:b/>
        </w:rPr>
        <w:t>第四章 评标</w:t>
      </w:r>
    </w:p>
    <w:p>
      <w:pPr>
        <w:pStyle w:val="null3"/>
        <w:outlineLvl w:val="2"/>
      </w:pPr>
      <w:r>
        <w:rPr>
          <w:sz w:val="28"/>
          <w:b/>
        </w:rPr>
        <w:t>一、评标要求</w:t>
      </w:r>
    </w:p>
    <w:p>
      <w:pPr>
        <w:pStyle w:val="null3"/>
        <w:outlineLvl w:val="3"/>
      </w:pPr>
      <w:r>
        <w:rPr>
          <w:sz w:val="24"/>
          <w:b/>
        </w:rPr>
        <w:t>1.评标方法</w:t>
      </w:r>
    </w:p>
    <w:p>
      <w:pPr>
        <w:pStyle w:val="null3"/>
      </w:pPr>
      <w:r>
        <w:rPr/>
        <w:t>采购包1(广州市城市管理和综合执法局全市井盖设施管理监督、抽查、应急处置项目)：综合评分法,是指投标文件满足招标文件全部实质性要求，且按照评审因素的量化指标评审得分最高的投标人为中标候选人的评标方法。（最低报价不是中标的唯一依据。）</w:t>
      </w:r>
    </w:p>
    <w:p>
      <w:pPr>
        <w:pStyle w:val="null3"/>
        <w:outlineLvl w:val="3"/>
      </w:pPr>
      <w:r>
        <w:rPr>
          <w:sz w:val="24"/>
          <w:b/>
        </w:rPr>
        <w:t>2.评标原则</w:t>
      </w:r>
    </w:p>
    <w:p>
      <w:pPr>
        <w:pStyle w:val="null3"/>
        <w:ind w:firstLine="480"/>
      </w:pPr>
      <w:r>
        <w:rPr/>
        <w:t>2.1评标活动遵循公平、公正、科学和择优的原则，以招标文件和投标文件为评标的基本依据，并按照招标文件规定的评标方法和评标标准进行评标。</w:t>
      </w:r>
    </w:p>
    <w:p>
      <w:pPr>
        <w:pStyle w:val="null3"/>
        <w:ind w:firstLine="480"/>
      </w:pPr>
      <w:r>
        <w:rPr/>
        <w:t>2.2具体评标事项由评标委员会负责，并按招标文件的规定办法进行评审。</w:t>
      </w:r>
    </w:p>
    <w:p>
      <w:pPr>
        <w:pStyle w:val="null3"/>
        <w:ind w:firstLine="480"/>
      </w:pPr>
      <w:r>
        <w:rPr/>
        <w:t>2.3合格投标人不足须知前附表中约定的有效供应商家数的，不得评标。</w:t>
      </w:r>
    </w:p>
    <w:p>
      <w:pPr>
        <w:pStyle w:val="null3"/>
        <w:outlineLvl w:val="3"/>
      </w:pPr>
      <w:r>
        <w:rPr>
          <w:sz w:val="24"/>
          <w:b/>
        </w:rPr>
        <w:t>3.评标委员会</w:t>
      </w:r>
    </w:p>
    <w:p>
      <w:pPr>
        <w:pStyle w:val="null3"/>
        <w:ind w:firstLine="480"/>
      </w:pPr>
      <w:r>
        <w:rPr/>
        <w:t>3.1评标委员会由采购人代表和评审专家组成，成员人数应当为5人及以上单数，其中评审专家不得少于成员总数的三分之二。</w:t>
      </w:r>
    </w:p>
    <w:p>
      <w:pPr>
        <w:pStyle w:val="null3"/>
        <w:ind w:firstLine="480"/>
      </w:pPr>
      <w:r>
        <w:rPr/>
        <w:t>3.2评标应遵守下列评标纪律：</w:t>
      </w:r>
    </w:p>
    <w:p>
      <w:pPr>
        <w:pStyle w:val="null3"/>
        <w:ind w:firstLine="480"/>
      </w:pPr>
      <w:r>
        <w:rPr/>
        <w:t>（1）评标情况不得私自外泄，有关信息由</w:t>
      </w:r>
      <w:r>
        <w:rPr/>
        <w:t xml:space="preserve">国义招标股份有限公司 </w:t>
      </w:r>
      <w:r>
        <w:rPr/>
        <w:t>统一对外发布。</w:t>
      </w:r>
    </w:p>
    <w:p>
      <w:pPr>
        <w:pStyle w:val="null3"/>
        <w:ind w:firstLine="480"/>
      </w:pPr>
      <w:r>
        <w:rPr/>
        <w:t>（2）对</w:t>
      </w:r>
      <w:r>
        <w:rPr/>
        <w:t xml:space="preserve">国义招标股份有限公司 </w:t>
      </w:r>
      <w:r>
        <w:rPr/>
        <w:t>或投标人提供的要求保密的资料，不得摘记翻印和外传。</w:t>
      </w:r>
    </w:p>
    <w:p>
      <w:pPr>
        <w:pStyle w:val="null3"/>
        <w:ind w:firstLine="480"/>
      </w:pPr>
      <w:r>
        <w:rPr/>
        <w:t>（3）不得收受投标供应商或有关人员的任何礼物，不得串联鼓动其他人袒护某投标人。若与投标人存在利害关系，则应主动声明并回避。</w:t>
      </w:r>
    </w:p>
    <w:p>
      <w:pPr>
        <w:pStyle w:val="null3"/>
        <w:ind w:firstLine="480"/>
      </w:pPr>
      <w:r>
        <w:rPr/>
        <w:t>（4）全体评委应按照招标文件规定进行评标，一切认定事项应查有实据且不得弄虚作假。</w:t>
      </w:r>
    </w:p>
    <w:p>
      <w:pPr>
        <w:pStyle w:val="null3"/>
        <w:ind w:firstLine="480"/>
      </w:pPr>
      <w:r>
        <w:rPr/>
        <w:t>（5）评标委员会各成员应当独立对每个投标人的投标文件进行评价，并对评价意见承担个人责任。评审过程中，不得发表倾向性言论。</w:t>
      </w:r>
    </w:p>
    <w:p>
      <w:pPr>
        <w:pStyle w:val="null3"/>
        <w:ind w:firstLine="480"/>
      </w:pPr>
      <w:r>
        <w:rPr/>
        <w:t>※对违反评标纪律的评委，将取消其评委资格，对评标工作造成严重损失者将予以通报批评乃至追究法律责任。</w:t>
      </w:r>
    </w:p>
    <w:p>
      <w:pPr>
        <w:pStyle w:val="null3"/>
        <w:outlineLvl w:val="3"/>
      </w:pPr>
      <w:r>
        <w:rPr>
          <w:sz w:val="24"/>
          <w:b/>
        </w:rPr>
        <w:t>4.有下列情形之一的，视为投标人串通投标，其投标无效；</w:t>
      </w:r>
    </w:p>
    <w:p>
      <w:pPr>
        <w:pStyle w:val="null3"/>
        <w:ind w:firstLine="480"/>
      </w:pPr>
      <w:r>
        <w:rPr/>
        <w:t>4.1不同投标人的投标文件由同一单位或者个人编制；</w:t>
      </w:r>
    </w:p>
    <w:p>
      <w:pPr>
        <w:pStyle w:val="null3"/>
        <w:ind w:firstLine="480"/>
      </w:pPr>
      <w:r>
        <w:rPr/>
        <w:t>4.2不同投标人委托同一单位或者个人办理投标事宜；</w:t>
      </w:r>
    </w:p>
    <w:p>
      <w:pPr>
        <w:pStyle w:val="null3"/>
        <w:ind w:firstLine="480"/>
      </w:pPr>
      <w:r>
        <w:rPr/>
        <w:t>4.3不同投标人的投标文件载明的项目管理成员或者联系人员为同一人；</w:t>
      </w:r>
    </w:p>
    <w:p>
      <w:pPr>
        <w:pStyle w:val="null3"/>
        <w:ind w:firstLine="480"/>
      </w:pPr>
      <w:r>
        <w:rPr/>
        <w:t>4.4不同投标人的投标文件异常一致或者投标报价呈规律性差异；</w:t>
      </w:r>
    </w:p>
    <w:p>
      <w:pPr>
        <w:pStyle w:val="null3"/>
        <w:ind w:firstLine="480"/>
      </w:pPr>
      <w:r>
        <w:rPr/>
        <w:t>4.5不同投标人的投标文件相互混装；</w:t>
      </w:r>
    </w:p>
    <w:p>
      <w:pPr>
        <w:pStyle w:val="null3"/>
        <w:ind w:firstLine="480"/>
      </w:pPr>
      <w:r>
        <w:rPr/>
        <w:t>4.6不同投标人的投标保证金或购买电子保函支付款为从同一单位或个人的账户转出；</w:t>
      </w:r>
    </w:p>
    <w:p>
      <w:pPr>
        <w:pStyle w:val="null3"/>
        <w:ind w:firstLine="480"/>
      </w:pPr>
      <w:r>
        <w:rPr/>
        <w:t>4.7投标人上传的电子投标文件使用该项目其他投标人的数字证书加密的或加盖该项目的其他投标人的电子印章的。</w:t>
      </w:r>
    </w:p>
    <w:p>
      <w:pPr>
        <w:pStyle w:val="null3"/>
        <w:ind w:firstLine="480"/>
      </w:pPr>
      <w:r>
        <w:rPr/>
        <w:t xml:space="preserve"> 说明：在评标过程中发现投标人有上述情形的，评标委员会应当认定其投标无效。同时，项目评审时被认定为串通投标的投标人不得参加该合同项下的采购活动。</w:t>
      </w:r>
    </w:p>
    <w:p>
      <w:pPr>
        <w:pStyle w:val="null3"/>
        <w:outlineLvl w:val="3"/>
      </w:pPr>
      <w:r>
        <w:rPr>
          <w:sz w:val="24"/>
          <w:b/>
        </w:rPr>
        <w:t>5.投标无效的情形</w:t>
      </w:r>
    </w:p>
    <w:p>
      <w:pPr>
        <w:pStyle w:val="null3"/>
        <w:ind w:firstLine="480"/>
      </w:pPr>
      <w:r>
        <w:rPr/>
        <w:t>详见资格性审查、符合性审查和招标文件其他投标无效条款。</w:t>
      </w:r>
    </w:p>
    <w:p>
      <w:pPr>
        <w:pStyle w:val="null3"/>
        <w:outlineLvl w:val="3"/>
      </w:pPr>
      <w:r>
        <w:rPr>
          <w:sz w:val="24"/>
          <w:b/>
        </w:rPr>
        <w:t>6.定标</w:t>
      </w:r>
    </w:p>
    <w:p>
      <w:pPr>
        <w:pStyle w:val="null3"/>
        <w:ind w:firstLine="480"/>
      </w:pPr>
      <w:r>
        <w:rPr/>
        <w:t>评标委员会按照招标文件确定的评标方法、步骤、标准，对投标文件进行评审。评标结束后，对投标人的评审名次进行排序，确定中标供应商或者推荐中标候选人。第二中标候选人报价高于第一中标候选人报价20％以上的，只推荐1名中标候选人。（下浮率报价为:设 M= (1-下浮率)，第二中标候选人的 M值高于第一中标候选人 M 值 20%以上的，只推荐 1名中标候选人。)。 第一中标候选人无正当理由不得随意放弃中标资格。中标候选人放弃中标资格的，采购人可以按照评审报告推荐的中标候选人名单排序，确定下一候选人为中标人，也可以重新开展政府采购活动。</w:t>
      </w:r>
    </w:p>
    <w:p>
      <w:pPr>
        <w:pStyle w:val="null3"/>
        <w:outlineLvl w:val="3"/>
      </w:pPr>
      <w:r>
        <w:rPr>
          <w:sz w:val="24"/>
          <w:b/>
        </w:rPr>
        <w:t>7.价格修正</w:t>
      </w:r>
    </w:p>
    <w:p>
      <w:pPr>
        <w:pStyle w:val="null3"/>
        <w:ind w:firstLine="480"/>
      </w:pPr>
      <w:r>
        <w:rPr/>
        <w:t>对报价的计算错误按以下原则修正：</w:t>
      </w:r>
    </w:p>
    <w:p>
      <w:pPr>
        <w:pStyle w:val="null3"/>
        <w:ind w:firstLine="480"/>
      </w:pPr>
      <w:r>
        <w:rPr/>
        <w:t>（1）投标文件中开标一览表内容与投标文件中相应内容不一致的，以开标一览表为准；</w:t>
      </w:r>
    </w:p>
    <w:p>
      <w:pPr>
        <w:pStyle w:val="null3"/>
        <w:ind w:firstLine="480"/>
      </w:pPr>
      <w:r>
        <w:rPr/>
        <w:t>（2）大写金额和小写金额不一致的，以大写金额为准；</w:t>
      </w:r>
    </w:p>
    <w:p>
      <w:pPr>
        <w:pStyle w:val="null3"/>
        <w:ind w:firstLine="480"/>
      </w:pPr>
      <w:r>
        <w:rPr/>
        <w:t>（3）单价金额小数点或者百分比有明显错位的，以开标一览表的总价为准，并修改单价。</w:t>
      </w:r>
    </w:p>
    <w:p>
      <w:pPr>
        <w:pStyle w:val="null3"/>
        <w:ind w:firstLine="480"/>
      </w:pPr>
      <w:r>
        <w:rPr/>
        <w:t>（4）总价金额与按单价汇总金额不一致的，以单价金额计算结果为准。但是单价金额计算结果超过预算价的，对其按无效投标处理。</w:t>
      </w:r>
    </w:p>
    <w:p>
      <w:pPr>
        <w:pStyle w:val="null3"/>
        <w:ind w:firstLine="480"/>
      </w:pPr>
      <w:r>
        <w:rPr/>
        <w:t>（5）若投标客户端上传的电子报价数据与电子投标文件价格不一致的，以电子报价数据为准。</w:t>
      </w:r>
    </w:p>
    <w:p>
      <w:pPr>
        <w:pStyle w:val="null3"/>
        <w:ind w:firstLine="480"/>
      </w:pPr>
      <w:r>
        <w:rPr/>
        <w:t xml:space="preserve"> 注：同时出现两种以上不一致的，按照前款规定的顺序在系统上进行价格澄清。澄清后的价格加盖电子印章确认后产生约束力，但不得超出投标文件的范围或者改变投标文件的实质性内容，投标人不确认的，其投标无效。</w:t>
      </w:r>
    </w:p>
    <w:p>
      <w:pPr>
        <w:pStyle w:val="null3"/>
        <w:outlineLvl w:val="2"/>
      </w:pPr>
      <w:r>
        <w:rPr>
          <w:sz w:val="28"/>
          <w:b/>
        </w:rPr>
        <w:t>二.政府采购政策落实</w:t>
      </w:r>
    </w:p>
    <w:p>
      <w:pPr>
        <w:pStyle w:val="null3"/>
        <w:outlineLvl w:val="3"/>
      </w:pPr>
      <w:r>
        <w:rPr>
          <w:sz w:val="24"/>
          <w:b/>
        </w:rPr>
        <w:t>1.节能、环保要求</w:t>
      </w:r>
    </w:p>
    <w:p>
      <w:pPr>
        <w:pStyle w:val="null3"/>
        <w:ind w:firstLine="480"/>
      </w:pPr>
      <w:r>
        <w:rPr/>
        <w:t xml:space="preserve"> 采购的产品属于品目清单范围的，将依据国家确定的认证机构出具的、处于有效期之内的节能产品、环境标志产品认证证书，对获得证书的产品实施政府优先采购或强制采购，具体按照本招标文件相关要求执行。</w:t>
      </w:r>
    </w:p>
    <w:p>
      <w:pPr>
        <w:pStyle w:val="null3"/>
        <w:ind w:firstLine="480"/>
      </w:pPr>
      <w:r>
        <w:rPr/>
        <w:t>相关认证机构和获证产品信息以市场监管总局组织建立的节能产品、环境标志产品认证结果信息发布平台公布为准。</w:t>
      </w:r>
    </w:p>
    <w:p>
      <w:pPr>
        <w:pStyle w:val="null3"/>
        <w:outlineLvl w:val="3"/>
      </w:pPr>
      <w:r>
        <w:rPr>
          <w:sz w:val="24"/>
          <w:b/>
        </w:rPr>
        <w:t>2.对小型、微型企业、监狱企业或残疾人福利性单位给予价格扣除</w:t>
      </w:r>
    </w:p>
    <w:p>
      <w:pPr>
        <w:pStyle w:val="null3"/>
        <w:ind w:firstLine="480"/>
      </w:pPr>
      <w:r>
        <w:rPr/>
        <w:t>依照《政府采购促进中小企业发展管理办法》、《支持监狱企业发展有关问题的通知》和《财政部 民政部 中国残疾人联合会关于促进残疾人就业政府采购政策的通知》的规定，凡符合享受《政府采购促进中小企业发展管理办法》规定的中小企业扶持政策的单位，按照以下比例给予相应的价格扣除：（监狱企业、残疾人福利性单位视同为小、微企业）。</w:t>
      </w:r>
    </w:p>
    <w:p>
      <w:pPr>
        <w:pStyle w:val="null3"/>
        <w:outlineLvl w:val="3"/>
      </w:pPr>
      <w:r>
        <w:rPr>
          <w:sz w:val="24"/>
          <w:b/>
        </w:rPr>
        <w:t>3.价格扣除相关要求</w:t>
      </w:r>
    </w:p>
    <w:p>
      <w:pPr>
        <w:pStyle w:val="null3"/>
      </w:pPr>
      <w:r>
        <w:rPr/>
        <w:t>采购包1（广州市城市管理和综合执法局全市井盖设施管理监督、抽查、应急处置项目）：</w:t>
      </w:r>
    </w:p>
    <w:tbl>
      <w:tblPr>
        <w:tblW w:w="0" w:type="auto"/>
        <w:tblBorders>
          <w:top w:val="single"/>
          <w:left w:val="single"/>
          <w:bottom w:val="single"/>
          <w:right w:val="single"/>
          <w:insideH w:val="single"/>
          <w:insideV w:val="single"/>
        </w:tblBorders>
      </w:tblPr>
      <w:tblGrid>
        <w:gridCol w:w="581"/>
        <w:gridCol w:w="2160"/>
        <w:gridCol w:w="2160"/>
        <w:gridCol w:w="1246"/>
        <w:gridCol w:w="2160"/>
      </w:tblGrid>
      <w:tr>
        <w:tc>
          <w:tcPr>
            <w:tcW w:type="dxa" w:w="581"/>
          </w:tcPr>
          <w:p>
            <w:pPr>
              <w:pStyle w:val="null3"/>
            </w:pPr>
            <w:r>
              <w:rPr/>
              <w:t>序号</w:t>
            </w:r>
          </w:p>
        </w:tc>
        <w:tc>
          <w:tcPr>
            <w:tcW w:type="dxa" w:w="2160"/>
          </w:tcPr>
          <w:p>
            <w:pPr>
              <w:pStyle w:val="null3"/>
            </w:pPr>
            <w:r>
              <w:rPr/>
              <w:t>情形</w:t>
            </w:r>
          </w:p>
        </w:tc>
        <w:tc>
          <w:tcPr>
            <w:tcW w:type="dxa" w:w="2160"/>
          </w:tcPr>
          <w:p>
            <w:pPr>
              <w:pStyle w:val="null3"/>
            </w:pPr>
            <w:r>
              <w:rPr/>
              <w:t>适用对象</w:t>
            </w:r>
          </w:p>
        </w:tc>
        <w:tc>
          <w:tcPr>
            <w:tcW w:type="dxa" w:w="1246"/>
          </w:tcPr>
          <w:p>
            <w:pPr>
              <w:pStyle w:val="null3"/>
            </w:pPr>
            <w:r>
              <w:rPr/>
              <w:t>价格扣除比例</w:t>
            </w:r>
          </w:p>
        </w:tc>
        <w:tc>
          <w:tcPr>
            <w:tcW w:type="dxa" w:w="2160"/>
          </w:tcPr>
          <w:p>
            <w:pPr>
              <w:pStyle w:val="null3"/>
            </w:pPr>
            <w:r>
              <w:rPr/>
              <w:t>计算公式</w:t>
            </w:r>
          </w:p>
        </w:tc>
      </w:tr>
      <w:tr>
        <w:tc>
          <w:tcPr>
            <w:tcW w:type="dxa" w:w="8307"/>
            <w:gridSpan w:val="5"/>
          </w:tcPr>
          <w:p>
            <w:pPr>
              <w:pStyle w:val="null3"/>
              <w:jc w:val="left"/>
            </w:pPr>
            <w:r>
              <w:rPr/>
              <w:t>注：（1）上述评标价仅用于计算价格分，成交金额以实际投标价为准。 （2）组成联合体的大中型企业和其他自然人、法人或者其他组织、与小型、微型企业之间不得存在投资关系。</w:t>
            </w:r>
          </w:p>
        </w:tc>
      </w:tr>
    </w:tbl>
    <w:p>
      <w:pPr>
        <w:pStyle w:val="null3"/>
      </w:pPr>
      <w:r>
        <w:br/>
      </w:r>
    </w:p>
    <w:p>
      <w:pPr>
        <w:pStyle w:val="null3"/>
        <w:ind w:firstLine="480"/>
      </w:pPr>
      <w:r>
        <w:rPr/>
        <w:t>（1）所称小型和微型企业应当符合以下条件：</w:t>
      </w:r>
    </w:p>
    <w:p>
      <w:pPr>
        <w:pStyle w:val="null3"/>
        <w:ind w:firstLine="480"/>
      </w:pPr>
      <w:r>
        <w:rPr/>
        <w:t>在中华人民共和国境内依法设立，依据国务院批准的中小企业划分标准确定的小型企业和微型企业，但与大企业的负责人为同一人，或者与大企业存在直接控股、管理关系的除外。</w:t>
      </w:r>
    </w:p>
    <w:p>
      <w:pPr>
        <w:pStyle w:val="null3"/>
        <w:ind w:firstLine="480"/>
      </w:pPr>
      <w:r>
        <w:rPr/>
        <w:t>符合中小企业划分标准的个体工商户，在政府采购活动中视同中小企业。</w:t>
      </w:r>
    </w:p>
    <w:p>
      <w:pPr>
        <w:pStyle w:val="null3"/>
        <w:ind w:firstLine="480"/>
      </w:pPr>
      <w:r>
        <w:rPr/>
        <w:t>提供本企业（属于小微企业）制造的货物或者提供其他小型或微型企业制造的货物/提供本企业（属于小微企业）承接的服务。</w:t>
      </w:r>
    </w:p>
    <w:p>
      <w:pPr>
        <w:pStyle w:val="null3"/>
        <w:ind w:firstLine="480"/>
      </w:pPr>
      <w:r>
        <w:rPr/>
        <w:t xml:space="preserve"> （2）符合中小企业扶持政策的投标人应填写《中小企业声明函》；监狱企业须投标人提供由监狱管理局、戒毒管理局（含新疆生产建设兵团）出具的属于监狱企业的证明文件；残疾人福利性单位应填写《残疾人福利性单位声明函》，否则不认定价格扣除。</w:t>
      </w:r>
    </w:p>
    <w:p>
      <w:pPr>
        <w:pStyle w:val="null3"/>
        <w:ind w:firstLine="480"/>
      </w:pPr>
      <w:r>
        <w:rPr/>
        <w:t>说明：投标人应当对其出具的《中小企业声明函》真实性负责，投标人出具的《中小企业声明函》内容不实的，属于提供虚假材料谋取中标。</w:t>
      </w:r>
    </w:p>
    <w:p>
      <w:pPr>
        <w:pStyle w:val="null3"/>
        <w:ind w:firstLine="480"/>
      </w:pPr>
      <w:r>
        <w:rPr/>
        <w:t xml:space="preserve"> （3）投标（响应）供应商统一在一份《中小企业声明函》中说明联合体各方的中小微情况：包括联合体各方均为小型、微型企业的，及中小微企业作为联合体一方参与政府采购活动，且共同投标协议书中约定，小型、微型企业的协议合同金额占到联合体协议合同总金额30%以上的。</w:t>
      </w:r>
    </w:p>
    <w:p>
      <w:pPr>
        <w:pStyle w:val="null3"/>
        <w:outlineLvl w:val="3"/>
      </w:pPr>
      <w:r>
        <w:rPr>
          <w:sz w:val="24"/>
          <w:b/>
        </w:rPr>
        <w:t>4.对符合本国产品标准的产品给予价格扣除</w:t>
      </w:r>
    </w:p>
    <w:p>
      <w:pPr>
        <w:pStyle w:val="null3"/>
        <w:ind w:firstLine="480"/>
      </w:pPr>
      <w:r>
        <w:rPr/>
        <w:t>依照《国务院办公厅关于在政府采购中实施本国产品标准及相关政策的通知》（国办发〔2025〕34号）及《财政部关于贯彻落实&lt;国务院办公厅关于在政府采购中实施本国产品标准及相关政策的通知&gt;的意见》（财库〔2025〕30号）等相关规定。</w:t>
      </w:r>
    </w:p>
    <w:p>
      <w:pPr>
        <w:pStyle w:val="null3"/>
        <w:spacing w:before="120" w:after="120"/>
        <w:ind w:firstLine="480"/>
      </w:pPr>
      <w:r>
        <w:rPr/>
        <w:t>（1）</w:t>
      </w:r>
      <w:r>
        <w:rPr>
          <w:b/>
        </w:rPr>
        <w:t>本国产品标准的适用范围</w:t>
      </w:r>
      <w:r>
        <w:rPr/>
        <w:t>。本国产品标准适用于货物，包括政府采购货物项目和服务项目中涉及的货物。适用本国产品标准的货物具体是指《政府采购品目分类目录》中的货物类产品，但不包括其中的房屋和构筑物，文物和陈列品，图书和档案，特种动植物，农林牧渔业产品，矿与矿物，电力、城市燃气、蒸汽和热水、水，食品、饮料和烟草原料，无形资产。</w:t>
      </w:r>
    </w:p>
    <w:p>
      <w:pPr>
        <w:pStyle w:val="null3"/>
        <w:spacing w:before="120" w:after="120"/>
        <w:ind w:firstLine="480"/>
      </w:pPr>
      <w:r>
        <w:rPr/>
        <w:t>（2）</w:t>
      </w:r>
      <w:r>
        <w:rPr>
          <w:b/>
        </w:rPr>
        <w:t>准确界定产品在中国境内生产</w:t>
      </w:r>
      <w:r>
        <w:rPr/>
        <w:t>。本国产品应当在中国境内生产，即在中华人民共和国关境内实现从原材料、组件到产品的属性改变。从具体情形看，在国内保税区、综合保税区等海关特殊监管区域生产的产品，属于在中国境内生产的产品；对医疗器械产品，取得药品监督管理部门授予的准字号医疗器械注册证的，属于在中国境内生产的产品；其他产品，根据实际情况判断是否在中国境内生产。</w:t>
      </w:r>
    </w:p>
    <w:p>
      <w:pPr>
        <w:pStyle w:val="null3"/>
        <w:spacing w:before="120" w:after="120"/>
        <w:ind w:firstLine="480"/>
      </w:pPr>
      <w:r>
        <w:rPr/>
        <w:t>（3）</w:t>
      </w:r>
      <w:r>
        <w:rPr>
          <w:b/>
        </w:rPr>
        <w:t>对本国产品的支持政策</w:t>
      </w:r>
      <w:r>
        <w:rPr/>
        <w:t>。政府采购活动中既有本国产品又有非本国产品参与竞争的，依法对本国产品给予价格评审优惠，对本国产品的报价给予20%的价格扣除，用扣除后的价格参与评审。</w:t>
      </w:r>
    </w:p>
    <w:p>
      <w:pPr>
        <w:pStyle w:val="null3"/>
        <w:spacing w:before="120" w:after="120"/>
        <w:ind w:firstLine="480"/>
      </w:pPr>
      <w:r>
        <w:rPr/>
        <w:t>当采购项目或者采购包中含有多种产品，供应商为该采购项目或者采购包提供的符合本国产品标准的产品成本之和占该供应商提供的全部产品成本之和的比例达到80%以上时，依法对该供应商提供的全部产品给予价格评审优惠，即对该供应商提供的全部产品的总报价给予20%的价格扣除，用扣除后的价格参与评审。同时，若提供本国产品的供应商也符合政府采购支持中小企业政策，也按规定给予价格评审优惠。（如：某一供应商的产品报价500元，其提供的产品符合本国产品标准，同时按照采购文件规定也享受对小微企业的10%的价格扣除优惠。则对其报价按规定进行两次扣除，用扣除后的价格参与评审。其参与评审的价格为500-500×20%-500×10%=350元）</w:t>
      </w:r>
    </w:p>
    <w:p>
      <w:pPr>
        <w:pStyle w:val="null3"/>
        <w:spacing w:before="120" w:after="120"/>
        <w:ind w:firstLine="480"/>
      </w:pPr>
      <w:r>
        <w:rPr/>
        <w:t>（4）</w:t>
      </w:r>
      <w:r>
        <w:rPr>
          <w:b/>
        </w:rPr>
        <w:t>认真审查有关证明文件</w:t>
      </w:r>
      <w:r>
        <w:rPr/>
        <w:t>。采购人应当在采购文件中明确对供应商所出具的《关于符合本国产品标准的声明函》（以下简称《声明函》）的完整性、准确性进行审查的要求，评审中发现《声明函》内容含义不明确、同类事项与投标（响应）文件表述不一致或者有明显文字错误等情况的，应当以书面形式要求供应商作出必要的澄清、说明或者补正。经澄清、说明或者补正的《声明函》仍然不符合《通知》规定要求的，供应商提供的相关产品视为不符合本国产品标准。</w:t>
      </w:r>
    </w:p>
    <w:p>
      <w:pPr>
        <w:pStyle w:val="null3"/>
        <w:outlineLvl w:val="2"/>
      </w:pPr>
      <w:r>
        <w:rPr>
          <w:sz w:val="28"/>
          <w:b/>
        </w:rPr>
        <w:t>三、评审程序</w:t>
      </w:r>
    </w:p>
    <w:p>
      <w:pPr>
        <w:pStyle w:val="null3"/>
        <w:outlineLvl w:val="3"/>
      </w:pPr>
      <w:r>
        <w:rPr>
          <w:sz w:val="24"/>
          <w:b/>
        </w:rPr>
        <w:t>1.资格性审查和符合性审查</w:t>
      </w:r>
    </w:p>
    <w:p>
      <w:pPr>
        <w:pStyle w:val="null3"/>
        <w:ind w:firstLine="480"/>
      </w:pPr>
      <w:r>
        <w:rPr/>
        <w:t>资格性审查。公开招标采购项目开标结束后，采购人或采购代理机构应当依法对投标人的资格进行审查，以确定投标人是否具备投标资格。（详见后附表一资格性审查表）</w:t>
      </w:r>
    </w:p>
    <w:p>
      <w:pPr>
        <w:pStyle w:val="null3"/>
        <w:ind w:firstLine="480"/>
      </w:pPr>
      <w:r>
        <w:rPr/>
        <w:t>符合性审查。评标委员会依据招标文件的规定，从投标文件的有效性、完整性和对招标文件的响应程度进行审查，以确定是否对招标文件的实质性要求作出响应。（详见后附表二符合性审查表）</w:t>
      </w:r>
    </w:p>
    <w:p>
      <w:pPr>
        <w:pStyle w:val="null3"/>
        <w:ind w:firstLine="480"/>
      </w:pPr>
      <w:r>
        <w:rPr/>
        <w:t>资格性审查和符合性审查中凡有其中任意一项未通过的，评审结果为未通过，未通过资格性审查、符合性审查的投标人按无效投标处理。</w:t>
      </w:r>
    </w:p>
    <w:p>
      <w:pPr>
        <w:pStyle w:val="null3"/>
        <w:ind w:firstLine="480"/>
      </w:pPr>
      <w:r>
        <w:rPr/>
        <w:t>对各投标人进行资格审查和符合性审查过程中，对初步被认定为无效投标者，由评标委员会组长或采购人代表将集体意见及时告知投标当事人。采购代理机构应在评标报告中以书面形式解释其排除的具体原因</w:t>
      </w:r>
    </w:p>
    <w:p>
      <w:pPr>
        <w:pStyle w:val="null3"/>
        <w:ind w:firstLine="480"/>
      </w:pPr>
      <w:r>
        <w:rPr/>
        <w:t xml:space="preserve"> 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w:t>
      </w:r>
    </w:p>
    <w:p>
      <w:pPr>
        <w:pStyle w:val="null3"/>
        <w:ind w:firstLine="480"/>
      </w:pPr>
      <w:r>
        <w:rPr/>
        <w:t>合格投标人不足3家的，不得评标。</w:t>
      </w:r>
    </w:p>
    <w:p>
      <w:pPr>
        <w:pStyle w:val="null3"/>
        <w:ind w:firstLine="480"/>
      </w:pPr>
      <w:r>
        <w:rPr/>
        <w:t>表一资格性审查表：</w:t>
      </w:r>
    </w:p>
    <w:p>
      <w:pPr>
        <w:pStyle w:val="null3"/>
      </w:pPr>
      <w:r>
        <w:rPr/>
        <w:t>采购包1（广州市城市管理和综合执法局全市井盖设施管理监督、抽查、应急处置项目）：</w:t>
      </w:r>
    </w:p>
    <w:tbl>
      <w:tblPr>
        <w:tblW w:w="0" w:type="auto"/>
        <w:tblBorders>
          <w:top w:val="single"/>
          <w:left w:val="single"/>
          <w:bottom w:val="single"/>
          <w:right w:val="single"/>
          <w:insideH w:val="single"/>
          <w:insideV w:val="single"/>
        </w:tblBorders>
      </w:tblPr>
      <w:tblGrid>
        <w:gridCol w:w="890"/>
        <w:gridCol w:w="3178"/>
        <w:gridCol w:w="4238"/>
      </w:tblGrid>
      <w:tr>
        <w:tc>
          <w:tcPr>
            <w:tcW w:type="dxa" w:w="890"/>
          </w:tcPr>
          <w:p>
            <w:pPr>
              <w:pStyle w:val="null3"/>
            </w:pPr>
            <w:r>
              <w:rPr/>
              <w:t xml:space="preserve"> 序号</w:t>
            </w:r>
          </w:p>
        </w:tc>
        <w:tc>
          <w:tcPr>
            <w:tcW w:type="dxa" w:w="7416"/>
            <w:gridSpan w:val="2"/>
          </w:tcPr>
          <w:p>
            <w:pPr>
              <w:pStyle w:val="null3"/>
            </w:pPr>
            <w:r>
              <w:rPr/>
              <w:t xml:space="preserve"> 资格审查内容</w:t>
            </w:r>
          </w:p>
        </w:tc>
      </w:tr>
      <w:tr>
        <w:tc>
          <w:tcPr>
            <w:tcW w:type="dxa" w:w="890"/>
          </w:tcPr>
          <w:p>
            <w:pPr>
              <w:pStyle w:val="null3"/>
            </w:pPr>
            <w:r>
              <w:rPr/>
              <w:t>1</w:t>
            </w:r>
          </w:p>
        </w:tc>
        <w:tc>
          <w:tcPr>
            <w:tcW w:type="dxa" w:w="3178"/>
          </w:tcPr>
          <w:p>
            <w:pPr>
              <w:pStyle w:val="null3"/>
            </w:pPr>
            <w:r>
              <w:rPr/>
              <w:t>具有独立承担民事责任的能力</w:t>
            </w:r>
          </w:p>
        </w:tc>
        <w:tc>
          <w:tcPr>
            <w:tcW w:type="dxa" w:w="4238"/>
          </w:tcPr>
          <w:p>
            <w:pPr>
              <w:pStyle w:val="null3"/>
            </w:pPr>
            <w:r>
              <w:rPr/>
              <w:t>在中华人民共和国境内注册的法人或其他组织或自然人。分支机构响应的，总公司出具给分支机构的授权书。</w:t>
            </w:r>
          </w:p>
        </w:tc>
      </w:tr>
      <w:tr>
        <w:tc>
          <w:tcPr>
            <w:tcW w:type="dxa" w:w="890"/>
          </w:tcPr>
          <w:p>
            <w:pPr>
              <w:pStyle w:val="null3"/>
            </w:pPr>
            <w:r>
              <w:rPr/>
              <w:t>2</w:t>
            </w:r>
          </w:p>
        </w:tc>
        <w:tc>
          <w:tcPr>
            <w:tcW w:type="dxa" w:w="3178"/>
          </w:tcPr>
          <w:p>
            <w:pPr>
              <w:pStyle w:val="null3"/>
            </w:pPr>
            <w:r>
              <w:rPr/>
              <w:t>有依法缴纳税收和社会保障资金的良好记录</w:t>
            </w:r>
          </w:p>
        </w:tc>
        <w:tc>
          <w:tcPr>
            <w:tcW w:type="dxa" w:w="4238"/>
          </w:tcPr>
          <w:p>
            <w:pPr>
              <w:pStyle w:val="null3"/>
            </w:pPr>
            <w:r>
              <w:rPr/>
              <w:t>提供承诺函，格式自拟。</w:t>
            </w:r>
          </w:p>
        </w:tc>
      </w:tr>
      <w:tr>
        <w:tc>
          <w:tcPr>
            <w:tcW w:type="dxa" w:w="890"/>
          </w:tcPr>
          <w:p>
            <w:pPr>
              <w:pStyle w:val="null3"/>
            </w:pPr>
            <w:r>
              <w:rPr/>
              <w:t>3</w:t>
            </w:r>
          </w:p>
        </w:tc>
        <w:tc>
          <w:tcPr>
            <w:tcW w:type="dxa" w:w="3178"/>
          </w:tcPr>
          <w:p>
            <w:pPr>
              <w:pStyle w:val="null3"/>
            </w:pPr>
            <w:r>
              <w:rPr/>
              <w:t>具有良好的商业信誉和健全的财务会计制度</w:t>
            </w:r>
          </w:p>
        </w:tc>
        <w:tc>
          <w:tcPr>
            <w:tcW w:type="dxa" w:w="4238"/>
          </w:tcPr>
          <w:p>
            <w:pPr>
              <w:pStyle w:val="null3"/>
            </w:pPr>
            <w:r>
              <w:rPr/>
              <w:t>提供承诺函，格式自拟。</w:t>
            </w:r>
          </w:p>
        </w:tc>
      </w:tr>
      <w:tr>
        <w:tc>
          <w:tcPr>
            <w:tcW w:type="dxa" w:w="890"/>
          </w:tcPr>
          <w:p>
            <w:pPr>
              <w:pStyle w:val="null3"/>
            </w:pPr>
            <w:r>
              <w:rPr/>
              <w:t>4</w:t>
            </w:r>
          </w:p>
        </w:tc>
        <w:tc>
          <w:tcPr>
            <w:tcW w:type="dxa" w:w="3178"/>
          </w:tcPr>
          <w:p>
            <w:pPr>
              <w:pStyle w:val="null3"/>
            </w:pPr>
            <w:r>
              <w:rPr/>
              <w:t>履行合同所必需的设备和专业技术能力</w:t>
            </w:r>
          </w:p>
        </w:tc>
        <w:tc>
          <w:tcPr>
            <w:tcW w:type="dxa" w:w="4238"/>
          </w:tcPr>
          <w:p>
            <w:pPr>
              <w:pStyle w:val="null3"/>
            </w:pPr>
            <w:r>
              <w:rPr/>
              <w:t>提供承诺函，格式自拟。</w:t>
            </w:r>
          </w:p>
        </w:tc>
      </w:tr>
      <w:tr>
        <w:tc>
          <w:tcPr>
            <w:tcW w:type="dxa" w:w="890"/>
          </w:tcPr>
          <w:p>
            <w:pPr>
              <w:pStyle w:val="null3"/>
            </w:pPr>
            <w:r>
              <w:rPr/>
              <w:t>5</w:t>
            </w:r>
          </w:p>
        </w:tc>
        <w:tc>
          <w:tcPr>
            <w:tcW w:type="dxa" w:w="3178"/>
          </w:tcPr>
          <w:p>
            <w:pPr>
              <w:pStyle w:val="null3"/>
            </w:pPr>
            <w:r>
              <w:rPr/>
              <w:t>参加采购活动前3年内，在经营活动中没有重大违法记录</w:t>
            </w:r>
          </w:p>
        </w:tc>
        <w:tc>
          <w:tcPr>
            <w:tcW w:type="dxa" w:w="4238"/>
          </w:tcPr>
          <w:p>
            <w:pPr>
              <w:pStyle w:val="null3"/>
            </w:pPr>
            <w:r>
              <w:rPr/>
              <w:t>提供承诺函，格式自拟【重大违法记录，是指供应商因违法经营受到刑事处罚或者责令停产停业、吊销许可证或者执照、较大数额罚款等行政处罚。（“较大数额罚款”认定为200万元以上的罚款，法律、行政法规以及国务院有关部门明确规定相关领域“较大数额罚款”标准高于200万元的，从其规定。）】</w:t>
            </w:r>
          </w:p>
        </w:tc>
      </w:tr>
      <w:tr>
        <w:tc>
          <w:tcPr>
            <w:tcW w:type="dxa" w:w="890"/>
          </w:tcPr>
          <w:p>
            <w:pPr>
              <w:pStyle w:val="null3"/>
            </w:pPr>
            <w:r>
              <w:rPr/>
              <w:t>6</w:t>
            </w:r>
          </w:p>
        </w:tc>
        <w:tc>
          <w:tcPr>
            <w:tcW w:type="dxa" w:w="3178"/>
          </w:tcPr>
          <w:p>
            <w:pPr>
              <w:pStyle w:val="null3"/>
            </w:pPr>
            <w:r>
              <w:rPr/>
              <w:t>本项目特定的资格要求</w:t>
            </w:r>
          </w:p>
        </w:tc>
        <w:tc>
          <w:tcPr>
            <w:tcW w:type="dxa" w:w="4238"/>
          </w:tcPr>
          <w:p>
            <w:pPr>
              <w:pStyle w:val="null3"/>
            </w:pPr>
            <w:r>
              <w:rPr/>
              <w:t>供应商未被列入“信用中国”网站(www.creditchina.gov.cn)“记录失信被执行人或重大税收违法案件当事人名单（即税收违法黑名单）或环境保护、知识产权等领域严重违法失信行为”记录名单；不处于中国政府采购网(www.ccgp.gov.cn)“政府采购严重违法失信行为信息记录”中的禁止参加政府采购活动期间。（以采购代理机构于投标（响应）截止时间当天在“信用中国”网站（www.creditchina.gov.cn）及中国政府采购网（http://www.ccgp.gov.cn/）查询结果为准，如相关失信记录已失效，供应商需提供相关证明资料）</w:t>
            </w:r>
          </w:p>
        </w:tc>
      </w:tr>
      <w:tr>
        <w:tc>
          <w:tcPr>
            <w:tcW w:type="dxa" w:w="890"/>
          </w:tcPr>
          <w:p>
            <w:pPr>
              <w:pStyle w:val="null3"/>
            </w:pPr>
            <w:r>
              <w:rPr/>
              <w:t>7</w:t>
            </w:r>
          </w:p>
        </w:tc>
        <w:tc>
          <w:tcPr>
            <w:tcW w:type="dxa" w:w="3178"/>
          </w:tcPr>
          <w:p>
            <w:pPr>
              <w:pStyle w:val="null3"/>
            </w:pPr>
            <w:r>
              <w:rPr/>
              <w:t>本项目特定的资格要求</w:t>
            </w:r>
          </w:p>
        </w:tc>
        <w:tc>
          <w:tcPr>
            <w:tcW w:type="dxa" w:w="4238"/>
          </w:tcPr>
          <w:p>
            <w:pPr>
              <w:pStyle w:val="null3"/>
            </w:pPr>
            <w:r>
              <w:rPr/>
              <w:t>供应商必须符合法律、行政法规规定的其他条件</w:t>
            </w:r>
          </w:p>
        </w:tc>
      </w:tr>
      <w:tr>
        <w:tc>
          <w:tcPr>
            <w:tcW w:type="dxa" w:w="890"/>
          </w:tcPr>
          <w:p>
            <w:pPr>
              <w:pStyle w:val="null3"/>
            </w:pPr>
            <w:r>
              <w:rPr/>
              <w:t>8</w:t>
            </w:r>
          </w:p>
        </w:tc>
        <w:tc>
          <w:tcPr>
            <w:tcW w:type="dxa" w:w="3178"/>
          </w:tcPr>
          <w:p>
            <w:pPr>
              <w:pStyle w:val="null3"/>
            </w:pPr>
            <w:r>
              <w:rPr/>
              <w:t>本项目特定的资格要求</w:t>
            </w:r>
          </w:p>
        </w:tc>
        <w:tc>
          <w:tcPr>
            <w:tcW w:type="dxa" w:w="4238"/>
          </w:tcPr>
          <w:p>
            <w:pPr>
              <w:pStyle w:val="null3"/>
            </w:pPr>
            <w:r>
              <w:rPr/>
              <w:t>单位负责人为同一人或者存在直接控股、管理关系的不同供应商，不得参加同一包号投标或者未划分包号的同一招标项目投标。(投标人出具声明函)</w:t>
            </w:r>
          </w:p>
        </w:tc>
      </w:tr>
      <w:tr>
        <w:tc>
          <w:tcPr>
            <w:tcW w:type="dxa" w:w="890"/>
          </w:tcPr>
          <w:p>
            <w:pPr>
              <w:pStyle w:val="null3"/>
            </w:pPr>
            <w:r>
              <w:rPr/>
              <w:t>9</w:t>
            </w:r>
          </w:p>
        </w:tc>
        <w:tc>
          <w:tcPr>
            <w:tcW w:type="dxa" w:w="3178"/>
          </w:tcPr>
          <w:p>
            <w:pPr>
              <w:pStyle w:val="null3"/>
            </w:pPr>
            <w:r>
              <w:rPr/>
              <w:t>本项目特定的资格要求</w:t>
            </w:r>
          </w:p>
        </w:tc>
        <w:tc>
          <w:tcPr>
            <w:tcW w:type="dxa" w:w="4238"/>
          </w:tcPr>
          <w:p>
            <w:pPr>
              <w:pStyle w:val="null3"/>
            </w:pPr>
            <w:r>
              <w:rPr/>
              <w:t>为采购项目提供整体设计、规范编制或者项目管理、监理、检测等服务的供应商，不得再参加该采购项目的其他采购活动。(投标人出具声明函)</w:t>
            </w:r>
          </w:p>
        </w:tc>
      </w:tr>
      <w:tr>
        <w:tc>
          <w:tcPr>
            <w:tcW w:type="dxa" w:w="890"/>
          </w:tcPr>
          <w:p>
            <w:pPr>
              <w:pStyle w:val="null3"/>
            </w:pPr>
            <w:r>
              <w:rPr/>
              <w:t>10</w:t>
            </w:r>
          </w:p>
        </w:tc>
        <w:tc>
          <w:tcPr>
            <w:tcW w:type="dxa" w:w="3178"/>
          </w:tcPr>
          <w:p>
            <w:pPr>
              <w:pStyle w:val="null3"/>
            </w:pPr>
            <w:r>
              <w:rPr/>
              <w:t>本项目特定的资格要求</w:t>
            </w:r>
          </w:p>
        </w:tc>
        <w:tc>
          <w:tcPr>
            <w:tcW w:type="dxa" w:w="4238"/>
          </w:tcPr>
          <w:p>
            <w:pPr>
              <w:pStyle w:val="null3"/>
            </w:pPr>
            <w:r>
              <w:rPr/>
              <w:t>已获取本次采购文件。(具体方式详见本项目公告)</w:t>
            </w:r>
          </w:p>
        </w:tc>
      </w:tr>
      <w:tr>
        <w:tc>
          <w:tcPr>
            <w:tcW w:type="dxa" w:w="890"/>
          </w:tcPr>
          <w:p>
            <w:pPr>
              <w:pStyle w:val="null3"/>
            </w:pPr>
            <w:r>
              <w:rPr/>
              <w:t>11</w:t>
            </w:r>
          </w:p>
        </w:tc>
        <w:tc>
          <w:tcPr>
            <w:tcW w:type="dxa" w:w="3178"/>
          </w:tcPr>
          <w:p>
            <w:pPr>
              <w:pStyle w:val="null3"/>
            </w:pPr>
            <w:r>
              <w:rPr/>
              <w:t>本项目特定的资格要求</w:t>
            </w:r>
          </w:p>
        </w:tc>
        <w:tc>
          <w:tcPr>
            <w:tcW w:type="dxa" w:w="4238"/>
          </w:tcPr>
          <w:p>
            <w:pPr>
              <w:pStyle w:val="null3"/>
            </w:pPr>
            <w:r>
              <w:rPr/>
              <w:t>本项目不接受联合体响应，不得分包、转包（提供承诺函，格式自拟）</w:t>
            </w:r>
          </w:p>
        </w:tc>
      </w:tr>
      <w:tr>
        <w:tc>
          <w:tcPr>
            <w:tcW w:type="dxa" w:w="890"/>
          </w:tcPr>
          <w:p>
            <w:pPr>
              <w:pStyle w:val="null3"/>
            </w:pPr>
            <w:r>
              <w:rPr/>
              <w:t>12</w:t>
            </w:r>
          </w:p>
        </w:tc>
        <w:tc>
          <w:tcPr>
            <w:tcW w:type="dxa" w:w="3178"/>
          </w:tcPr>
          <w:p>
            <w:pPr>
              <w:pStyle w:val="null3"/>
            </w:pPr>
            <w:r>
              <w:rPr/>
              <w:t>本采购包专门面向中小企业采购</w:t>
            </w:r>
          </w:p>
        </w:tc>
        <w:tc>
          <w:tcPr>
            <w:tcW w:type="dxa" w:w="4238"/>
          </w:tcPr>
          <w:p>
            <w:pPr>
              <w:pStyle w:val="null3"/>
            </w:pPr>
            <w:r>
              <w:rPr/>
              <w:t>1. 本项目整体专门面向小微企业（小型企业或微型企业）采购。1.1投标人须为符合本项目采购标的对应行业（其他未列明行业）政策划分标准的小微企业（提供《中小企业声明函（工程、服务）》）。1.2根据有关政策，视同为小微企业的其他情形：① 若投标人为残疾人福利性单位，提供《残疾人福利性单位声明函》。② 若投标人为监狱企业，提供由省级以上监狱管理局、戒毒管理局(含新疆生产建设兵团)出具的属于监狱企业的证明文件。</w:t>
            </w:r>
          </w:p>
        </w:tc>
      </w:tr>
    </w:tbl>
    <w:p>
      <w:pPr>
        <w:pStyle w:val="null3"/>
        <w:ind w:firstLine="480"/>
      </w:pPr>
      <w:r>
        <w:rPr/>
        <w:t>表二符合性审查表：</w:t>
      </w:r>
    </w:p>
    <w:p>
      <w:pPr>
        <w:pStyle w:val="null3"/>
      </w:pPr>
      <w:r>
        <w:rPr/>
        <w:t>采购包1（广州市城市管理和综合执法局全市井盖设施管理监督、抽查、应急处置项目）：</w:t>
      </w:r>
    </w:p>
    <w:tbl>
      <w:tblPr>
        <w:tblW w:w="0" w:type="auto"/>
        <w:tblBorders>
          <w:top w:val="single"/>
          <w:left w:val="single"/>
          <w:bottom w:val="single"/>
          <w:right w:val="single"/>
          <w:insideH w:val="single"/>
          <w:insideV w:val="single"/>
        </w:tblBorders>
      </w:tblPr>
      <w:tblGrid>
        <w:gridCol w:w="890"/>
        <w:gridCol w:w="3178"/>
        <w:gridCol w:w="4238"/>
      </w:tblGrid>
      <w:tr>
        <w:tc>
          <w:tcPr>
            <w:tcW w:type="dxa" w:w="890"/>
          </w:tcPr>
          <w:p>
            <w:pPr>
              <w:pStyle w:val="null3"/>
            </w:pPr>
            <w:r>
              <w:rPr/>
              <w:t xml:space="preserve"> 序号</w:t>
            </w:r>
          </w:p>
        </w:tc>
        <w:tc>
          <w:tcPr>
            <w:tcW w:type="dxa" w:w="3178"/>
          </w:tcPr>
          <w:p>
            <w:pPr>
              <w:pStyle w:val="null3"/>
            </w:pPr>
            <w:r>
              <w:rPr/>
              <w:t xml:space="preserve"> 评审点要求概况</w:t>
            </w:r>
          </w:p>
        </w:tc>
        <w:tc>
          <w:tcPr>
            <w:tcW w:type="dxa" w:w="4238"/>
          </w:tcPr>
          <w:p>
            <w:pPr>
              <w:pStyle w:val="null3"/>
            </w:pPr>
            <w:r>
              <w:rPr/>
              <w:t xml:space="preserve"> 评审点具体描述</w:t>
            </w:r>
          </w:p>
        </w:tc>
      </w:tr>
      <w:tr>
        <w:tc>
          <w:tcPr>
            <w:tcW w:type="dxa" w:w="890"/>
          </w:tcPr>
          <w:p>
            <w:pPr>
              <w:pStyle w:val="null3"/>
            </w:pPr>
            <w:r>
              <w:rPr/>
              <w:t>1</w:t>
            </w:r>
          </w:p>
        </w:tc>
        <w:tc>
          <w:tcPr>
            <w:tcW w:type="dxa" w:w="3178"/>
          </w:tcPr>
          <w:p>
            <w:pPr>
              <w:pStyle w:val="null3"/>
            </w:pPr>
            <w:r>
              <w:rPr/>
              <w:t>响应报价</w:t>
            </w:r>
          </w:p>
        </w:tc>
        <w:tc>
          <w:tcPr>
            <w:tcW w:type="dxa" w:w="4238"/>
          </w:tcPr>
          <w:p>
            <w:pPr>
              <w:pStyle w:val="null3"/>
            </w:pPr>
            <w:r>
              <w:rPr/>
              <w:t>1）响应报价未超过本项目采购预算317万元2）对本项目的全部采购内容进行响应报价3）响应报价是唯一确定的。</w:t>
            </w:r>
          </w:p>
        </w:tc>
      </w:tr>
      <w:tr>
        <w:tc>
          <w:tcPr>
            <w:tcW w:type="dxa" w:w="890"/>
          </w:tcPr>
          <w:p>
            <w:pPr>
              <w:pStyle w:val="null3"/>
            </w:pPr>
            <w:r>
              <w:rPr/>
              <w:t>2</w:t>
            </w:r>
          </w:p>
        </w:tc>
        <w:tc>
          <w:tcPr>
            <w:tcW w:type="dxa" w:w="3178"/>
          </w:tcPr>
          <w:p>
            <w:pPr>
              <w:pStyle w:val="null3"/>
            </w:pPr>
            <w:r>
              <w:rPr/>
              <w:t>签署及盖章</w:t>
            </w:r>
          </w:p>
        </w:tc>
        <w:tc>
          <w:tcPr>
            <w:tcW w:type="dxa" w:w="4238"/>
          </w:tcPr>
          <w:p>
            <w:pPr>
              <w:pStyle w:val="null3"/>
            </w:pPr>
            <w:r>
              <w:rPr/>
              <w:t>响应文件按照采购文件规定要求签署、盖章</w:t>
            </w:r>
          </w:p>
        </w:tc>
      </w:tr>
      <w:tr>
        <w:tc>
          <w:tcPr>
            <w:tcW w:type="dxa" w:w="890"/>
          </w:tcPr>
          <w:p>
            <w:pPr>
              <w:pStyle w:val="null3"/>
            </w:pPr>
            <w:r>
              <w:rPr/>
              <w:t>3</w:t>
            </w:r>
          </w:p>
        </w:tc>
        <w:tc>
          <w:tcPr>
            <w:tcW w:type="dxa" w:w="3178"/>
          </w:tcPr>
          <w:p>
            <w:pPr>
              <w:pStyle w:val="null3"/>
            </w:pPr>
            <w:r>
              <w:rPr/>
              <w:t>法定代表人证明书及授权委托书</w:t>
            </w:r>
          </w:p>
        </w:tc>
        <w:tc>
          <w:tcPr>
            <w:tcW w:type="dxa" w:w="4238"/>
          </w:tcPr>
          <w:p>
            <w:pPr>
              <w:pStyle w:val="null3"/>
            </w:pPr>
            <w:r>
              <w:rPr/>
              <w:t>法定代表人证明书及授权委托书：按对应格式文件签署、盖章</w:t>
            </w:r>
          </w:p>
        </w:tc>
      </w:tr>
      <w:tr>
        <w:tc>
          <w:tcPr>
            <w:tcW w:type="dxa" w:w="890"/>
          </w:tcPr>
          <w:p>
            <w:pPr>
              <w:pStyle w:val="null3"/>
            </w:pPr>
            <w:r>
              <w:rPr/>
              <w:t>4</w:t>
            </w:r>
          </w:p>
        </w:tc>
        <w:tc>
          <w:tcPr>
            <w:tcW w:type="dxa" w:w="3178"/>
          </w:tcPr>
          <w:p>
            <w:pPr>
              <w:pStyle w:val="null3"/>
            </w:pPr>
            <w:r>
              <w:rPr/>
              <w:t>响应有效期</w:t>
            </w:r>
          </w:p>
        </w:tc>
        <w:tc>
          <w:tcPr>
            <w:tcW w:type="dxa" w:w="4238"/>
          </w:tcPr>
          <w:p>
            <w:pPr>
              <w:pStyle w:val="null3"/>
            </w:pPr>
            <w:r>
              <w:rPr/>
              <w:t>提供《响应函》，响应有效期满足采购文件要求</w:t>
            </w:r>
          </w:p>
        </w:tc>
      </w:tr>
      <w:tr>
        <w:tc>
          <w:tcPr>
            <w:tcW w:type="dxa" w:w="890"/>
          </w:tcPr>
          <w:p>
            <w:pPr>
              <w:pStyle w:val="null3"/>
            </w:pPr>
            <w:r>
              <w:rPr/>
              <w:t>5</w:t>
            </w:r>
          </w:p>
        </w:tc>
        <w:tc>
          <w:tcPr>
            <w:tcW w:type="dxa" w:w="3178"/>
          </w:tcPr>
          <w:p>
            <w:pPr>
              <w:pStyle w:val="null3"/>
            </w:pPr>
            <w:r>
              <w:rPr/>
              <w:t>“★”号条款响应</w:t>
            </w:r>
          </w:p>
        </w:tc>
        <w:tc>
          <w:tcPr>
            <w:tcW w:type="dxa" w:w="4238"/>
          </w:tcPr>
          <w:p>
            <w:pPr>
              <w:pStyle w:val="null3"/>
            </w:pPr>
            <w:r>
              <w:rPr/>
              <w:t>实质性响应采购文件中“★”号条款的技术、商务要求：响应方案不得对实质性技术与商务的（即标注★号条款）条款产生偏离</w:t>
            </w:r>
          </w:p>
        </w:tc>
      </w:tr>
      <w:tr>
        <w:tc>
          <w:tcPr>
            <w:tcW w:type="dxa" w:w="890"/>
          </w:tcPr>
          <w:p>
            <w:pPr>
              <w:pStyle w:val="null3"/>
            </w:pPr>
            <w:r>
              <w:rPr/>
              <w:t>6</w:t>
            </w:r>
          </w:p>
        </w:tc>
        <w:tc>
          <w:tcPr>
            <w:tcW w:type="dxa" w:w="3178"/>
          </w:tcPr>
          <w:p>
            <w:pPr>
              <w:pStyle w:val="null3"/>
            </w:pPr>
            <w:r>
              <w:rPr/>
              <w:t>附加条件</w:t>
            </w:r>
          </w:p>
        </w:tc>
        <w:tc>
          <w:tcPr>
            <w:tcW w:type="dxa" w:w="4238"/>
          </w:tcPr>
          <w:p>
            <w:pPr>
              <w:pStyle w:val="null3"/>
            </w:pPr>
            <w:r>
              <w:rPr/>
              <w:t>响应文件没有采购人不能接受的附加条件。</w:t>
            </w:r>
          </w:p>
        </w:tc>
      </w:tr>
      <w:tr>
        <w:tc>
          <w:tcPr>
            <w:tcW w:type="dxa" w:w="890"/>
          </w:tcPr>
          <w:p>
            <w:pPr>
              <w:pStyle w:val="null3"/>
            </w:pPr>
            <w:r>
              <w:rPr/>
              <w:t>7</w:t>
            </w:r>
          </w:p>
        </w:tc>
        <w:tc>
          <w:tcPr>
            <w:tcW w:type="dxa" w:w="3178"/>
          </w:tcPr>
          <w:p>
            <w:pPr>
              <w:pStyle w:val="null3"/>
            </w:pPr>
            <w:r>
              <w:rPr/>
              <w:t>报价合理性</w:t>
            </w:r>
          </w:p>
        </w:tc>
        <w:tc>
          <w:tcPr>
            <w:tcW w:type="dxa" w:w="4238"/>
          </w:tcPr>
          <w:p>
            <w:pPr>
              <w:pStyle w:val="null3"/>
            </w:pPr>
            <w:r>
              <w:rPr/>
              <w:t>如果评标委员会认为供应商的报价明显低于其他通过符合性审查供应商的报价，有可能影响服务质量或者不能诚信履约的，将要求其在评标现场合理的时间内提供书面说明，必要时提交相关证明材料；供应商应能证明其报价合理性。</w:t>
            </w:r>
          </w:p>
        </w:tc>
      </w:tr>
      <w:tr>
        <w:tc>
          <w:tcPr>
            <w:tcW w:type="dxa" w:w="890"/>
          </w:tcPr>
          <w:p>
            <w:pPr>
              <w:pStyle w:val="null3"/>
            </w:pPr>
            <w:r>
              <w:rPr/>
              <w:t>8</w:t>
            </w:r>
          </w:p>
        </w:tc>
        <w:tc>
          <w:tcPr>
            <w:tcW w:type="dxa" w:w="3178"/>
          </w:tcPr>
          <w:p>
            <w:pPr>
              <w:pStyle w:val="null3"/>
            </w:pPr>
            <w:r>
              <w:rPr/>
              <w:t>其他情形</w:t>
            </w:r>
          </w:p>
        </w:tc>
        <w:tc>
          <w:tcPr>
            <w:tcW w:type="dxa" w:w="4238"/>
          </w:tcPr>
          <w:p>
            <w:pPr>
              <w:pStyle w:val="null3"/>
            </w:pPr>
            <w:r>
              <w:rPr/>
              <w:t>不属于法律、法规、规章规定无效投标的其他情形。</w:t>
            </w:r>
          </w:p>
        </w:tc>
      </w:tr>
    </w:tbl>
    <w:p>
      <w:pPr>
        <w:pStyle w:val="null3"/>
        <w:outlineLvl w:val="3"/>
      </w:pPr>
      <w:r>
        <w:rPr>
          <w:sz w:val="24"/>
          <w:b/>
        </w:rPr>
        <w:t>2.投标文件澄清</w:t>
      </w:r>
    </w:p>
    <w:p>
      <w:pPr>
        <w:pStyle w:val="null3"/>
        <w:ind w:firstLine="480"/>
      </w:pPr>
      <w:r>
        <w:rPr/>
        <w:t xml:space="preserve"> 2.1对于投标文件中含义不明确、同类问题表述不一致或者有明显文字和计算错误的内容，评标委员会应当在评审过程中发起在线澄清，要求投标人针对价格或内容做出必要的澄清、说明或补正。代理机构可根据开标环节记录的授权代表人联系方式发送短信提醒或电话告知。</w:t>
      </w:r>
    </w:p>
    <w:p>
      <w:pPr>
        <w:pStyle w:val="null3"/>
        <w:ind w:firstLine="480"/>
      </w:pPr>
      <w:r>
        <w:rPr/>
        <w:t>投标人需登录广东政府采购智慧云平台项目采购系统的等候大厅，在规定时间内完成澄清（响应），并加盖电子印章。</w:t>
      </w:r>
    </w:p>
    <w:p>
      <w:pPr>
        <w:pStyle w:val="null3"/>
        <w:ind w:firstLine="480"/>
      </w:pPr>
      <w:r>
        <w:rPr/>
        <w:t>若因投标人联系方式错误未接收短信、未接听电话或超时未进行澄清（响应）造成的不利后果由供应商自行承担。投标人的澄清、说明或者补正不得超出投标文件的范围或者改变投标文件的实质性内容。</w:t>
      </w:r>
    </w:p>
    <w:p>
      <w:pPr>
        <w:pStyle w:val="null3"/>
        <w:ind w:firstLine="480"/>
      </w:pPr>
      <w:r>
        <w:rPr/>
        <w:t>2.2评标委员会不接受投标人主动提出的澄清、说明或补正。</w:t>
      </w:r>
    </w:p>
    <w:p>
      <w:pPr>
        <w:pStyle w:val="null3"/>
        <w:ind w:firstLine="480"/>
      </w:pPr>
      <w:r>
        <w:rPr/>
        <w:t>2.3评标委员会对投标人提交的澄清、说明或补正有疑问的，可以要求投标人进一步澄清、说明或补正。</w:t>
      </w:r>
    </w:p>
    <w:p>
      <w:pPr>
        <w:pStyle w:val="null3"/>
        <w:outlineLvl w:val="3"/>
      </w:pPr>
      <w:r>
        <w:rPr>
          <w:sz w:val="24"/>
          <w:b/>
        </w:rPr>
        <w:t>3.详细评审</w:t>
      </w:r>
    </w:p>
    <w:p>
      <w:pPr>
        <w:pStyle w:val="null3"/>
        <w:ind w:firstLine="480"/>
      </w:pPr>
      <w:r>
        <w:rPr/>
        <w:t>采购包1(广州市城市管理和综合执法局全市井盖设施管理监督、抽查、应急处置项目):</w:t>
      </w:r>
    </w:p>
    <w:tbl>
      <w:tblPr>
        <w:tblW w:w="0" w:type="auto"/>
        <w:tblBorders>
          <w:top w:val="single"/>
          <w:left w:val="single"/>
          <w:bottom w:val="single"/>
          <w:right w:val="single"/>
          <w:insideH w:val="single"/>
          <w:insideV w:val="single"/>
        </w:tblBorders>
      </w:tblPr>
      <w:tblGrid>
        <w:gridCol w:w="461"/>
        <w:gridCol w:w="461"/>
        <w:gridCol w:w="2307"/>
        <w:gridCol w:w="5076"/>
      </w:tblGrid>
      <w:tr>
        <w:tc>
          <w:tcPr>
            <w:tcW w:type="dxa" w:w="922"/>
            <w:gridSpan w:val="2"/>
          </w:tcPr>
          <w:p>
            <w:pPr>
              <w:pStyle w:val="null3"/>
              <w:jc w:val="center"/>
            </w:pPr>
            <w:r>
              <w:rPr/>
              <w:t>评审因素</w:t>
            </w:r>
          </w:p>
        </w:tc>
        <w:tc>
          <w:tcPr>
            <w:tcW w:type="dxa" w:w="7383"/>
            <w:gridSpan w:val="2"/>
          </w:tcPr>
          <w:p>
            <w:pPr>
              <w:pStyle w:val="null3"/>
              <w:jc w:val="center"/>
            </w:pPr>
            <w:r>
              <w:rPr/>
              <w:t>评审标准</w:t>
            </w:r>
          </w:p>
        </w:tc>
      </w:tr>
      <w:tr>
        <w:tc>
          <w:tcPr>
            <w:tcW w:type="dxa" w:w="922"/>
            <w:gridSpan w:val="2"/>
          </w:tcPr>
          <w:p>
            <w:pPr>
              <w:pStyle w:val="null3"/>
              <w:jc w:val="center"/>
            </w:pPr>
            <w:r>
              <w:rPr/>
              <w:t>分值构成</w:t>
            </w:r>
          </w:p>
        </w:tc>
        <w:tc>
          <w:tcPr>
            <w:tcW w:type="dxa" w:w="7383"/>
            <w:gridSpan w:val="2"/>
          </w:tcPr>
          <w:p>
            <w:pPr>
              <w:pStyle w:val="null3"/>
            </w:pPr>
            <w:r>
              <w:rPr/>
              <w:t>商务部分30.0分</w:t>
            </w:r>
          </w:p>
          <w:p>
            <w:pPr>
              <w:pStyle w:val="null3"/>
            </w:pPr>
            <w:r>
              <w:rPr/>
              <w:t>技术部分45.0分</w:t>
            </w:r>
          </w:p>
          <w:p>
            <w:pPr>
              <w:pStyle w:val="null3"/>
            </w:pPr>
            <w:r>
              <w:rPr/>
              <w:t>综合信用分5.0分</w:t>
            </w:r>
          </w:p>
          <w:p>
            <w:pPr>
              <w:pStyle w:val="null3"/>
            </w:pPr>
            <w:r>
              <w:rPr/>
              <w:t>报价得分20.0分</w:t>
            </w:r>
          </w:p>
        </w:tc>
      </w:tr>
      <w:tr>
        <w:tc>
          <w:tcPr>
            <w:tcW w:type="dxa" w:w="922"/>
            <w:gridSpan w:val="2"/>
            <w:vMerge w:val="restart"/>
          </w:tcPr>
          <w:p>
            <w:pPr>
              <w:pStyle w:val="null3"/>
              <w:jc w:val="center"/>
            </w:pPr>
            <w:r>
              <w:rPr/>
              <w:t>技术部分</w:t>
            </w:r>
          </w:p>
        </w:tc>
        <w:tc>
          <w:tcPr>
            <w:tcW w:type="dxa" w:w="2307"/>
          </w:tcPr>
          <w:p>
            <w:pPr>
              <w:pStyle w:val="null3"/>
              <w:jc w:val="left"/>
            </w:pPr>
            <w:r>
              <w:rPr/>
              <w:t>项目总体方案 (8.0分)</w:t>
            </w:r>
          </w:p>
        </w:tc>
        <w:tc>
          <w:tcPr>
            <w:tcW w:type="dxa" w:w="5076"/>
          </w:tcPr>
          <w:p>
            <w:pPr>
              <w:pStyle w:val="null3"/>
              <w:jc w:val="left"/>
            </w:pPr>
            <w:r>
              <w:rPr/>
              <w:t>对投标人针对本项目的项目总体方案进行评审，方案内容包括但不限于①对项目需求重点难点分析及合理化建议、②对《井盖设施技术规范》（DB4401/T215-2023，下称《规范》）的熟悉程度、③具体实施方案等： 1.投标文件包含上述三项内容的得3分，包含上述两项内容的得2分，包含上述一项内容的得1分，其他情况或未提供不得分； 2.对本项目的需求理解到位，对项目的重点难点把握准确到位，提出的建议科学、合理，有利于本项目的实施，服务流程具体详细，对《规范》理解准确、思路清晰，实施方案符合采购需求的要求，得5分；对本项目的需求理解比较到位，对项目的重点难点把握比较准确，提出的建议基本科学、合理，有利于本项目的实施，服务流程具体，对《规范》理解比较准确、思路比较清晰，实施方案基本符合采购需求的要求，得3分；对本项目的需求理解基本到位，对项目的重点难点把握基本准确，提出的建议具有一定的科学合理性，一定程度上有利于本项目的实施，服务流程具体，对《规范》理解基本准确、思路基本清晰，实施方案部分符合采购需求的要求，得2分；有提供总体服务方案，但对本项目的需求理解不到位，对项目的重点难点把握不准确，提出的建议缺乏科学合理性，服务流程简略，对《规范》理解不够准确、思路模糊，实施方案脱离采购需求的要求，得1分；未提供相关内容不得分。</w:t>
            </w:r>
          </w:p>
        </w:tc>
      </w:tr>
      <w:tr>
        <w:tc>
          <w:tcPr>
            <w:tcW w:type="dxa" w:w="922"/>
            <w:gridSpan w:val="2"/>
            <w:vMerge/>
          </w:tcPr>
          <w:p/>
        </w:tc>
        <w:tc>
          <w:tcPr>
            <w:tcW w:type="dxa" w:w="2307"/>
          </w:tcPr>
          <w:p>
            <w:pPr>
              <w:pStyle w:val="null3"/>
              <w:jc w:val="left"/>
            </w:pPr>
            <w:r>
              <w:rPr/>
              <w:t>项目质量保障方案 (7.0分)</w:t>
            </w:r>
          </w:p>
        </w:tc>
        <w:tc>
          <w:tcPr>
            <w:tcW w:type="dxa" w:w="5076"/>
          </w:tcPr>
          <w:p>
            <w:pPr>
              <w:pStyle w:val="null3"/>
              <w:jc w:val="left"/>
            </w:pPr>
            <w:r>
              <w:rPr/>
              <w:t>对投标人的项目质量保障方案进行评审，包括但不限于①内部管理、②服务意识、③质量保障体系及④组织措施等： 1.投标文件包含上述四项内容的得4分，包含上述三项内容的得3分，包含上述两项内容的得2分，包含上述一项内容的得1分，其他情况或未提供不得分； 2.具备信息化管理软件工具辅助实施，内部管理科学合理、服务意识到位、质量保障体系及组织措施齐全详尽，具备可操作性，符合采购需求的要求，得3分；内部管理基本合理、服务意识基本到位、质量保障体系及组织措施较详尽，具备可操作性，基本符合采购需求的要求，得2分；有提供项目质量保障方案，但内部管理缺乏合理性，欠缺服务意识，质量保障体系及组织措施简略，缺乏可操作性，得1分；未提供相关内容不得分。</w:t>
            </w:r>
          </w:p>
        </w:tc>
      </w:tr>
      <w:tr>
        <w:tc>
          <w:tcPr>
            <w:tcW w:type="dxa" w:w="922"/>
            <w:gridSpan w:val="2"/>
            <w:vMerge/>
          </w:tcPr>
          <w:p/>
        </w:tc>
        <w:tc>
          <w:tcPr>
            <w:tcW w:type="dxa" w:w="2307"/>
          </w:tcPr>
          <w:p>
            <w:pPr>
              <w:pStyle w:val="null3"/>
              <w:jc w:val="left"/>
            </w:pPr>
            <w:r>
              <w:rPr/>
              <w:t>进度控制方案 (7.0分)</w:t>
            </w:r>
          </w:p>
        </w:tc>
        <w:tc>
          <w:tcPr>
            <w:tcW w:type="dxa" w:w="5076"/>
          </w:tcPr>
          <w:p>
            <w:pPr>
              <w:pStyle w:val="null3"/>
              <w:jc w:val="left"/>
            </w:pPr>
            <w:r>
              <w:rPr/>
              <w:t>对投标人的抽查进度控制方案进行评审，包括但不限于①工作进度方案、②时间安排、③各环节规划等： 1.投标文件包含上述三项内容的得3分，包含上述两项内容的得2分，包含上述一项内容的得1分，其他情况或未提供不得分； 2.工作进度方案、时间安排科学合理，各环节规划细致，具备可操作性，符合采购需求的要求，得4分；工作进度方案、时间安排基本合理，各环节规划具体，具备可操作性，基本符合采购需求的要求，得3分；工作进度方案、时间安排基本合理，各环节规划具体，有一定的可操作性，部分符合采购需求的要求，得2分；有进度控制方案，但工作进度方案、时间安排缺乏合理性，各环节规划简略，缺乏可操作性，得1分；未提供相关内容不得分。</w:t>
            </w:r>
          </w:p>
        </w:tc>
      </w:tr>
      <w:tr>
        <w:tc>
          <w:tcPr>
            <w:tcW w:type="dxa" w:w="922"/>
            <w:gridSpan w:val="2"/>
            <w:vMerge/>
          </w:tcPr>
          <w:p/>
        </w:tc>
        <w:tc>
          <w:tcPr>
            <w:tcW w:type="dxa" w:w="2307"/>
          </w:tcPr>
          <w:p>
            <w:pPr>
              <w:pStyle w:val="null3"/>
              <w:jc w:val="left"/>
            </w:pPr>
            <w:r>
              <w:rPr/>
              <w:t>安全管理制度 (6.0分)</w:t>
            </w:r>
          </w:p>
        </w:tc>
        <w:tc>
          <w:tcPr>
            <w:tcW w:type="dxa" w:w="5076"/>
          </w:tcPr>
          <w:p>
            <w:pPr>
              <w:pStyle w:val="null3"/>
              <w:jc w:val="left"/>
            </w:pPr>
            <w:r>
              <w:rPr/>
              <w:t>根据投标人提供的安全管理制度（包括但不限于①如何避免伤亡事故或②群伤事故等）进行评审： 1.投标文件包含上述两项内容的得2分，包含上述一项内容的得1分，其他情况或未提供不得分； 2.安全管理制度科学合理，具备针对性及可操作性，符合本项目采购需求要求，得4分；安全管理制度基本科学合理，具备针对性及可操作性，基本符合本项目采购需求要求，得3分； 安全管理制度具备一定的科学合理性、针对性、可操作性，部分符合本项目采购需求要求，得2分；有安全管理制度，但缺乏科学合理性，针对性及可操作性欠缺，脱离本项目采购需求要求，得1分；未提供相关内容不得分。</w:t>
            </w:r>
          </w:p>
        </w:tc>
      </w:tr>
      <w:tr>
        <w:tc>
          <w:tcPr>
            <w:tcW w:type="dxa" w:w="922"/>
            <w:gridSpan w:val="2"/>
            <w:vMerge/>
          </w:tcPr>
          <w:p/>
        </w:tc>
        <w:tc>
          <w:tcPr>
            <w:tcW w:type="dxa" w:w="2307"/>
          </w:tcPr>
          <w:p>
            <w:pPr>
              <w:pStyle w:val="null3"/>
              <w:jc w:val="left"/>
            </w:pPr>
            <w:r>
              <w:rPr/>
              <w:t>应急处置和应急演练方案 (7.0分)</w:t>
            </w:r>
          </w:p>
        </w:tc>
        <w:tc>
          <w:tcPr>
            <w:tcW w:type="dxa" w:w="5076"/>
          </w:tcPr>
          <w:p>
            <w:pPr>
              <w:pStyle w:val="null3"/>
              <w:jc w:val="left"/>
            </w:pPr>
            <w:r>
              <w:rPr/>
              <w:t>根据投标人提供的应急处置和应急演练方案（内容至少包含①制订完善的应急处置方案；②应急演练方案；③有重大节日、重大（重要）活动、汛期、暴雨预警信号发布时应急值守及相关道路应急巡查工作的方案等）进行评审： 1.投标文件包含上述三项内容的得3分，包含上述两项内容的得2分，包含上述一项内容的得1分，其他情况或未提供不得分； 2.制订了完善的应急方案，以应对突发事件，做好安全生产突发事故预案，做好重大节日、重大（重要）活动、汛期、暴雨预警信号发布时应急值守及相关道路应急巡查工作的应急措施，预案合理，能完全满足项目运营要求得4分；制订了比较完善的应急方案，以应对突发事件，做好重大节日、重大（重要）活动、汛期、暴雨预警信号发布时应急值守及相关道路应急巡查工作的应急措施，预案比较合理，基本能满足项目运营要求得2分；制订了不太完善的应急方案，有安全生产突发事故预案和应急措施，预案不太合理，不太能满足项目运营要求得1分；未提供相关内容不得分。</w:t>
            </w:r>
          </w:p>
        </w:tc>
      </w:tr>
      <w:tr>
        <w:tc>
          <w:tcPr>
            <w:tcW w:type="dxa" w:w="922"/>
            <w:gridSpan w:val="2"/>
            <w:vMerge/>
          </w:tcPr>
          <w:p/>
        </w:tc>
        <w:tc>
          <w:tcPr>
            <w:tcW w:type="dxa" w:w="2307"/>
          </w:tcPr>
          <w:p>
            <w:pPr>
              <w:pStyle w:val="null3"/>
              <w:jc w:val="left"/>
            </w:pPr>
            <w:r>
              <w:rPr/>
              <w:t>现场演示 (10.0分)</w:t>
            </w:r>
          </w:p>
        </w:tc>
        <w:tc>
          <w:tcPr>
            <w:tcW w:type="dxa" w:w="5076"/>
          </w:tcPr>
          <w:p>
            <w:pPr>
              <w:pStyle w:val="null3"/>
              <w:jc w:val="left"/>
            </w:pPr>
            <w:r>
              <w:rPr/>
              <w:t>据投标人现场展示井盖抽查信息化技术及定位精度能力进行评审： 1.可通过信息化技术实现井盖抽查全过程监督，实现整改闭环跟踪： ①应提供知识产权证明文件（如软件著作权登记证书等），如为租赁或合作方式获得，还需提供租赁或合作证明文件。按要求提供满足功能要求材料得2分； ②投标人现场演示具备实现井盖抽查全过程监督的信息化技术，得2分；不演示或无法达到要求不得分。 2.可通过信息化技术进行井盖抽查情况实时档案管理： ①应提供知识产权证明文件（如软件著作权登记证书等），如为租赁或合作方式获得，还需提供租赁或合作证明文件。按要求提供满足功能要求材料得1分； ②投标人现场演示具备实现井盖抽查情况实时档案管理的信息化技术，得2分；不演示或无法达到要求不得分。 3.具有可满足井盖定位精度的仪器，并与井盖抽查信息化技术适配，可在保障数据精度的同时，有效提高井盖抽查效率： ①应提供有效期内井盖定位精度仪器的检定证书扫描件，检定日期应在本项目投标截止时间之前。按要求提供证书得1分； ②投标人现场展示井盖定位精度仪器，并演示定位精度仪器可与井盖抽查信息化技术适配，同时演示其工作过程。演示满足以上要求得2分，不演示或无法达到要求不得分。 注： 1.以上第1、2项可采用多种形式演示，如系统现场演示、PPT功能演示等，请投标人自行准备演示所需材料或特定设备。第3项自行准备井盖定位精度仪器。演示现场提供投影仪、电源。 2.以上3项现场演示总时长不超过15分钟。 3.演示集合时间、地点详见本项目招标公告。 4.投标人应对以上材料及演示内容真实性负责，如合同签订阶段采购人发现中标供应商提供虚假材料或承诺谋取中标的，采购人可把相关情况报监管部门，并追究其相关法律责任。</w:t>
            </w:r>
          </w:p>
        </w:tc>
      </w:tr>
      <w:tr>
        <w:tc>
          <w:tcPr>
            <w:tcW w:type="dxa" w:w="922"/>
            <w:gridSpan w:val="2"/>
            <w:vMerge w:val="restart"/>
          </w:tcPr>
          <w:p>
            <w:pPr>
              <w:pStyle w:val="null3"/>
              <w:jc w:val="center"/>
            </w:pPr>
            <w:r>
              <w:rPr/>
              <w:t>商务部分</w:t>
            </w:r>
          </w:p>
        </w:tc>
        <w:tc>
          <w:tcPr>
            <w:tcW w:type="dxa" w:w="2307"/>
          </w:tcPr>
          <w:p>
            <w:pPr>
              <w:pStyle w:val="null3"/>
              <w:jc w:val="left"/>
            </w:pPr>
            <w:r>
              <w:rPr/>
              <w:t>同类项目业绩 (6.0分)</w:t>
            </w:r>
          </w:p>
        </w:tc>
        <w:tc>
          <w:tcPr>
            <w:tcW w:type="dxa" w:w="5076"/>
          </w:tcPr>
          <w:p>
            <w:pPr>
              <w:pStyle w:val="null3"/>
              <w:jc w:val="left"/>
            </w:pPr>
            <w:r>
              <w:rPr/>
              <w:t>2023年1月1日以来（以签订合同时间为准），承担过同类项目业绩的，每提供1个得2分，最高得6分。 注：需提供合同关键页（含合同项目名称、项目内容、签订合同双方的落款盖章、签订时间等关键页）并加盖公章，不提供不得分。</w:t>
            </w:r>
          </w:p>
        </w:tc>
      </w:tr>
      <w:tr>
        <w:tc>
          <w:tcPr>
            <w:tcW w:type="dxa" w:w="922"/>
            <w:gridSpan w:val="2"/>
            <w:vMerge/>
          </w:tcPr>
          <w:p/>
        </w:tc>
        <w:tc>
          <w:tcPr>
            <w:tcW w:type="dxa" w:w="2307"/>
          </w:tcPr>
          <w:p>
            <w:pPr>
              <w:pStyle w:val="null3"/>
              <w:jc w:val="left"/>
            </w:pPr>
            <w:r>
              <w:rPr/>
              <w:t>体系认证 (6.0分)</w:t>
            </w:r>
          </w:p>
        </w:tc>
        <w:tc>
          <w:tcPr>
            <w:tcW w:type="dxa" w:w="5076"/>
          </w:tcPr>
          <w:p>
            <w:pPr>
              <w:pStyle w:val="null3"/>
              <w:jc w:val="left"/>
            </w:pPr>
            <w:r>
              <w:rPr/>
              <w:t>投标人具有质量管理体系认证，职业健康安全管理体系认证，环境管理体系认证的，每提供一项得2分，不提供不得分，本项最高得6分。 注：1.需提供证书扫描件及在全国认证认可信息公共服务平台（http://cx.cnca.cn）查询结果的截图，证书状态必须为“有效”。 2.如投标人成立时间不足3个月的，则此项按满分进行计算，需提供营业执照作为证明材料，不提供不得分。</w:t>
            </w:r>
          </w:p>
        </w:tc>
      </w:tr>
      <w:tr>
        <w:tc>
          <w:tcPr>
            <w:tcW w:type="dxa" w:w="922"/>
            <w:gridSpan w:val="2"/>
            <w:vMerge/>
          </w:tcPr>
          <w:p/>
        </w:tc>
        <w:tc>
          <w:tcPr>
            <w:tcW w:type="dxa" w:w="2307"/>
          </w:tcPr>
          <w:p>
            <w:pPr>
              <w:pStyle w:val="null3"/>
              <w:jc w:val="left"/>
            </w:pPr>
            <w:r>
              <w:rPr/>
              <w:t>拟投入本项目的项目负责人情况 (9.0分)</w:t>
            </w:r>
          </w:p>
        </w:tc>
        <w:tc>
          <w:tcPr>
            <w:tcW w:type="dxa" w:w="5076"/>
          </w:tcPr>
          <w:p>
            <w:pPr>
              <w:pStyle w:val="null3"/>
              <w:jc w:val="left"/>
            </w:pPr>
            <w:r>
              <w:rPr/>
              <w:t>根据投标人拟投入本项目的项目负责人情况进行评分： 1.拟派的项目负责人具有市政专业或与项目相关专业的高级工程师职称的得4分。 2.具有给水排水专业或与项目相关专业的注册公用设备工程师资格证书的得5分。 本项最高得9分。 注：需同时提供人员证书复印件并加盖公章及在投标截止前六个月中任意一个月在投标人购买的社保证明材料复印件并加盖投标人公章，否则不得分。</w:t>
            </w:r>
          </w:p>
        </w:tc>
      </w:tr>
      <w:tr>
        <w:tc>
          <w:tcPr>
            <w:tcW w:type="dxa" w:w="922"/>
            <w:gridSpan w:val="2"/>
            <w:vMerge/>
          </w:tcPr>
          <w:p/>
        </w:tc>
        <w:tc>
          <w:tcPr>
            <w:tcW w:type="dxa" w:w="2307"/>
          </w:tcPr>
          <w:p>
            <w:pPr>
              <w:pStyle w:val="null3"/>
              <w:jc w:val="left"/>
            </w:pPr>
            <w:r>
              <w:rPr/>
              <w:t>综合能力情况 (6.0分)</w:t>
            </w:r>
          </w:p>
        </w:tc>
        <w:tc>
          <w:tcPr>
            <w:tcW w:type="dxa" w:w="5076"/>
          </w:tcPr>
          <w:p>
            <w:pPr>
              <w:pStyle w:val="null3"/>
              <w:jc w:val="left"/>
            </w:pPr>
            <w:r>
              <w:rPr/>
              <w:t>投标人综合能力情况： 投标人自有或租赁或承诺具有巡查作业车辆每辆得2分，本项最高得6分。 注： 1.自有车辆证明材料需同时具有车辆行驶证、有效期内的车辆保险单、购置发票及车辆实物图片，行驶证标识所有人及发票购买人须为投标人或投标人法定代表人，否则不得分。租赁车辆证明材料需同时提供租赁证明、车辆行驶证、有效期内的车辆保险单、车辆所有人购置发票及车辆实物图片，行驶证标识所有人及发票购买人须为车辆出租方，否则不得分。承诺车辆证明材料需提供承诺函，承诺函格式自拟。 2.上述所有材料提供复印件加盖投标人公章。</w:t>
            </w:r>
          </w:p>
        </w:tc>
      </w:tr>
      <w:tr>
        <w:tc>
          <w:tcPr>
            <w:tcW w:type="dxa" w:w="922"/>
            <w:gridSpan w:val="2"/>
            <w:vMerge/>
          </w:tcPr>
          <w:p/>
        </w:tc>
        <w:tc>
          <w:tcPr>
            <w:tcW w:type="dxa" w:w="2307"/>
          </w:tcPr>
          <w:p>
            <w:pPr>
              <w:pStyle w:val="null3"/>
              <w:jc w:val="left"/>
            </w:pPr>
            <w:r>
              <w:rPr/>
              <w:t>服务响应及履约效率情况 (3.0分)</w:t>
            </w:r>
          </w:p>
        </w:tc>
        <w:tc>
          <w:tcPr>
            <w:tcW w:type="dxa" w:w="5076"/>
          </w:tcPr>
          <w:p>
            <w:pPr>
              <w:pStyle w:val="null3"/>
              <w:jc w:val="left"/>
            </w:pPr>
            <w:r>
              <w:rPr/>
              <w:t>投标人服务响应时间： 1.收到采购人通知（电话或书面）后2小时（含）内响应，得3分； 2.收到采购人通知（电话或书面）后超过2小时至4小时（含）内响应，得2分； 3.收到采购人通知（电话或书面）后超过4小时响应，得1分； 4.不提供承诺得0分。 注：需提供服务响应承诺函（承诺函格式自拟）作为评审依据，如合同履行过程中，采购人发现中标供应商提供虚假承诺谋取中标的，采购人可把相关情况报监管部门，并追究其相关法律责任。</w:t>
            </w:r>
          </w:p>
        </w:tc>
      </w:tr>
      <w:tr>
        <w:tc>
          <w:tcPr>
            <w:tcW w:type="dxa" w:w="922"/>
            <w:gridSpan w:val="2"/>
          </w:tcPr>
          <w:p>
            <w:pPr>
              <w:pStyle w:val="null3"/>
              <w:jc w:val="center"/>
            </w:pPr>
            <w:r>
              <w:rPr/>
              <w:t>异常低价审查</w:t>
            </w:r>
          </w:p>
        </w:tc>
        <w:tc>
          <w:tcPr>
            <w:tcW w:type="dxa" w:w="2307"/>
          </w:tcPr>
          <w:p>
            <w:pPr>
              <w:pStyle w:val="null3"/>
              <w:jc w:val="left"/>
            </w:pPr>
            <w:r>
              <w:rPr/>
              <w:t>异常低价审查</w:t>
            </w:r>
          </w:p>
        </w:tc>
        <w:tc>
          <w:tcPr>
            <w:tcW w:type="dxa" w:w="5076"/>
          </w:tcPr>
          <w:p>
            <w:pPr>
              <w:pStyle w:val="null3"/>
              <w:jc w:val="left"/>
            </w:pPr>
            <w:r>
              <w:rPr/>
              <w:t>根据《关于推动解决政府采购异常低价问题的通知》（财库〔2026〕2号）等相关规定，政府采购评审中出现下列情形之一的，评审委员会应当启动异常低价投标（响应）审查程序： （1）投标（响应）报价低于全部通过符合性审查供应商投标（响应）报价平均值50%的，即投标（响应）报价&lt;全部通过符合性审查供应商投标（响应）报价平均值×50%。 （2）投标（响应）报价低于通过符合性审查且报价次低供应商投标（响应）报价50%的，即投标（响应）报价&lt;通过符合性审查且报价次低供应商投标（响应）报价×50%。 （3）投标（响应）报价低于最高限价45%的，即投标（响应）报价&lt;最高限价×45%。 （4）其他评审委员会认为供应商报价过低，有可能影响产品质量或者不能诚信履约的情形。 评审委员会启动异常低价投标（响应）审查后，应当要求相关供应商在评审现场合理的时间内提供书面说明及必要的证明材料，对投标（响应）价格作出解释。</w:t>
            </w:r>
          </w:p>
        </w:tc>
      </w:tr>
      <w:tr>
        <w:tc>
          <w:tcPr>
            <w:tcW w:type="dxa" w:w="922"/>
            <w:gridSpan w:val="2"/>
          </w:tcPr>
          <w:p>
            <w:pPr>
              <w:pStyle w:val="null3"/>
              <w:jc w:val="center"/>
            </w:pPr>
            <w:r>
              <w:rPr/>
              <w:t>投标报价</w:t>
            </w:r>
          </w:p>
        </w:tc>
        <w:tc>
          <w:tcPr>
            <w:tcW w:type="dxa" w:w="2307"/>
          </w:tcPr>
          <w:p>
            <w:pPr>
              <w:pStyle w:val="null3"/>
              <w:jc w:val="left"/>
            </w:pPr>
            <w:r>
              <w:rPr/>
              <w:t>投标报价得分 (20.0分)</w:t>
            </w:r>
          </w:p>
        </w:tc>
        <w:tc>
          <w:tcPr>
            <w:tcW w:type="dxa" w:w="5076"/>
          </w:tcPr>
          <w:p>
            <w:pPr>
              <w:pStyle w:val="null3"/>
              <w:jc w:val="left"/>
            </w:pPr>
            <w:r>
              <w:rPr/>
              <w:t>投标报价得分＝（评标基准价/投标报价）×价格分值【注：满足招标文件要求且投标价格最低的投标报价为评标基准价。】最低报价不是中标的唯一依据。因落实政府采购政策进行价格调整的，以调整后的价格计算评标基准价和投标报价。</w:t>
            </w:r>
          </w:p>
        </w:tc>
      </w:tr>
      <w:tr>
        <w:tc>
          <w:tcPr>
            <w:tcW w:type="dxa" w:w="922"/>
            <w:gridSpan w:val="2"/>
          </w:tcPr>
          <w:p>
            <w:pPr>
              <w:pStyle w:val="null3"/>
              <w:jc w:val="center"/>
            </w:pPr>
            <w:r>
              <w:rPr/>
              <w:t>综合信用分</w:t>
            </w:r>
          </w:p>
        </w:tc>
        <w:tc>
          <w:tcPr>
            <w:tcW w:type="dxa" w:w="2307"/>
          </w:tcPr>
          <w:p>
            <w:pPr>
              <w:pStyle w:val="null3"/>
              <w:jc w:val="left"/>
            </w:pPr>
            <w:r>
              <w:rPr/>
              <w:t>综合信用评价 (5.0分)</w:t>
            </w:r>
          </w:p>
        </w:tc>
        <w:tc>
          <w:tcPr>
            <w:tcW w:type="dxa" w:w="5076"/>
          </w:tcPr>
          <w:p>
            <w:pPr>
              <w:pStyle w:val="null3"/>
              <w:jc w:val="left"/>
            </w:pPr>
            <w:r>
              <w:rPr/>
              <w:t>综合信用评价得分=综合信用评价得分(属于商务部分的一部分)=投标人的广州公共资源交易信用评价（政府采购供应商信用评价分）×5%。 投标人的信用评价分以开标当天广州交易集团有限公司网站公布的分值为准（通过“广州交易集团有限公司网站-信用信息-广州公共资源交易信用平台3.0” 进行核实，未能在网站查询到供应商信用评价分的，以当天信用评价基准分计算）。供应商为联合体的，以牵头方信用评价分计算。</w:t>
            </w:r>
          </w:p>
        </w:tc>
      </w:tr>
    </w:tbl>
    <w:p>
      <w:pPr>
        <w:pStyle w:val="null3"/>
        <w:outlineLvl w:val="3"/>
      </w:pPr>
      <w:r>
        <w:rPr>
          <w:sz w:val="24"/>
          <w:b/>
        </w:rPr>
        <w:t>4.汇总、排序</w:t>
      </w:r>
    </w:p>
    <w:p>
      <w:pPr>
        <w:pStyle w:val="null3"/>
      </w:pPr>
      <w:r>
        <w:rPr/>
        <w:t>采购包1：</w:t>
      </w:r>
    </w:p>
    <w:p>
      <w:pPr>
        <w:pStyle w:val="null3"/>
      </w:pPr>
      <w:r>
        <w:rPr/>
        <w:t>评标结果按评审后总得分由高到低顺序排列。总得分相同的按投标报价由低到高顺序排列。得分且投标报价相同的，由评委会采取随机抽取的方式确定。排名第一的投标供应商为第一中标候选人，排名第二的投标供应商为第二中标候选人（提供相同品牌产品（非单一产品采购，以核心产品为准。多个核心产品的，有一种产品品牌相同，即视为提供相同品牌产品），评审后得分最高的同品牌投标人获得中标人推荐资格；评审得分相同的，由采购人或者采购人委托评标委员会采取随机抽取方式确定，其他同品牌投标人不作为中标候选人）。</w:t>
      </w:r>
    </w:p>
    <w:p>
      <w:pPr>
        <w:pStyle w:val="null3"/>
        <w:outlineLvl w:val="3"/>
      </w:pPr>
      <w:r>
        <w:rPr>
          <w:sz w:val="24"/>
          <w:b/>
        </w:rPr>
        <w:t>5.中标价的确定</w:t>
      </w:r>
    </w:p>
    <w:p>
      <w:pPr>
        <w:pStyle w:val="null3"/>
        <w:ind w:firstLine="480"/>
      </w:pPr>
      <w:r>
        <w:rPr/>
        <w:t>除了按第四章第一点第7条修正并经投标人确认的投标报价作为中标价外，中标价以开标时公开唱标价为准。</w:t>
      </w:r>
    </w:p>
    <w:p>
      <w:pPr>
        <w:pStyle w:val="null3"/>
        <w:outlineLvl w:val="3"/>
      </w:pPr>
      <w:r>
        <w:rPr>
          <w:sz w:val="24"/>
          <w:b/>
        </w:rPr>
        <w:t>6.其他无效投标的情形：</w:t>
      </w:r>
    </w:p>
    <w:p>
      <w:pPr>
        <w:pStyle w:val="null3"/>
        <w:ind w:firstLine="480"/>
      </w:pPr>
      <w:r>
        <w:rPr/>
        <w:t>(1)评标期间，投标人没有按评标委员会的要求提交法定代表人或其委托代理人签字的澄清、说明、补正或改变了投标文件的实质性内容的。</w:t>
      </w:r>
    </w:p>
    <w:p>
      <w:pPr>
        <w:pStyle w:val="null3"/>
        <w:ind w:firstLine="480"/>
      </w:pPr>
      <w:r>
        <w:rPr/>
        <w:t>(2)投标文件提供虚假材料的。</w:t>
      </w:r>
    </w:p>
    <w:p>
      <w:pPr>
        <w:pStyle w:val="null3"/>
        <w:ind w:firstLine="480"/>
      </w:pPr>
      <w:r>
        <w:rPr/>
        <w:t>(3)投标人以他人名义投标、串通投标、以行贿手段谋取中标或者以其他弄虚作假方式投标的。</w:t>
      </w:r>
    </w:p>
    <w:p>
      <w:pPr>
        <w:pStyle w:val="null3"/>
        <w:ind w:firstLine="480"/>
      </w:pPr>
      <w:r>
        <w:rPr/>
        <w:t>(4)投标人对采购人、采购代理机构、评标委员会及其工作人员施加影响，有碍招标公平、公正的。</w:t>
      </w:r>
    </w:p>
    <w:p>
      <w:pPr>
        <w:pStyle w:val="null3"/>
        <w:ind w:firstLine="480"/>
      </w:pPr>
      <w:r>
        <w:rPr/>
        <w:t>(5)投标文件含有采购人不能接受的附加条件的。</w:t>
      </w:r>
    </w:p>
    <w:p>
      <w:pPr>
        <w:pStyle w:val="null3"/>
        <w:ind w:firstLine="480"/>
      </w:pPr>
      <w:r>
        <w:rPr/>
        <w:t>(6)法律、法规和招标文件规定的其他无效情形。</w:t>
      </w:r>
    </w:p>
    <w:p>
      <w:pPr>
        <w:pStyle w:val="null3"/>
      </w:pPr>
      <w:r>
        <w:rPr/>
        <w:t xml:space="preserve">  </w:t>
      </w:r>
    </w:p>
    <w:p>
      <w:pPr>
        <w:pStyle w:val="null3"/>
        <w:jc w:val="center"/>
        <w:outlineLvl w:val="1"/>
      </w:pPr>
      <w:r>
        <w:rPr>
          <w:sz w:val="36"/>
          <w:b/>
        </w:rPr>
        <w:t>第五章 合同文本</w:t>
      </w:r>
    </w:p>
    <w:p>
      <w:pPr>
        <w:pStyle w:val="null3"/>
      </w:pPr>
      <w:r>
        <w:rPr>
          <w:b/>
        </w:rPr>
        <w:t xml:space="preserve"> </w:t>
      </w:r>
    </w:p>
    <w:p>
      <w:pPr>
        <w:pStyle w:val="null3"/>
        <w:spacing w:before="0" w:after="0"/>
        <w:ind w:left="0" w:right="0"/>
        <w:jc w:val="center"/>
      </w:pPr>
      <w:r>
        <w:rPr>
          <w:b/>
        </w:rPr>
        <w:t xml:space="preserve"> </w:t>
      </w:r>
    </w:p>
    <w:p>
      <w:pPr>
        <w:pStyle w:val="null3"/>
      </w:pPr>
      <w:r>
        <w:rPr>
          <w:sz w:val="52"/>
          <w:b/>
          <w:u w:val="single"/>
        </w:rPr>
        <w:t>广州市城市管理和综合执法局</w:t>
      </w:r>
    </w:p>
    <w:p>
      <w:pPr>
        <w:pStyle w:val="null3"/>
        <w:ind w:left="-210" w:right="-210"/>
        <w:jc w:val="center"/>
      </w:pPr>
      <w:r>
        <w:rPr>
          <w:sz w:val="52"/>
          <w:b/>
        </w:rPr>
        <w:t>采购合同书</w:t>
      </w:r>
    </w:p>
    <w:p>
      <w:pPr>
        <w:pStyle w:val="null3"/>
        <w:jc w:val="center"/>
      </w:pPr>
      <w:r>
        <w:rPr>
          <w:sz w:val="28"/>
          <w:b/>
        </w:rPr>
        <w:t>(</w:t>
      </w:r>
      <w:r>
        <w:rPr>
          <w:sz w:val="28"/>
          <w:b/>
        </w:rPr>
        <w:t>注：本合同条款仅供参考，最终以甲方提供的样本并经甲乙双方协商一致的合同为准。</w:t>
      </w:r>
      <w:r>
        <w:rPr>
          <w:sz w:val="28"/>
          <w:b/>
        </w:rPr>
        <w:t>)</w:t>
      </w:r>
    </w:p>
    <w:p>
      <w:pPr>
        <w:pStyle w:val="null3"/>
        <w:jc w:val="center"/>
      </w:pPr>
      <w:r>
        <w:rPr>
          <w:sz w:val="32"/>
          <w:b/>
        </w:rPr>
        <w:t>合同编号：</w:t>
      </w:r>
    </w:p>
    <w:p>
      <w:pPr>
        <w:pStyle w:val="null3"/>
        <w:ind w:firstLine="1619"/>
        <w:jc w:val="left"/>
      </w:pPr>
      <w:r>
        <w:rPr>
          <w:sz w:val="32"/>
          <w:b/>
        </w:rPr>
        <w:t>项目编号：</w:t>
      </w:r>
    </w:p>
    <w:p>
      <w:pPr>
        <w:pStyle w:val="null3"/>
        <w:ind w:firstLine="1619"/>
        <w:jc w:val="left"/>
      </w:pPr>
      <w:r>
        <w:rPr>
          <w:sz w:val="32"/>
          <w:b/>
        </w:rPr>
        <w:t>项目名称：</w:t>
      </w:r>
    </w:p>
    <w:p>
      <w:pPr>
        <w:pStyle w:val="null3"/>
        <w:jc w:val="both"/>
      </w:pPr>
      <w:r>
        <w:rPr>
          <w:sz w:val="21"/>
          <w:b/>
        </w:rPr>
        <w:t>甲方：广州市城市管理和综合执法局</w:t>
      </w:r>
    </w:p>
    <w:p>
      <w:pPr>
        <w:pStyle w:val="null3"/>
      </w:pPr>
      <w:r>
        <w:rPr/>
        <w:t xml:space="preserve"> </w:t>
      </w:r>
    </w:p>
    <w:p>
      <w:pPr>
        <w:pStyle w:val="null3"/>
        <w:ind w:right="-255"/>
        <w:jc w:val="both"/>
      </w:pPr>
      <w:r>
        <w:rPr>
          <w:sz w:val="21"/>
        </w:rPr>
        <w:t>法定代表人：</w:t>
      </w:r>
    </w:p>
    <w:p>
      <w:pPr>
        <w:pStyle w:val="null3"/>
        <w:ind w:right="-255"/>
        <w:jc w:val="both"/>
      </w:pPr>
      <w:r>
        <w:rPr>
          <w:sz w:val="21"/>
        </w:rPr>
        <w:t>地址：</w:t>
      </w:r>
    </w:p>
    <w:p>
      <w:pPr>
        <w:pStyle w:val="null3"/>
        <w:ind w:right="-255"/>
        <w:jc w:val="both"/>
      </w:pPr>
      <w:r>
        <w:rPr>
          <w:sz w:val="21"/>
        </w:rPr>
        <w:t>项目联系人：</w:t>
      </w:r>
    </w:p>
    <w:p>
      <w:pPr>
        <w:pStyle w:val="null3"/>
        <w:ind w:right="-255"/>
        <w:jc w:val="both"/>
      </w:pPr>
      <w:r>
        <w:rPr>
          <w:sz w:val="21"/>
        </w:rPr>
        <w:t>联系人电话：</w:t>
      </w:r>
    </w:p>
    <w:p>
      <w:pPr>
        <w:pStyle w:val="null3"/>
        <w:ind w:right="-255" w:firstLine="420"/>
        <w:jc w:val="both"/>
      </w:pPr>
      <w:r>
        <w:rPr/>
        <w:t xml:space="preserve"> </w:t>
      </w:r>
    </w:p>
    <w:p>
      <w:pPr>
        <w:pStyle w:val="null3"/>
        <w:ind w:right="-255"/>
        <w:jc w:val="both"/>
      </w:pPr>
      <w:r>
        <w:rPr>
          <w:sz w:val="21"/>
          <w:b/>
        </w:rPr>
        <w:t>乙方：</w:t>
      </w:r>
    </w:p>
    <w:p>
      <w:pPr>
        <w:pStyle w:val="null3"/>
        <w:ind w:right="-255"/>
        <w:jc w:val="both"/>
      </w:pPr>
      <w:r>
        <w:rPr>
          <w:sz w:val="21"/>
        </w:rPr>
        <w:t>法定代表人：</w:t>
      </w:r>
    </w:p>
    <w:p>
      <w:pPr>
        <w:pStyle w:val="null3"/>
        <w:ind w:right="-255"/>
        <w:jc w:val="both"/>
      </w:pPr>
      <w:r>
        <w:rPr>
          <w:sz w:val="21"/>
        </w:rPr>
        <w:t>地址：</w:t>
      </w:r>
    </w:p>
    <w:p>
      <w:pPr>
        <w:pStyle w:val="null3"/>
        <w:ind w:right="-255"/>
        <w:jc w:val="both"/>
      </w:pPr>
      <w:r>
        <w:rPr>
          <w:sz w:val="21"/>
        </w:rPr>
        <w:t>项目联系人：</w:t>
      </w:r>
    </w:p>
    <w:p>
      <w:pPr>
        <w:pStyle w:val="null3"/>
        <w:ind w:right="-255"/>
        <w:jc w:val="both"/>
      </w:pPr>
      <w:r>
        <w:rPr>
          <w:sz w:val="21"/>
        </w:rPr>
        <w:t>联系人电话：</w:t>
      </w:r>
    </w:p>
    <w:p>
      <w:pPr>
        <w:pStyle w:val="null3"/>
        <w:jc w:val="both"/>
      </w:pPr>
      <w:r>
        <w:rPr>
          <w:sz w:val="21"/>
        </w:rPr>
        <w:t>按照《中华人民共和国民法典》和其他相关规定，经双方协商，本着平等互利和诚实信用的原则，一致同意签订本合同如下。</w:t>
      </w:r>
    </w:p>
    <w:p>
      <w:pPr>
        <w:pStyle w:val="null3"/>
        <w:ind w:right="-375" w:firstLine="482"/>
        <w:jc w:val="both"/>
      </w:pPr>
      <w:r>
        <w:rPr>
          <w:sz w:val="21"/>
          <w:b/>
        </w:rPr>
        <w:t>一、具体服务要求</w:t>
      </w:r>
    </w:p>
    <w:p>
      <w:pPr>
        <w:pStyle w:val="null3"/>
        <w:ind w:right="-375" w:firstLine="422"/>
        <w:jc w:val="both"/>
      </w:pPr>
      <w:r>
        <w:rPr>
          <w:sz w:val="21"/>
          <w:b/>
        </w:rPr>
        <w:t>1.1服务内容</w:t>
      </w:r>
    </w:p>
    <w:p>
      <w:pPr>
        <w:pStyle w:val="null3"/>
        <w:spacing w:after="120"/>
        <w:ind w:firstLine="420"/>
        <w:jc w:val="left"/>
      </w:pPr>
      <w:r>
        <w:rPr>
          <w:sz w:val="21"/>
        </w:rPr>
        <w:t>（一）负责对</w:t>
      </w:r>
      <w:r>
        <w:rPr>
          <w:sz w:val="21"/>
        </w:rPr>
        <w:t>全市各区</w:t>
      </w:r>
      <w:r>
        <w:rPr>
          <w:sz w:val="21"/>
        </w:rPr>
        <w:t>重点区域</w:t>
      </w:r>
      <w:r>
        <w:rPr>
          <w:sz w:val="21"/>
        </w:rPr>
        <w:t>井盖设施维护管理情况</w:t>
      </w:r>
      <w:r>
        <w:rPr>
          <w:sz w:val="21"/>
        </w:rPr>
        <w:t>按照甲方要求</w:t>
      </w:r>
      <w:r>
        <w:rPr>
          <w:sz w:val="21"/>
        </w:rPr>
        <w:t>进行</w:t>
      </w:r>
      <w:r>
        <w:rPr>
          <w:sz w:val="21"/>
        </w:rPr>
        <w:t>巡查（重点巡查区域及巡查频次要求详见</w:t>
      </w:r>
      <w:r>
        <w:rPr>
          <w:sz w:val="21"/>
        </w:rPr>
        <w:t>附件</w:t>
      </w:r>
      <w:r>
        <w:rPr>
          <w:sz w:val="21"/>
        </w:rPr>
        <w:t>1</w:t>
      </w:r>
      <w:r>
        <w:rPr>
          <w:sz w:val="21"/>
        </w:rPr>
        <w:t>《</w:t>
      </w:r>
      <w:r>
        <w:rPr>
          <w:sz w:val="21"/>
        </w:rPr>
        <w:t>广州市井盖设施重点</w:t>
      </w:r>
      <w:r>
        <w:rPr>
          <w:sz w:val="21"/>
        </w:rPr>
        <w:t>巡查</w:t>
      </w:r>
      <w:r>
        <w:rPr>
          <w:sz w:val="21"/>
        </w:rPr>
        <w:t>区域</w:t>
      </w:r>
      <w:r>
        <w:rPr>
          <w:sz w:val="21"/>
        </w:rPr>
        <w:t>》）</w:t>
      </w:r>
    </w:p>
    <w:p>
      <w:pPr>
        <w:pStyle w:val="null3"/>
        <w:spacing w:after="120"/>
        <w:ind w:firstLine="420"/>
        <w:jc w:val="left"/>
      </w:pPr>
      <w:r>
        <w:rPr>
          <w:sz w:val="21"/>
        </w:rPr>
        <w:t>（二）</w:t>
      </w:r>
      <w:r>
        <w:rPr>
          <w:sz w:val="21"/>
        </w:rPr>
        <w:t>负责对全市各区井盖设施维护管理情况进行抽查</w:t>
      </w:r>
      <w:r>
        <w:rPr>
          <w:sz w:val="21"/>
        </w:rPr>
        <w:t>（</w:t>
      </w:r>
      <w:r>
        <w:rPr>
          <w:sz w:val="21"/>
        </w:rPr>
        <w:t>抽查区域详见</w:t>
      </w:r>
      <w:r>
        <w:rPr>
          <w:sz w:val="21"/>
        </w:rPr>
        <w:t>附件</w:t>
      </w:r>
      <w:r>
        <w:rPr>
          <w:sz w:val="21"/>
        </w:rPr>
        <w:t>2</w:t>
      </w:r>
      <w:r>
        <w:rPr>
          <w:sz w:val="21"/>
        </w:rPr>
        <w:t>《</w:t>
      </w:r>
      <w:r>
        <w:rPr>
          <w:sz w:val="21"/>
        </w:rPr>
        <w:t>广州市井盖设施</w:t>
      </w:r>
      <w:r>
        <w:rPr>
          <w:sz w:val="21"/>
        </w:rPr>
        <w:t>新建档案区域</w:t>
      </w:r>
      <w:r>
        <w:rPr>
          <w:sz w:val="21"/>
        </w:rPr>
        <w:t>》</w:t>
      </w:r>
      <w:r>
        <w:rPr>
          <w:sz w:val="21"/>
        </w:rPr>
        <w:t>）</w:t>
      </w:r>
      <w:r>
        <w:rPr>
          <w:sz w:val="21"/>
        </w:rPr>
        <w:t>，</w:t>
      </w:r>
      <w:r>
        <w:rPr>
          <w:sz w:val="21"/>
        </w:rPr>
        <w:t>要求每月抽查范围覆盖全市各区，</w:t>
      </w:r>
      <w:r>
        <w:rPr>
          <w:sz w:val="21"/>
        </w:rPr>
        <w:t>对抽查井盖设施实施</w:t>
      </w:r>
      <w:r>
        <w:rPr>
          <w:sz w:val="21"/>
        </w:rPr>
        <w:t>“一井盖一编码”台账管理，数据格式应符合《</w:t>
      </w:r>
      <w:r>
        <w:rPr>
          <w:sz w:val="21"/>
        </w:rPr>
        <w:t>井盖设施</w:t>
      </w:r>
      <w:r>
        <w:rPr>
          <w:sz w:val="21"/>
        </w:rPr>
        <w:t>普查建档信息表》（附件</w:t>
      </w:r>
      <w:r>
        <w:rPr>
          <w:sz w:val="21"/>
        </w:rPr>
        <w:t>3</w:t>
      </w:r>
      <w:r>
        <w:rPr>
          <w:sz w:val="21"/>
        </w:rPr>
        <w:t>）要求。服务期内新增</w:t>
      </w:r>
      <w:r>
        <w:rPr>
          <w:sz w:val="21"/>
        </w:rPr>
        <w:t>抽查</w:t>
      </w:r>
      <w:r>
        <w:rPr>
          <w:sz w:val="21"/>
        </w:rPr>
        <w:t>井盖建档数不少于</w:t>
      </w:r>
      <w:r>
        <w:rPr>
          <w:sz w:val="21"/>
        </w:rPr>
        <w:t>2</w:t>
      </w:r>
      <w:r>
        <w:rPr>
          <w:sz w:val="21"/>
        </w:rPr>
        <w:t>5000个</w:t>
      </w:r>
      <w:r>
        <w:rPr>
          <w:sz w:val="21"/>
        </w:rPr>
        <w:t>。</w:t>
      </w:r>
      <w:r>
        <w:rPr>
          <w:sz w:val="21"/>
        </w:rPr>
        <w:t>对不少于</w:t>
      </w:r>
      <w:r>
        <w:rPr>
          <w:sz w:val="21"/>
        </w:rPr>
        <w:t>3000个井盖设施加装电子标签，</w:t>
      </w:r>
      <w:r>
        <w:rPr>
          <w:sz w:val="21"/>
        </w:rPr>
        <w:t>并纳入信息系统监管。</w:t>
      </w:r>
      <w:r>
        <w:rPr>
          <w:sz w:val="21"/>
        </w:rPr>
        <w:t>（</w:t>
      </w:r>
      <w:r>
        <w:rPr>
          <w:sz w:val="21"/>
        </w:rPr>
        <w:t>电子标签参考预算：</w:t>
      </w:r>
      <w:r>
        <w:rPr>
          <w:sz w:val="21"/>
        </w:rPr>
        <w:t xml:space="preserve">  </w:t>
      </w:r>
      <w:r>
        <w:rPr>
          <w:sz w:val="21"/>
        </w:rPr>
        <w:t>元</w:t>
      </w:r>
      <w:r>
        <w:rPr>
          <w:sz w:val="21"/>
        </w:rPr>
        <w:t>/个</w:t>
      </w:r>
      <w:r>
        <w:rPr>
          <w:sz w:val="21"/>
        </w:rPr>
        <w:t>）</w:t>
      </w:r>
      <w:r>
        <w:rPr>
          <w:sz w:val="21"/>
        </w:rPr>
        <w:t>。</w:t>
      </w:r>
    </w:p>
    <w:p>
      <w:pPr>
        <w:pStyle w:val="null3"/>
        <w:ind w:right="-375" w:firstLine="422"/>
        <w:jc w:val="both"/>
      </w:pPr>
      <w:r>
        <w:rPr>
          <w:sz w:val="21"/>
        </w:rPr>
        <w:t>（</w:t>
      </w:r>
      <w:r>
        <w:rPr>
          <w:sz w:val="21"/>
        </w:rPr>
        <w:t>三</w:t>
      </w:r>
      <w:r>
        <w:rPr>
          <w:sz w:val="21"/>
        </w:rPr>
        <w:t>）对发现的问题井盖（井盖问题包括但不限于缺失、破损、松动、位移、异响等）均实行信息化台账管理。抽取不少于</w:t>
      </w:r>
      <w:r>
        <w:rPr>
          <w:sz w:val="21"/>
        </w:rPr>
        <w:t>30个疑似存在质量问题的井盖实施送检（送有资质的第三方公司进行井盖设施承载能力等检测，并提供有法律效力的检测报告），检测及安装新井盖过程产生的费用（含施工、井盖设施及检测等费用）由</w:t>
      </w:r>
      <w:r>
        <w:rPr>
          <w:sz w:val="21"/>
        </w:rPr>
        <w:t>乙方</w:t>
      </w:r>
      <w:r>
        <w:rPr>
          <w:sz w:val="21"/>
        </w:rPr>
        <w:t>承担。</w:t>
      </w:r>
      <w:r>
        <w:rPr>
          <w:sz w:val="21"/>
        </w:rPr>
        <w:t>（</w:t>
      </w:r>
      <w:r>
        <w:rPr>
          <w:sz w:val="21"/>
        </w:rPr>
        <w:t>井盖送检参考预算：</w:t>
      </w:r>
      <w:r>
        <w:rPr>
          <w:sz w:val="21"/>
        </w:rPr>
        <w:t xml:space="preserve">  </w:t>
      </w:r>
      <w:r>
        <w:rPr>
          <w:sz w:val="21"/>
        </w:rPr>
        <w:t>元</w:t>
      </w:r>
      <w:r>
        <w:rPr>
          <w:sz w:val="21"/>
        </w:rPr>
        <w:t>/个</w:t>
      </w:r>
      <w:r>
        <w:rPr>
          <w:sz w:val="21"/>
        </w:rPr>
        <w:t>）</w:t>
      </w:r>
    </w:p>
    <w:p>
      <w:pPr>
        <w:pStyle w:val="null3"/>
        <w:spacing w:after="120"/>
        <w:ind w:firstLine="420"/>
        <w:jc w:val="left"/>
      </w:pPr>
      <w:r>
        <w:rPr>
          <w:sz w:val="21"/>
        </w:rPr>
        <w:t>（</w:t>
      </w:r>
      <w:r>
        <w:rPr>
          <w:sz w:val="21"/>
        </w:rPr>
        <w:t>四</w:t>
      </w:r>
      <w:r>
        <w:rPr>
          <w:sz w:val="21"/>
        </w:rPr>
        <w:t>）负责跟进</w:t>
      </w:r>
      <w:r>
        <w:rPr>
          <w:sz w:val="21"/>
        </w:rPr>
        <w:t>抽查</w:t>
      </w:r>
      <w:r>
        <w:rPr>
          <w:sz w:val="21"/>
        </w:rPr>
        <w:t>发现问题井盖的整改情况，建立跟踪机制，定期核实整改情况，并提供《问题井盖整改跟踪情况表》（附件</w:t>
      </w:r>
      <w:r>
        <w:rPr>
          <w:sz w:val="21"/>
        </w:rPr>
        <w:t>3</w:t>
      </w:r>
      <w:r>
        <w:rPr>
          <w:sz w:val="21"/>
        </w:rPr>
        <w:t>），形成闭环管理。</w:t>
      </w:r>
    </w:p>
    <w:p>
      <w:pPr>
        <w:pStyle w:val="null3"/>
        <w:spacing w:after="120"/>
        <w:ind w:firstLine="420"/>
        <w:jc w:val="left"/>
      </w:pPr>
      <w:r>
        <w:rPr>
          <w:sz w:val="21"/>
        </w:rPr>
        <w:t>（</w:t>
      </w:r>
      <w:r>
        <w:rPr>
          <w:sz w:val="21"/>
        </w:rPr>
        <w:t>五</w:t>
      </w:r>
      <w:r>
        <w:rPr>
          <w:sz w:val="21"/>
        </w:rPr>
        <w:t>）负责对存在安全隐患的井盖设施进行应急处置，并加装电子标签，服务期内应急处置</w:t>
      </w:r>
      <w:r>
        <w:rPr>
          <w:sz w:val="21"/>
        </w:rPr>
        <w:t>存在</w:t>
      </w:r>
      <w:r>
        <w:rPr>
          <w:sz w:val="21"/>
        </w:rPr>
        <w:t>安</w:t>
      </w:r>
      <w:r>
        <w:rPr>
          <w:sz w:val="21"/>
        </w:rPr>
        <w:t>全隐患</w:t>
      </w:r>
      <w:r>
        <w:rPr>
          <w:sz w:val="21"/>
        </w:rPr>
        <w:t>的</w:t>
      </w:r>
      <w:r>
        <w:rPr>
          <w:sz w:val="21"/>
        </w:rPr>
        <w:t>井盖设施不少于</w:t>
      </w:r>
      <w:r>
        <w:rPr>
          <w:sz w:val="21"/>
        </w:rPr>
        <w:t>50个。</w:t>
      </w:r>
      <w:r>
        <w:rPr>
          <w:sz w:val="21"/>
        </w:rPr>
        <w:t>（</w:t>
      </w:r>
      <w:r>
        <w:rPr>
          <w:sz w:val="21"/>
        </w:rPr>
        <w:t>应急处置参考预算：</w:t>
      </w:r>
      <w:r>
        <w:rPr>
          <w:sz w:val="21"/>
        </w:rPr>
        <w:t xml:space="preserve">  </w:t>
      </w:r>
      <w:r>
        <w:rPr>
          <w:sz w:val="21"/>
        </w:rPr>
        <w:t>元</w:t>
      </w:r>
      <w:r>
        <w:rPr>
          <w:sz w:val="21"/>
        </w:rPr>
        <w:t>/个</w:t>
      </w:r>
      <w:r>
        <w:rPr>
          <w:sz w:val="21"/>
        </w:rPr>
        <w:t>）</w:t>
      </w:r>
      <w:r>
        <w:rPr>
          <w:sz w:val="21"/>
        </w:rPr>
        <w:t>应设立应急物资储备仓库，配备应急处置所需的井盖设施底座、砂石、钢筋、水泥、砖块、沥青混凝土再生</w:t>
      </w:r>
      <w:r>
        <w:rPr>
          <w:sz w:val="21"/>
        </w:rPr>
        <w:t>/搅拌机、液压动力站、圆形切割机等工程物资和机械。</w:t>
      </w:r>
    </w:p>
    <w:p>
      <w:pPr>
        <w:pStyle w:val="null3"/>
        <w:spacing w:after="120"/>
        <w:ind w:firstLine="420"/>
        <w:jc w:val="left"/>
      </w:pPr>
      <w:r>
        <w:rPr>
          <w:sz w:val="21"/>
        </w:rPr>
        <w:t>（</w:t>
      </w:r>
      <w:r>
        <w:rPr>
          <w:sz w:val="21"/>
        </w:rPr>
        <w:t>六</w:t>
      </w:r>
      <w:r>
        <w:rPr>
          <w:sz w:val="21"/>
        </w:rPr>
        <w:t>）负责在重大节日、重大（重要）活动、汛期、暴雨预警信号发布时应急值守及相关道路应急巡查工作。</w:t>
      </w:r>
    </w:p>
    <w:p>
      <w:pPr>
        <w:pStyle w:val="null3"/>
        <w:spacing w:after="120"/>
        <w:ind w:firstLine="420"/>
        <w:jc w:val="left"/>
      </w:pPr>
      <w:r>
        <w:rPr>
          <w:sz w:val="21"/>
        </w:rPr>
        <w:t>（</w:t>
      </w:r>
      <w:r>
        <w:rPr>
          <w:sz w:val="21"/>
        </w:rPr>
        <w:t>七</w:t>
      </w:r>
      <w:r>
        <w:rPr>
          <w:sz w:val="21"/>
        </w:rPr>
        <w:t>）对井盖设施权属单位提交的井盖数据进行复核并录入信息系统。</w:t>
      </w:r>
    </w:p>
    <w:p>
      <w:pPr>
        <w:pStyle w:val="null3"/>
        <w:spacing w:after="120"/>
        <w:ind w:firstLine="420"/>
        <w:jc w:val="left"/>
      </w:pPr>
      <w:r>
        <w:rPr>
          <w:sz w:val="21"/>
        </w:rPr>
        <w:t>（</w:t>
      </w:r>
      <w:r>
        <w:rPr>
          <w:sz w:val="21"/>
        </w:rPr>
        <w:t>八</w:t>
      </w:r>
      <w:r>
        <w:rPr>
          <w:sz w:val="21"/>
        </w:rPr>
        <w:t>）组织井盖设施突发事件应急演练活动。</w:t>
      </w:r>
    </w:p>
    <w:p>
      <w:pPr>
        <w:pStyle w:val="null3"/>
        <w:spacing w:after="120"/>
        <w:ind w:firstLine="420"/>
        <w:jc w:val="left"/>
      </w:pPr>
      <w:r>
        <w:rPr>
          <w:sz w:val="21"/>
        </w:rPr>
        <w:t>（九）完成</w:t>
      </w:r>
      <w:r>
        <w:rPr>
          <w:sz w:val="21"/>
        </w:rPr>
        <w:t>甲方</w:t>
      </w:r>
      <w:r>
        <w:rPr>
          <w:sz w:val="21"/>
        </w:rPr>
        <w:t>交办的各项应急事项，以及安保应急等工作。</w:t>
      </w:r>
    </w:p>
    <w:p>
      <w:pPr>
        <w:pStyle w:val="null3"/>
        <w:spacing w:after="120"/>
        <w:ind w:firstLine="420"/>
        <w:jc w:val="left"/>
      </w:pPr>
      <w:r>
        <w:rPr>
          <w:sz w:val="21"/>
        </w:rPr>
        <w:t>（十）在收到</w:t>
      </w:r>
      <w:r>
        <w:rPr>
          <w:sz w:val="21"/>
        </w:rPr>
        <w:t>甲方</w:t>
      </w:r>
      <w:r>
        <w:rPr>
          <w:sz w:val="21"/>
        </w:rPr>
        <w:t>通知（电话或书面）后</w:t>
      </w:r>
      <w:r>
        <w:rPr>
          <w:sz w:val="21"/>
        </w:rPr>
        <w:t>及时</w:t>
      </w:r>
      <w:r>
        <w:rPr>
          <w:sz w:val="21"/>
        </w:rPr>
        <w:t>响应。</w:t>
      </w:r>
    </w:p>
    <w:p>
      <w:pPr>
        <w:pStyle w:val="null3"/>
        <w:spacing w:after="120"/>
        <w:ind w:firstLine="420"/>
        <w:jc w:val="left"/>
      </w:pPr>
      <w:r>
        <w:rPr>
          <w:sz w:val="21"/>
        </w:rPr>
        <w:t>（</w:t>
      </w:r>
      <w:r>
        <w:rPr>
          <w:sz w:val="21"/>
        </w:rPr>
        <w:t>十一</w:t>
      </w:r>
      <w:r>
        <w:rPr>
          <w:sz w:val="21"/>
        </w:rPr>
        <w:t>）</w:t>
      </w:r>
      <w:r>
        <w:rPr>
          <w:sz w:val="21"/>
        </w:rPr>
        <w:t>对甲方每月提供的全市</w:t>
      </w:r>
      <w:r>
        <w:rPr>
          <w:sz w:val="21"/>
        </w:rPr>
        <w:t>12345涉井盖设施工单情况表进行分析评估，形成分析报告，对不满意工单、重复投诉工单核实整改情况。</w:t>
      </w:r>
    </w:p>
    <w:p>
      <w:pPr>
        <w:pStyle w:val="null3"/>
        <w:spacing w:after="120"/>
        <w:ind w:firstLine="420"/>
        <w:jc w:val="left"/>
      </w:pPr>
      <w:r>
        <w:rPr>
          <w:sz w:val="21"/>
        </w:rPr>
        <w:t>（十二）</w:t>
      </w:r>
      <w:r>
        <w:rPr>
          <w:sz w:val="21"/>
        </w:rPr>
        <w:t>设置项目负责人</w:t>
      </w:r>
      <w:r>
        <w:rPr>
          <w:sz w:val="21"/>
        </w:rPr>
        <w:t>1人（项目负责人应具有市政</w:t>
      </w:r>
      <w:r>
        <w:rPr>
          <w:sz w:val="21"/>
        </w:rPr>
        <w:t>专业或给水排水专业或与项目</w:t>
      </w:r>
      <w:r>
        <w:rPr>
          <w:sz w:val="21"/>
        </w:rPr>
        <w:t>相关专业的职称</w:t>
      </w:r>
      <w:r>
        <w:rPr>
          <w:sz w:val="21"/>
        </w:rPr>
        <w:t>或</w:t>
      </w:r>
      <w:r>
        <w:rPr>
          <w:sz w:val="21"/>
        </w:rPr>
        <w:t>资格证书），负责项目整体管控，统筹、组织、协调、落实项目各项工作，确保各项工作目标顺利完成。设置专职联络员</w:t>
      </w:r>
      <w:r>
        <w:rPr>
          <w:sz w:val="21"/>
        </w:rPr>
        <w:t>1人</w:t>
      </w:r>
      <w:r>
        <w:rPr>
          <w:sz w:val="21"/>
        </w:rPr>
        <w:t>（</w:t>
      </w:r>
      <w:r>
        <w:rPr>
          <w:sz w:val="21"/>
        </w:rPr>
        <w:t>本科及以上</w:t>
      </w:r>
      <w:r>
        <w:rPr>
          <w:sz w:val="21"/>
        </w:rPr>
        <w:t>）（</w:t>
      </w:r>
      <w:r>
        <w:rPr>
          <w:sz w:val="21"/>
        </w:rPr>
        <w:t>专职联络员参考预算：</w:t>
      </w:r>
      <w:r>
        <w:rPr>
          <w:sz w:val="21"/>
        </w:rPr>
        <w:t xml:space="preserve">  </w:t>
      </w:r>
      <w:r>
        <w:rPr>
          <w:sz w:val="21"/>
        </w:rPr>
        <w:t>元</w:t>
      </w:r>
      <w:r>
        <w:rPr>
          <w:sz w:val="21"/>
        </w:rPr>
        <w:t>/人</w:t>
      </w:r>
      <w:r>
        <w:rPr>
          <w:sz w:val="21"/>
        </w:rPr>
        <w:t>）</w:t>
      </w:r>
      <w:r>
        <w:rPr>
          <w:sz w:val="21"/>
        </w:rPr>
        <w:t>，按照</w:t>
      </w:r>
      <w:r>
        <w:rPr>
          <w:sz w:val="21"/>
        </w:rPr>
        <w:t>甲方</w:t>
      </w:r>
      <w:r>
        <w:rPr>
          <w:sz w:val="21"/>
        </w:rPr>
        <w:t>指定地点驻场办公，协调井盖设施管理、信息采集上报、督办及其他交办工作。根据项目实际工作开展需要，配备</w:t>
      </w:r>
      <w:r>
        <w:rPr>
          <w:sz w:val="21"/>
        </w:rPr>
        <w:t>抽查</w:t>
      </w:r>
      <w:r>
        <w:rPr>
          <w:sz w:val="21"/>
        </w:rPr>
        <w:t>人员不少于</w:t>
      </w:r>
      <w:r>
        <w:rPr>
          <w:sz w:val="21"/>
        </w:rPr>
        <w:t>12人</w:t>
      </w:r>
      <w:r>
        <w:rPr>
          <w:sz w:val="21"/>
        </w:rPr>
        <w:t>（</w:t>
      </w:r>
      <w:r>
        <w:rPr>
          <w:sz w:val="21"/>
        </w:rPr>
        <w:t>抽查人员参考预算：</w:t>
      </w:r>
      <w:r>
        <w:rPr>
          <w:sz w:val="21"/>
        </w:rPr>
        <w:t xml:space="preserve">  </w:t>
      </w:r>
      <w:r>
        <w:rPr>
          <w:sz w:val="21"/>
        </w:rPr>
        <w:t>元</w:t>
      </w:r>
      <w:r>
        <w:rPr>
          <w:sz w:val="21"/>
        </w:rPr>
        <w:t>/人</w:t>
      </w:r>
      <w:r>
        <w:rPr>
          <w:sz w:val="21"/>
        </w:rPr>
        <w:t>）</w:t>
      </w:r>
      <w:r>
        <w:rPr>
          <w:sz w:val="21"/>
        </w:rPr>
        <w:t>，</w:t>
      </w:r>
      <w:r>
        <w:rPr>
          <w:sz w:val="21"/>
        </w:rPr>
        <w:t>根据项目需要配备巡查作业车辆及其他相关物资、设备。</w:t>
      </w:r>
    </w:p>
    <w:p>
      <w:pPr>
        <w:pStyle w:val="null3"/>
        <w:spacing w:after="120"/>
        <w:ind w:firstLine="420"/>
        <w:jc w:val="left"/>
      </w:pPr>
      <w:r>
        <w:rPr>
          <w:sz w:val="21"/>
        </w:rPr>
        <w:t>（十</w:t>
      </w:r>
      <w:r>
        <w:rPr>
          <w:sz w:val="21"/>
        </w:rPr>
        <w:t>三</w:t>
      </w:r>
      <w:r>
        <w:rPr>
          <w:sz w:val="21"/>
        </w:rPr>
        <w:t>）</w:t>
      </w:r>
      <w:r>
        <w:rPr>
          <w:sz w:val="21"/>
        </w:rPr>
        <w:t>乙方应具备信息化技术，</w:t>
      </w:r>
      <w:r>
        <w:rPr>
          <w:sz w:val="21"/>
        </w:rPr>
        <w:t>除日常巡检及应急处置维修外，其余工作内容需全部通过</w:t>
      </w:r>
      <w:r>
        <w:rPr>
          <w:sz w:val="21"/>
        </w:rPr>
        <w:t>乙方</w:t>
      </w:r>
      <w:r>
        <w:rPr>
          <w:sz w:val="21"/>
        </w:rPr>
        <w:t>的井盖设施信息化管理系统进行操作并提供给</w:t>
      </w:r>
      <w:r>
        <w:rPr>
          <w:sz w:val="21"/>
        </w:rPr>
        <w:t>甲方</w:t>
      </w:r>
      <w:r>
        <w:rPr>
          <w:sz w:val="21"/>
        </w:rPr>
        <w:t>使用。信息系统可实现问题井盖设施流转办理、全过程监督、统计等功能，</w:t>
      </w:r>
      <w:r>
        <w:rPr>
          <w:sz w:val="21"/>
        </w:rPr>
        <w:t>实施</w:t>
      </w:r>
      <w:r>
        <w:rPr>
          <w:sz w:val="21"/>
        </w:rPr>
        <w:t>档案管理并设立井盖信息共享接口。</w:t>
      </w:r>
      <w:r>
        <w:rPr>
          <w:sz w:val="21"/>
        </w:rPr>
        <w:t>信息系统可录入甲方提供的井盖设施普查建档数据（约</w:t>
      </w:r>
      <w:r>
        <w:rPr>
          <w:sz w:val="21"/>
        </w:rPr>
        <w:t>120万个）。</w:t>
      </w:r>
      <w:r>
        <w:rPr>
          <w:sz w:val="21"/>
        </w:rPr>
        <w:t>信息系统</w:t>
      </w:r>
      <w:r>
        <w:rPr>
          <w:sz w:val="21"/>
        </w:rPr>
        <w:t>需</w:t>
      </w:r>
      <w:r>
        <w:rPr>
          <w:sz w:val="21"/>
        </w:rPr>
        <w:t>根据</w:t>
      </w:r>
      <w:r>
        <w:rPr>
          <w:sz w:val="21"/>
        </w:rPr>
        <w:t>甲方</w:t>
      </w:r>
      <w:r>
        <w:rPr>
          <w:sz w:val="21"/>
        </w:rPr>
        <w:t>要求，在规定时间内（</w:t>
      </w:r>
      <w:r>
        <w:rPr>
          <w:sz w:val="21"/>
        </w:rPr>
        <w:t>30个工作日内）完善相关功能模块。</w:t>
      </w:r>
      <w:r>
        <w:rPr>
          <w:sz w:val="21"/>
        </w:rPr>
        <w:t>乙方</w:t>
      </w:r>
      <w:r>
        <w:rPr>
          <w:sz w:val="21"/>
        </w:rPr>
        <w:t>应配备井盖定位精度仪器</w:t>
      </w:r>
      <w:r>
        <w:rPr>
          <w:sz w:val="21"/>
        </w:rPr>
        <w:t>不少于</w:t>
      </w:r>
      <w:r>
        <w:rPr>
          <w:sz w:val="21"/>
        </w:rPr>
        <w:t>5个</w:t>
      </w:r>
      <w:r>
        <w:rPr>
          <w:sz w:val="21"/>
        </w:rPr>
        <w:t>，可与井盖设施信息化管理系统适配，并保障数据精度。</w:t>
      </w:r>
      <w:r>
        <w:rPr>
          <w:sz w:val="21"/>
        </w:rPr>
        <w:t>（鉴于</w:t>
      </w:r>
      <w:r>
        <w:rPr>
          <w:sz w:val="21"/>
        </w:rPr>
        <w:t>“市井盖设施信息化管理应用”已纳入甲方城市管理一网统管平台升级改造建设项目，在每个合同签订前，可根据甲方自建信息系统开发实际情况，由甲方决定是否在该合同周期内取消使用乙方系统，并调减相应费用。</w:t>
      </w:r>
      <w:r>
        <w:rPr>
          <w:sz w:val="21"/>
        </w:rPr>
        <w:t>甲方</w:t>
      </w:r>
      <w:r>
        <w:rPr>
          <w:sz w:val="21"/>
        </w:rPr>
        <w:t>自建信息系统建设完成后，</w:t>
      </w:r>
      <w:r>
        <w:rPr>
          <w:sz w:val="21"/>
        </w:rPr>
        <w:t>乙方</w:t>
      </w:r>
      <w:r>
        <w:rPr>
          <w:sz w:val="21"/>
        </w:rPr>
        <w:t>需要配合采购人做好数据移交</w:t>
      </w:r>
      <w:r>
        <w:rPr>
          <w:sz w:val="21"/>
        </w:rPr>
        <w:t>(提供承诺函，格式自拟）</w:t>
      </w:r>
      <w:r>
        <w:rPr>
          <w:sz w:val="21"/>
        </w:rPr>
        <w:t>）</w:t>
      </w:r>
      <w:r>
        <w:rPr>
          <w:sz w:val="21"/>
        </w:rPr>
        <w:t>（</w:t>
      </w:r>
      <w:r>
        <w:rPr>
          <w:sz w:val="21"/>
        </w:rPr>
        <w:t>信息系统租赁费用参考预算：</w:t>
      </w:r>
      <w:r>
        <w:rPr>
          <w:sz w:val="21"/>
        </w:rPr>
        <w:t xml:space="preserve">  </w:t>
      </w:r>
      <w:r>
        <w:rPr>
          <w:sz w:val="21"/>
        </w:rPr>
        <w:t>元</w:t>
      </w:r>
      <w:r>
        <w:rPr>
          <w:sz w:val="21"/>
        </w:rPr>
        <w:t>/年</w:t>
      </w:r>
      <w:r>
        <w:rPr>
          <w:sz w:val="21"/>
        </w:rPr>
        <w:t>）</w:t>
      </w:r>
    </w:p>
    <w:p>
      <w:pPr>
        <w:pStyle w:val="null3"/>
        <w:ind w:right="-375" w:firstLine="420"/>
        <w:jc w:val="both"/>
      </w:pPr>
      <w:r>
        <w:rPr>
          <w:sz w:val="21"/>
        </w:rPr>
        <w:t>（十</w:t>
      </w:r>
      <w:r>
        <w:rPr>
          <w:sz w:val="21"/>
        </w:rPr>
        <w:t>四</w:t>
      </w:r>
      <w:r>
        <w:rPr>
          <w:sz w:val="21"/>
        </w:rPr>
        <w:t>）每月结束后</w:t>
      </w:r>
      <w:r>
        <w:rPr>
          <w:sz w:val="21"/>
        </w:rPr>
        <w:t>5个工作日内向</w:t>
      </w:r>
      <w:r>
        <w:rPr>
          <w:sz w:val="21"/>
        </w:rPr>
        <w:t>甲方</w:t>
      </w:r>
      <w:r>
        <w:rPr>
          <w:sz w:val="21"/>
        </w:rPr>
        <w:t>提供本月</w:t>
      </w:r>
      <w:r>
        <w:rPr>
          <w:sz w:val="21"/>
        </w:rPr>
        <w:t>抽查</w:t>
      </w:r>
      <w:r>
        <w:rPr>
          <w:sz w:val="21"/>
        </w:rPr>
        <w:t>情况</w:t>
      </w:r>
      <w:r>
        <w:rPr>
          <w:sz w:val="21"/>
        </w:rPr>
        <w:t>的</w:t>
      </w:r>
      <w:r>
        <w:rPr>
          <w:sz w:val="21"/>
        </w:rPr>
        <w:t>书面报告、质检报告，并将相关资料归档；每季度结束后</w:t>
      </w:r>
      <w:r>
        <w:rPr>
          <w:sz w:val="21"/>
        </w:rPr>
        <w:t>5个工作日内提供本季度</w:t>
      </w:r>
      <w:r>
        <w:rPr>
          <w:sz w:val="21"/>
        </w:rPr>
        <w:t>抽查</w:t>
      </w:r>
      <w:r>
        <w:rPr>
          <w:sz w:val="21"/>
        </w:rPr>
        <w:t>情况的书面报告、质检报告，并将相关资料进行归档。</w:t>
      </w:r>
    </w:p>
    <w:p>
      <w:pPr>
        <w:pStyle w:val="null3"/>
        <w:ind w:right="-375" w:firstLine="422"/>
        <w:jc w:val="both"/>
      </w:pPr>
      <w:r>
        <w:rPr>
          <w:sz w:val="21"/>
          <w:b/>
        </w:rPr>
        <w:t>1.2其他要求</w:t>
      </w:r>
    </w:p>
    <w:p>
      <w:pPr>
        <w:pStyle w:val="null3"/>
        <w:ind w:right="-375" w:firstLine="420"/>
        <w:jc w:val="both"/>
      </w:pPr>
      <w:r>
        <w:rPr>
          <w:sz w:val="21"/>
        </w:rPr>
        <w:t>1.2.1.本项目合同履行期内如发生人身安全及其他事故，一切责任和赔偿由乙方全权承担。</w:t>
      </w:r>
    </w:p>
    <w:p>
      <w:pPr>
        <w:pStyle w:val="null3"/>
        <w:ind w:right="-375" w:firstLine="420"/>
        <w:jc w:val="both"/>
      </w:pPr>
      <w:r>
        <w:rPr>
          <w:sz w:val="21"/>
        </w:rPr>
        <w:t>1.2.2.乙方巡查抽检路段范围内的井盖设施在乙方开展巡查抽检后发生安全事故，经甲方核实确由乙方巡查不到位或未及时上报该井盖设施安全隐患造成的，乙方承担相关责任。</w:t>
      </w:r>
    </w:p>
    <w:p>
      <w:pPr>
        <w:pStyle w:val="null3"/>
        <w:ind w:right="-375" w:firstLine="420"/>
        <w:jc w:val="both"/>
      </w:pPr>
      <w:r>
        <w:rPr>
          <w:sz w:val="21"/>
        </w:rPr>
        <w:t>1.2.3.乙方不得将本项目转包给第三方单位。</w:t>
      </w:r>
    </w:p>
    <w:p>
      <w:pPr>
        <w:pStyle w:val="null3"/>
        <w:ind w:right="-375" w:firstLine="420"/>
        <w:jc w:val="both"/>
      </w:pPr>
      <w:r>
        <w:rPr>
          <w:sz w:val="21"/>
        </w:rPr>
        <w:t>1.2.4.乙方应在甲方要求的时间进度内完成本项目所有工作内容及相关服务。在项目实施过程中，甲方若发现乙方存在人员不到位、管理混乱、技术力量不足等可能导致项目无法按时完成的问题，有权要求乙方进行整改。</w:t>
      </w:r>
    </w:p>
    <w:p>
      <w:pPr>
        <w:pStyle w:val="null3"/>
        <w:ind w:right="-375" w:firstLine="422"/>
        <w:jc w:val="both"/>
      </w:pPr>
      <w:r>
        <w:rPr>
          <w:sz w:val="21"/>
          <w:b/>
        </w:rPr>
        <w:t>1.3验收要求</w:t>
      </w:r>
    </w:p>
    <w:p>
      <w:pPr>
        <w:pStyle w:val="null3"/>
        <w:ind w:right="-375" w:firstLine="420"/>
        <w:jc w:val="both"/>
      </w:pPr>
      <w:r>
        <w:rPr>
          <w:sz w:val="21"/>
        </w:rPr>
        <w:t>乙方</w:t>
      </w:r>
      <w:r>
        <w:rPr>
          <w:sz w:val="21"/>
        </w:rPr>
        <w:t>提交项目成果须满足验收要求，按项目进度提交工作台</w:t>
      </w:r>
      <w:r>
        <w:rPr>
          <w:sz w:val="21"/>
        </w:rPr>
        <w:t>账</w:t>
      </w:r>
      <w:r>
        <w:rPr>
          <w:sz w:val="21"/>
        </w:rPr>
        <w:t>资料，包括但不限于：工作小结、项目附件材料</w:t>
      </w:r>
      <w:r>
        <w:rPr>
          <w:sz w:val="21"/>
        </w:rPr>
        <w:t>(项目附件材料包括但不限于日常检查记录、工作方案、会议纪要、质检报告、问题井盖检测报告、日常报送材料等台</w:t>
      </w:r>
      <w:r>
        <w:rPr>
          <w:sz w:val="21"/>
        </w:rPr>
        <w:t>账</w:t>
      </w:r>
      <w:r>
        <w:rPr>
          <w:sz w:val="21"/>
        </w:rPr>
        <w:t>资料</w:t>
      </w:r>
      <w:r>
        <w:rPr>
          <w:sz w:val="21"/>
        </w:rPr>
        <w:t>)。服务期内：提交工作总结1份、半年工作总结不少于1份、每季度工作报告不少于1份、每月工作报告不少于1份。</w:t>
      </w:r>
      <w:r>
        <w:rPr>
          <w:sz w:val="21"/>
        </w:rPr>
        <w:t>甲方组织第三方专家进行验收，产生的相关费用含在合同总价中。</w:t>
      </w:r>
    </w:p>
    <w:p>
      <w:pPr>
        <w:pStyle w:val="null3"/>
        <w:ind w:right="-375" w:firstLine="422"/>
        <w:jc w:val="both"/>
      </w:pPr>
      <w:r>
        <w:rPr>
          <w:sz w:val="21"/>
          <w:b/>
        </w:rPr>
        <w:t>二、权利和义务</w:t>
      </w:r>
    </w:p>
    <w:p>
      <w:pPr>
        <w:pStyle w:val="null3"/>
        <w:ind w:right="-375" w:firstLine="422"/>
        <w:jc w:val="both"/>
      </w:pPr>
      <w:r>
        <w:rPr>
          <w:sz w:val="21"/>
          <w:b/>
        </w:rPr>
        <w:t>2.1 甲方的权利和义务</w:t>
      </w:r>
    </w:p>
    <w:p>
      <w:pPr>
        <w:pStyle w:val="null3"/>
        <w:ind w:firstLine="420"/>
        <w:jc w:val="both"/>
      </w:pPr>
      <w:r>
        <w:rPr>
          <w:sz w:val="21"/>
        </w:rPr>
        <w:t>2.1.1甲方应提供项目所需的资料、主要数据及在项目实施时协调相关人员与乙方合作或配合。</w:t>
      </w:r>
    </w:p>
    <w:p>
      <w:pPr>
        <w:pStyle w:val="null3"/>
        <w:ind w:firstLine="420"/>
        <w:jc w:val="both"/>
      </w:pPr>
      <w:r>
        <w:rPr>
          <w:sz w:val="21"/>
        </w:rPr>
        <w:t>2.1.2如乙方交付的成果不符合甲方要求的，甲方有权要求乙方在指定时间内免费予以修改。</w:t>
      </w:r>
    </w:p>
    <w:p>
      <w:pPr>
        <w:pStyle w:val="null3"/>
        <w:ind w:firstLine="420"/>
        <w:jc w:val="both"/>
      </w:pPr>
      <w:r>
        <w:rPr>
          <w:sz w:val="21"/>
        </w:rPr>
        <w:t>2.1.3甲方应按照本合同第五条的约定向乙方支付项目价款。</w:t>
      </w:r>
    </w:p>
    <w:p>
      <w:pPr>
        <w:pStyle w:val="null3"/>
        <w:ind w:firstLine="420"/>
        <w:jc w:val="both"/>
      </w:pPr>
      <w:r>
        <w:rPr>
          <w:sz w:val="21"/>
          <w:b/>
        </w:rPr>
        <w:t>2.2 乙方的权利和义务</w:t>
      </w:r>
    </w:p>
    <w:p>
      <w:pPr>
        <w:pStyle w:val="null3"/>
        <w:ind w:firstLine="420"/>
        <w:jc w:val="both"/>
      </w:pPr>
      <w:r>
        <w:rPr>
          <w:sz w:val="21"/>
        </w:rPr>
        <w:t>2.2.1按照合同第三条要求的服务时间按时提交成果，并对成果质量负责。</w:t>
      </w:r>
    </w:p>
    <w:p>
      <w:pPr>
        <w:pStyle w:val="null3"/>
        <w:ind w:firstLine="420"/>
        <w:jc w:val="both"/>
      </w:pPr>
      <w:r>
        <w:rPr>
          <w:sz w:val="21"/>
        </w:rPr>
        <w:t>2.2.2接受并配合甲方或甲方委托的检测单位对成果进行质量检查，对成果出现的质量问题应及时修改更正。</w:t>
      </w:r>
    </w:p>
    <w:p>
      <w:pPr>
        <w:pStyle w:val="null3"/>
        <w:ind w:firstLine="420"/>
        <w:jc w:val="both"/>
      </w:pPr>
      <w:r>
        <w:rPr>
          <w:sz w:val="21"/>
        </w:rPr>
        <w:t>2.2.3属于甲方的成果，乙方不得转让第三方使用。</w:t>
      </w:r>
    </w:p>
    <w:p>
      <w:pPr>
        <w:pStyle w:val="null3"/>
        <w:ind w:firstLine="420"/>
        <w:jc w:val="both"/>
      </w:pPr>
      <w:r>
        <w:rPr>
          <w:sz w:val="21"/>
        </w:rPr>
        <w:t>2.2.4乙方应按照本项目采购文件要求配置足额、合格的项目服务人员，所有项目人员均须与乙方建立合法劳动关系，乙方保证人员数量、资质、驻场及工作要求符合采购文件约定。</w:t>
      </w:r>
    </w:p>
    <w:p>
      <w:pPr>
        <w:pStyle w:val="null3"/>
        <w:ind w:firstLine="420"/>
        <w:jc w:val="both"/>
      </w:pPr>
      <w:r>
        <w:rPr>
          <w:sz w:val="21"/>
        </w:rPr>
        <w:t>人员清单如下：</w:t>
      </w:r>
    </w:p>
    <w:tbl>
      <w:tblPr>
        <w:tblW w:w="0" w:type="auto"/>
        <w:tblBorders>
          <w:top w:val="none" w:color="000000" w:sz="4"/>
          <w:left w:val="none" w:color="000000" w:sz="4"/>
          <w:bottom w:val="none" w:color="000000" w:sz="4"/>
          <w:right w:val="none" w:color="000000" w:sz="4"/>
          <w:insideH w:val="none"/>
          <w:insideV w:val="none"/>
        </w:tblBorders>
      </w:tblPr>
      <w:tblGrid>
        <w:gridCol w:w="643"/>
        <w:gridCol w:w="1067"/>
        <w:gridCol w:w="1286"/>
        <w:gridCol w:w="2602"/>
        <w:gridCol w:w="2676"/>
      </w:tblGrid>
      <w:tr>
        <w:tc>
          <w:tcPr>
            <w:tcW w:type="dxa" w:w="64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序号</w:t>
            </w:r>
          </w:p>
        </w:tc>
        <w:tc>
          <w:tcPr>
            <w:tcW w:type="dxa" w:w="106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岗位角色</w:t>
            </w:r>
          </w:p>
        </w:tc>
        <w:tc>
          <w:tcPr>
            <w:tcW w:type="dxa" w:w="1286"/>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姓名</w:t>
            </w:r>
          </w:p>
        </w:tc>
        <w:tc>
          <w:tcPr>
            <w:tcW w:type="dxa" w:w="260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证件号</w:t>
            </w:r>
          </w:p>
        </w:tc>
        <w:tc>
          <w:tcPr>
            <w:tcW w:type="dxa" w:w="2676"/>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资质</w:t>
            </w:r>
          </w:p>
        </w:tc>
      </w:tr>
      <w:tr>
        <w:tc>
          <w:tcPr>
            <w:tcW w:type="dxa" w:w="64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p>
        </w:tc>
        <w:tc>
          <w:tcPr>
            <w:tcW w:type="dxa" w:w="10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c>
          <w:tcPr>
            <w:tcW w:type="dxa" w:w="12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c>
          <w:tcPr>
            <w:tcW w:type="dxa" w:w="260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c>
          <w:tcPr>
            <w:tcW w:type="dxa" w:w="267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r>
      <w:tr>
        <w:tc>
          <w:tcPr>
            <w:tcW w:type="dxa" w:w="64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c>
          <w:tcPr>
            <w:tcW w:type="dxa" w:w="10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c>
          <w:tcPr>
            <w:tcW w:type="dxa" w:w="12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c>
          <w:tcPr>
            <w:tcW w:type="dxa" w:w="260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c>
          <w:tcPr>
            <w:tcW w:type="dxa" w:w="267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r>
      <w:tr>
        <w:tc>
          <w:tcPr>
            <w:tcW w:type="dxa" w:w="64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c>
          <w:tcPr>
            <w:tcW w:type="dxa" w:w="10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c>
          <w:tcPr>
            <w:tcW w:type="dxa" w:w="12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c>
          <w:tcPr>
            <w:tcW w:type="dxa" w:w="260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c>
          <w:tcPr>
            <w:tcW w:type="dxa" w:w="267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r>
    </w:tbl>
    <w:p>
      <w:pPr>
        <w:pStyle w:val="null3"/>
        <w:jc w:val="both"/>
      </w:pPr>
      <w:r>
        <w:rPr>
          <w:sz w:val="21"/>
        </w:rPr>
        <w:t>注：</w:t>
      </w:r>
    </w:p>
    <w:p>
      <w:pPr>
        <w:pStyle w:val="null3"/>
        <w:ind w:firstLine="420"/>
        <w:jc w:val="both"/>
      </w:pPr>
      <w:r>
        <w:rPr>
          <w:sz w:val="21"/>
        </w:rPr>
        <w:t>a.第一年度合同签订时，乙方人员清单应与乙方响应文件中的拟投入人员保持一致。</w:t>
      </w:r>
    </w:p>
    <w:p>
      <w:pPr>
        <w:pStyle w:val="null3"/>
        <w:ind w:firstLine="420"/>
        <w:jc w:val="both"/>
      </w:pPr>
      <w:r>
        <w:rPr>
          <w:sz w:val="21"/>
        </w:rPr>
        <w:t>b.为使项目按质、按量、按时及有序实施，实施过程中，如需要更换项目负责人和专职驻场人员，应提前30日向甲方提交书面申请，说明更换理由及拟更换人员的资质证明材料，经甲方书面同意后方可更换，且拟更换人员的资质、经验不得低于原人员水平。</w:t>
      </w:r>
    </w:p>
    <w:p>
      <w:pPr>
        <w:pStyle w:val="null3"/>
        <w:ind w:firstLine="420"/>
        <w:jc w:val="both"/>
      </w:pPr>
      <w:r>
        <w:rPr>
          <w:sz w:val="21"/>
        </w:rPr>
        <w:t>2.2.5乙方有权要求甲方按照本合同约定的时间及数额支付项目款项。</w:t>
      </w:r>
    </w:p>
    <w:p>
      <w:pPr>
        <w:pStyle w:val="null3"/>
        <w:ind w:right="-375" w:firstLine="422"/>
        <w:jc w:val="both"/>
      </w:pPr>
      <w:r>
        <w:rPr>
          <w:sz w:val="21"/>
          <w:b/>
        </w:rPr>
        <w:t>三、服务期限</w:t>
      </w:r>
      <w:r>
        <w:rPr>
          <w:sz w:val="21"/>
          <w:b/>
        </w:rPr>
        <w:t>及合同分包</w:t>
      </w:r>
    </w:p>
    <w:p>
      <w:pPr>
        <w:pStyle w:val="null3"/>
        <w:ind w:firstLine="420"/>
        <w:jc w:val="both"/>
      </w:pPr>
      <w:r>
        <w:rPr>
          <w:sz w:val="21"/>
        </w:rPr>
        <w:t>3.1项目服务期限：第一年合同周期为</w:t>
      </w:r>
      <w:r>
        <w:rPr/>
        <w:t xml:space="preserve">  </w:t>
      </w:r>
      <w:r>
        <w:rPr>
          <w:sz w:val="21"/>
        </w:rPr>
        <w:t>年</w:t>
      </w:r>
      <w:r>
        <w:rPr/>
        <w:t xml:space="preserve">  </w:t>
      </w:r>
      <w:r>
        <w:rPr>
          <w:sz w:val="21"/>
        </w:rPr>
        <w:t>月</w:t>
      </w:r>
      <w:r>
        <w:rPr/>
        <w:t xml:space="preserve">  </w:t>
      </w:r>
      <w:r>
        <w:rPr>
          <w:sz w:val="21"/>
        </w:rPr>
        <w:t>日</w:t>
      </w:r>
      <w:r>
        <w:rPr>
          <w:sz w:val="21"/>
        </w:rPr>
        <w:t>-</w:t>
      </w:r>
      <w:r>
        <w:rPr/>
        <w:t xml:space="preserve">   </w:t>
      </w:r>
      <w:r>
        <w:rPr>
          <w:sz w:val="21"/>
        </w:rPr>
        <w:t>年</w:t>
      </w:r>
      <w:r>
        <w:rPr/>
        <w:t xml:space="preserve">  </w:t>
      </w:r>
      <w:r>
        <w:rPr>
          <w:sz w:val="21"/>
        </w:rPr>
        <w:t>月</w:t>
      </w:r>
      <w:r>
        <w:rPr/>
        <w:t xml:space="preserve">  </w:t>
      </w:r>
      <w:r>
        <w:rPr>
          <w:sz w:val="21"/>
        </w:rPr>
        <w:t>日</w:t>
      </w:r>
      <w:r>
        <w:rPr>
          <w:sz w:val="21"/>
        </w:rPr>
        <w:t>。</w:t>
      </w:r>
    </w:p>
    <w:p>
      <w:pPr>
        <w:pStyle w:val="null3"/>
        <w:ind w:firstLine="420"/>
        <w:jc w:val="both"/>
      </w:pPr>
      <w:r>
        <w:rPr>
          <w:sz w:val="21"/>
        </w:rPr>
        <w:t>3.2合同分包：本合同不允许合同分包</w:t>
      </w:r>
    </w:p>
    <w:p>
      <w:pPr>
        <w:pStyle w:val="null3"/>
        <w:ind w:right="-375" w:firstLine="422"/>
        <w:jc w:val="both"/>
      </w:pPr>
      <w:r>
        <w:rPr>
          <w:sz w:val="21"/>
          <w:b/>
        </w:rPr>
        <w:t>四、合同金额</w:t>
      </w:r>
    </w:p>
    <w:p>
      <w:pPr>
        <w:pStyle w:val="null3"/>
        <w:ind w:firstLine="420"/>
        <w:jc w:val="both"/>
      </w:pPr>
      <w:r>
        <w:rPr>
          <w:sz w:val="21"/>
        </w:rPr>
        <w:t>4.1合同金额为人民币</w:t>
      </w:r>
      <w:r>
        <w:rPr>
          <w:u w:val="single"/>
        </w:rPr>
        <w:t xml:space="preserve">        </w:t>
      </w:r>
      <w:r>
        <w:rPr>
          <w:sz w:val="21"/>
        </w:rPr>
        <w:t>元（大写：</w:t>
      </w:r>
      <w:r>
        <w:rPr>
          <w:u w:val="single"/>
        </w:rPr>
        <w:t xml:space="preserve">        </w:t>
      </w:r>
      <w:r>
        <w:rPr>
          <w:sz w:val="21"/>
        </w:rPr>
        <w:t>圆整），该金额已包括了甲方委托乙方进行</w:t>
      </w:r>
      <w:r>
        <w:rPr>
          <w:sz w:val="21"/>
        </w:rPr>
        <w:t>广州市城市管理和综合执法局全市井盖设施管理监督、抽查、应急处置项目</w:t>
      </w:r>
      <w:r>
        <w:rPr>
          <w:sz w:val="21"/>
        </w:rPr>
        <w:t>的全部费用，包括但不限于专用工具</w:t>
      </w:r>
      <w:r>
        <w:rPr>
          <w:sz w:val="21"/>
        </w:rPr>
        <w:t>/设备及机械费等费用、材料费、人工费、技术分析成本、交通费、检测费，应向中华人民共和国政府缴纳的增值税和其他税等全部税费、保险、伴随服务，以及履行合同所需的费用、所有风险、责任等其他一切隐含及不可预见的费用等。</w:t>
      </w:r>
    </w:p>
    <w:p>
      <w:pPr>
        <w:pStyle w:val="null3"/>
        <w:ind w:firstLine="420"/>
        <w:jc w:val="both"/>
      </w:pPr>
      <w:r>
        <w:rPr>
          <w:sz w:val="21"/>
        </w:rPr>
        <w:t>4.2收款账户信息如下：</w:t>
      </w:r>
    </w:p>
    <w:p>
      <w:pPr>
        <w:pStyle w:val="null3"/>
        <w:ind w:firstLine="420"/>
        <w:jc w:val="both"/>
      </w:pPr>
      <w:r>
        <w:rPr>
          <w:sz w:val="21"/>
        </w:rPr>
        <w:t>开户银行：</w:t>
      </w:r>
    </w:p>
    <w:p>
      <w:pPr>
        <w:pStyle w:val="null3"/>
        <w:ind w:firstLine="420"/>
        <w:jc w:val="left"/>
      </w:pPr>
      <w:r>
        <w:rPr>
          <w:sz w:val="21"/>
        </w:rPr>
        <w:t>开户名：</w:t>
      </w:r>
    </w:p>
    <w:p>
      <w:pPr>
        <w:pStyle w:val="null3"/>
        <w:ind w:firstLine="420"/>
        <w:jc w:val="both"/>
      </w:pPr>
      <w:r>
        <w:rPr>
          <w:sz w:val="21"/>
        </w:rPr>
        <w:t>账</w:t>
      </w:r>
      <w:r>
        <w:rPr>
          <w:sz w:val="21"/>
        </w:rPr>
        <w:t xml:space="preserve">  </w:t>
      </w:r>
      <w:r>
        <w:rPr>
          <w:sz w:val="21"/>
        </w:rPr>
        <w:t>号：</w:t>
      </w:r>
    </w:p>
    <w:p>
      <w:pPr>
        <w:pStyle w:val="null3"/>
        <w:ind w:right="-375" w:firstLine="422"/>
        <w:jc w:val="both"/>
      </w:pPr>
      <w:r>
        <w:rPr>
          <w:sz w:val="21"/>
          <w:b/>
        </w:rPr>
        <w:t>五、付款方式</w:t>
      </w:r>
    </w:p>
    <w:p>
      <w:pPr>
        <w:pStyle w:val="null3"/>
        <w:ind w:firstLine="420"/>
        <w:jc w:val="both"/>
      </w:pPr>
      <w:r>
        <w:rPr>
          <w:sz w:val="21"/>
        </w:rPr>
        <w:t>5.1第一期付款：第一期付款：支付比例30%，服务开始之日且收到乙方开具的等额有效发票后5个工作日内甲方向乙方支付项目服务费用的30%作为预付款，即人民币</w:t>
      </w:r>
      <w:r>
        <w:rPr>
          <w:sz w:val="21"/>
          <w:u w:val="single"/>
        </w:rPr>
        <w:t>____</w:t>
      </w:r>
      <w:r>
        <w:rPr>
          <w:sz w:val="21"/>
        </w:rPr>
        <w:t>元（大写：</w:t>
      </w:r>
      <w:r>
        <w:rPr>
          <w:u w:val="single"/>
        </w:rPr>
        <w:t xml:space="preserve">    </w:t>
      </w:r>
      <w:r>
        <w:rPr>
          <w:sz w:val="21"/>
        </w:rPr>
        <w:t>圆整）；</w:t>
      </w:r>
    </w:p>
    <w:p>
      <w:pPr>
        <w:pStyle w:val="null3"/>
        <w:ind w:firstLine="420"/>
        <w:jc w:val="both"/>
      </w:pPr>
      <w:r>
        <w:rPr>
          <w:sz w:val="21"/>
        </w:rPr>
        <w:t>5.2第二期付款：支付比例40%,乙方向甲方提交半年阶段性工作报告后，经甲方审核同意并收到乙方开具的等额有效发票后5个工作日内，甲方向乙方支付项目服务费用的40%，即人民币</w:t>
      </w:r>
      <w:r>
        <w:rPr>
          <w:u w:val="single"/>
        </w:rPr>
        <w:t xml:space="preserve">    </w:t>
      </w:r>
      <w:r>
        <w:rPr>
          <w:sz w:val="21"/>
        </w:rPr>
        <w:t>元（大写：</w:t>
      </w:r>
      <w:r>
        <w:rPr>
          <w:u w:val="single"/>
        </w:rPr>
        <w:t xml:space="preserve">     </w:t>
      </w:r>
      <w:r>
        <w:rPr>
          <w:sz w:val="21"/>
        </w:rPr>
        <w:t>圆整）；</w:t>
      </w:r>
    </w:p>
    <w:p>
      <w:pPr>
        <w:pStyle w:val="null3"/>
        <w:ind w:firstLine="420"/>
        <w:jc w:val="both"/>
      </w:pPr>
      <w:r>
        <w:rPr>
          <w:sz w:val="21"/>
        </w:rPr>
        <w:t>5.3第三期付款：支付比例</w:t>
      </w:r>
      <w:r>
        <w:rPr>
          <w:sz w:val="21"/>
        </w:rPr>
        <w:t>30</w:t>
      </w:r>
      <w:r>
        <w:rPr>
          <w:sz w:val="21"/>
        </w:rPr>
        <w:t>%,服务完成后，乙方向甲方提交所有进度工作资料及履行项目完毕的证明文件，且经甲方组织项目验收合格并收到乙方开具的等额有效发票后5个工作日内，甲方向乙方支付项目服务费用的30%，即人民币</w:t>
      </w:r>
      <w:r>
        <w:rPr>
          <w:u w:val="single"/>
        </w:rPr>
        <w:t xml:space="preserve">     </w:t>
      </w:r>
      <w:r>
        <w:rPr>
          <w:sz w:val="21"/>
        </w:rPr>
        <w:t>元（大写：</w:t>
      </w:r>
      <w:r>
        <w:rPr>
          <w:u w:val="single"/>
        </w:rPr>
        <w:t xml:space="preserve">     </w:t>
      </w:r>
      <w:r>
        <w:rPr>
          <w:sz w:val="21"/>
        </w:rPr>
        <w:t>圆整）；</w:t>
      </w:r>
    </w:p>
    <w:p>
      <w:pPr>
        <w:pStyle w:val="null3"/>
        <w:ind w:firstLine="420"/>
        <w:jc w:val="both"/>
      </w:pPr>
      <w:r>
        <w:rPr>
          <w:sz w:val="21"/>
        </w:rPr>
        <w:t>5.4乙方凭以下有效文件与甲方结算：</w:t>
      </w:r>
    </w:p>
    <w:p>
      <w:pPr>
        <w:pStyle w:val="null3"/>
        <w:ind w:firstLine="420"/>
        <w:jc w:val="both"/>
      </w:pPr>
      <w:r>
        <w:rPr>
          <w:sz w:val="21"/>
        </w:rPr>
        <w:t>5.4.1.合同及项目过程文档；</w:t>
      </w:r>
    </w:p>
    <w:p>
      <w:pPr>
        <w:pStyle w:val="null3"/>
        <w:ind w:firstLine="420"/>
        <w:jc w:val="both"/>
      </w:pPr>
      <w:r>
        <w:rPr>
          <w:sz w:val="21"/>
        </w:rPr>
        <w:t>5.4.2.乙方开具的正式发票；</w:t>
      </w:r>
    </w:p>
    <w:p>
      <w:pPr>
        <w:pStyle w:val="null3"/>
        <w:ind w:firstLine="420"/>
        <w:jc w:val="both"/>
      </w:pPr>
      <w:r>
        <w:rPr>
          <w:sz w:val="21"/>
        </w:rPr>
        <w:t>5.4.3.中标通知书；</w:t>
      </w:r>
    </w:p>
    <w:p>
      <w:pPr>
        <w:pStyle w:val="null3"/>
        <w:ind w:firstLine="420"/>
        <w:jc w:val="both"/>
      </w:pPr>
      <w:r>
        <w:rPr>
          <w:sz w:val="21"/>
        </w:rPr>
        <w:t>5.4.4.验收报告等甲方要求的其他相关结算资料。</w:t>
      </w:r>
    </w:p>
    <w:p>
      <w:pPr>
        <w:pStyle w:val="null3"/>
        <w:ind w:firstLine="420"/>
        <w:jc w:val="both"/>
      </w:pPr>
      <w:r>
        <w:rPr>
          <w:sz w:val="21"/>
        </w:rPr>
        <w:t>5.5乙方在甲方支付前必须向甲方提交书面支付申请并开具与支付费用等额的合法有效的增值税发票，方可办理相关申报支付手续。乙方满足合同约定支付条件的，甲方在收到乙方发票按现行有效法规规定的期限内办理支付手续。乙方不满足合同约定支付条件的，不视为甲方违约。</w:t>
      </w:r>
    </w:p>
    <w:p>
      <w:pPr>
        <w:pStyle w:val="null3"/>
        <w:ind w:firstLine="420"/>
        <w:jc w:val="both"/>
      </w:pPr>
      <w:r>
        <w:rPr>
          <w:sz w:val="21"/>
          <w:b/>
        </w:rPr>
        <w:t>六、合同续约</w:t>
      </w:r>
    </w:p>
    <w:p>
      <w:pPr>
        <w:pStyle w:val="null3"/>
        <w:ind w:firstLine="420"/>
        <w:jc w:val="both"/>
      </w:pPr>
      <w:r>
        <w:rPr>
          <w:sz w:val="21"/>
        </w:rPr>
        <w:t>6.1.本项目一招三年，合同一年一签（</w:t>
      </w:r>
      <w:r>
        <w:rPr>
          <w:sz w:val="21"/>
        </w:rPr>
        <w:t>项目整体实施周期为</w:t>
      </w:r>
      <w:r>
        <w:rPr>
          <w:sz w:val="21"/>
        </w:rPr>
        <w:t xml:space="preserve">  </w:t>
      </w:r>
      <w:r>
        <w:rPr>
          <w:sz w:val="21"/>
        </w:rPr>
        <w:t>年</w:t>
      </w:r>
      <w:r>
        <w:rPr>
          <w:sz w:val="21"/>
        </w:rPr>
        <w:t xml:space="preserve">  </w:t>
      </w:r>
      <w:r>
        <w:rPr>
          <w:sz w:val="21"/>
        </w:rPr>
        <w:t>月</w:t>
      </w:r>
      <w:r>
        <w:rPr>
          <w:sz w:val="21"/>
        </w:rPr>
        <w:t xml:space="preserve">  </w:t>
      </w:r>
      <w:r>
        <w:rPr>
          <w:sz w:val="21"/>
        </w:rPr>
        <w:t>日</w:t>
      </w:r>
      <w:r>
        <w:rPr>
          <w:sz w:val="21"/>
        </w:rPr>
        <w:t>-</w:t>
      </w:r>
      <w:r>
        <w:rPr>
          <w:sz w:val="21"/>
        </w:rPr>
        <w:t xml:space="preserve">   </w:t>
      </w:r>
      <w:r>
        <w:rPr>
          <w:sz w:val="21"/>
        </w:rPr>
        <w:t>年</w:t>
      </w:r>
      <w:r>
        <w:rPr>
          <w:sz w:val="21"/>
        </w:rPr>
        <w:t xml:space="preserve">  </w:t>
      </w:r>
      <w:r>
        <w:rPr>
          <w:sz w:val="21"/>
        </w:rPr>
        <w:t>月</w:t>
      </w:r>
      <w:r>
        <w:rPr>
          <w:sz w:val="21"/>
        </w:rPr>
        <w:t xml:space="preserve">  </w:t>
      </w:r>
      <w:r>
        <w:rPr>
          <w:sz w:val="21"/>
        </w:rPr>
        <w:t>日，共计</w:t>
      </w:r>
      <w:r>
        <w:rPr>
          <w:sz w:val="21"/>
        </w:rPr>
        <w:t>3年。其中，第二年合同周期为</w:t>
      </w:r>
      <w:r>
        <w:rPr>
          <w:sz w:val="21"/>
        </w:rPr>
        <w:t xml:space="preserve">  </w:t>
      </w:r>
      <w:r>
        <w:rPr>
          <w:sz w:val="21"/>
        </w:rPr>
        <w:t>年</w:t>
      </w:r>
      <w:r>
        <w:rPr>
          <w:sz w:val="21"/>
        </w:rPr>
        <w:t xml:space="preserve">  </w:t>
      </w:r>
      <w:r>
        <w:rPr>
          <w:sz w:val="21"/>
        </w:rPr>
        <w:t>月</w:t>
      </w:r>
      <w:r>
        <w:rPr>
          <w:sz w:val="21"/>
        </w:rPr>
        <w:t xml:space="preserve">  </w:t>
      </w:r>
      <w:r>
        <w:rPr>
          <w:sz w:val="21"/>
        </w:rPr>
        <w:t>日</w:t>
      </w:r>
      <w:r>
        <w:rPr>
          <w:sz w:val="21"/>
        </w:rPr>
        <w:t>-</w:t>
      </w:r>
      <w:r>
        <w:rPr>
          <w:sz w:val="21"/>
        </w:rPr>
        <w:t xml:space="preserve">   </w:t>
      </w:r>
      <w:r>
        <w:rPr>
          <w:sz w:val="21"/>
        </w:rPr>
        <w:t>年</w:t>
      </w:r>
      <w:r>
        <w:rPr>
          <w:sz w:val="21"/>
        </w:rPr>
        <w:t xml:space="preserve">  </w:t>
      </w:r>
      <w:r>
        <w:rPr>
          <w:sz w:val="21"/>
        </w:rPr>
        <w:t>月</w:t>
      </w:r>
      <w:r>
        <w:rPr>
          <w:sz w:val="21"/>
        </w:rPr>
        <w:t xml:space="preserve">  </w:t>
      </w:r>
      <w:r>
        <w:rPr>
          <w:sz w:val="21"/>
        </w:rPr>
        <w:t>日，第三年合同周期为</w:t>
      </w:r>
      <w:r>
        <w:rPr>
          <w:sz w:val="21"/>
        </w:rPr>
        <w:t xml:space="preserve">  </w:t>
      </w:r>
      <w:r>
        <w:rPr>
          <w:sz w:val="21"/>
        </w:rPr>
        <w:t>年</w:t>
      </w:r>
      <w:r>
        <w:rPr>
          <w:sz w:val="21"/>
        </w:rPr>
        <w:t xml:space="preserve">  </w:t>
      </w:r>
      <w:r>
        <w:rPr>
          <w:sz w:val="21"/>
        </w:rPr>
        <w:t>月</w:t>
      </w:r>
      <w:r>
        <w:rPr>
          <w:sz w:val="21"/>
        </w:rPr>
        <w:t xml:space="preserve">  </w:t>
      </w:r>
      <w:r>
        <w:rPr>
          <w:sz w:val="21"/>
        </w:rPr>
        <w:t>日</w:t>
      </w:r>
      <w:r>
        <w:rPr>
          <w:sz w:val="21"/>
        </w:rPr>
        <w:t>-</w:t>
      </w:r>
      <w:r>
        <w:rPr>
          <w:sz w:val="21"/>
        </w:rPr>
        <w:t xml:space="preserve">   </w:t>
      </w:r>
      <w:r>
        <w:rPr>
          <w:sz w:val="21"/>
        </w:rPr>
        <w:t>年</w:t>
      </w:r>
      <w:r>
        <w:rPr>
          <w:sz w:val="21"/>
        </w:rPr>
        <w:t xml:space="preserve">  </w:t>
      </w:r>
      <w:r>
        <w:rPr>
          <w:sz w:val="21"/>
        </w:rPr>
        <w:t>月</w:t>
      </w:r>
      <w:r>
        <w:rPr>
          <w:sz w:val="21"/>
        </w:rPr>
        <w:t xml:space="preserve">  </w:t>
      </w:r>
      <w:r>
        <w:rPr>
          <w:sz w:val="21"/>
        </w:rPr>
        <w:t>日</w:t>
      </w:r>
      <w:r>
        <w:rPr>
          <w:sz w:val="21"/>
        </w:rPr>
        <w:t>）。第二年、第三年合同是否续签由甲方视当年年度采购预算批复情况，并结合前一合同周期</w:t>
      </w:r>
      <w:r>
        <w:rPr>
          <w:sz w:val="21"/>
        </w:rPr>
        <w:t>履约情况而定</w:t>
      </w:r>
      <w:r>
        <w:rPr>
          <w:sz w:val="21"/>
        </w:rPr>
        <w:t>。第二年和第三年合同金额不超过首年合同约定金额。</w:t>
      </w:r>
    </w:p>
    <w:p>
      <w:pPr>
        <w:pStyle w:val="null3"/>
        <w:ind w:firstLine="420"/>
        <w:jc w:val="both"/>
      </w:pPr>
      <w:r>
        <w:rPr>
          <w:sz w:val="21"/>
        </w:rPr>
        <w:t>6.2.</w:t>
      </w:r>
      <w:r>
        <w:rPr>
          <w:sz w:val="21"/>
        </w:rPr>
        <w:t>续签前置条件：</w:t>
      </w:r>
      <w:r>
        <w:rPr>
          <w:sz w:val="21"/>
        </w:rPr>
        <w:t>甲方</w:t>
      </w:r>
      <w:r>
        <w:rPr>
          <w:sz w:val="21"/>
        </w:rPr>
        <w:t>于</w:t>
      </w:r>
      <w:r>
        <w:rPr>
          <w:sz w:val="21"/>
        </w:rPr>
        <w:t>合同期</w:t>
      </w:r>
      <w:r>
        <w:rPr>
          <w:sz w:val="21"/>
        </w:rPr>
        <w:t>第四个季度内</w:t>
      </w:r>
      <w:r>
        <w:rPr>
          <w:sz w:val="21"/>
        </w:rPr>
        <w:t>启动续签评</w:t>
      </w:r>
      <w:r>
        <w:rPr>
          <w:sz w:val="21"/>
        </w:rPr>
        <w:t>估工作，</w:t>
      </w:r>
      <w:r>
        <w:rPr>
          <w:sz w:val="21"/>
        </w:rPr>
        <w:t>同时满足以下条件，方可启动续签程序</w:t>
      </w:r>
      <w:r>
        <w:rPr>
          <w:sz w:val="21"/>
        </w:rPr>
        <w:t>：（</w:t>
      </w:r>
      <w:r>
        <w:rPr>
          <w:sz w:val="21"/>
        </w:rPr>
        <w:t>1）</w:t>
      </w:r>
      <w:r>
        <w:rPr>
          <w:sz w:val="21"/>
        </w:rPr>
        <w:t>预算保障条件</w:t>
      </w:r>
      <w:r>
        <w:rPr>
          <w:sz w:val="21"/>
        </w:rPr>
        <w:t>：当年财政预算已正式批复，具备续签资金保障；（</w:t>
      </w:r>
      <w:r>
        <w:rPr>
          <w:sz w:val="21"/>
        </w:rPr>
        <w:t>2）</w:t>
      </w:r>
      <w:r>
        <w:rPr>
          <w:sz w:val="21"/>
        </w:rPr>
        <w:t>履约考核条件</w:t>
      </w:r>
      <w:r>
        <w:rPr>
          <w:sz w:val="21"/>
        </w:rPr>
        <w:t>：</w:t>
      </w:r>
      <w:r>
        <w:rPr>
          <w:sz w:val="21"/>
        </w:rPr>
        <w:t>甲方依据附件《合同</w:t>
      </w:r>
      <w:r>
        <w:rPr>
          <w:sz w:val="21"/>
        </w:rPr>
        <w:t>履约</w:t>
      </w:r>
      <w:r>
        <w:rPr>
          <w:sz w:val="21"/>
        </w:rPr>
        <w:t>考核标准》对</w:t>
      </w:r>
      <w:r>
        <w:rPr>
          <w:sz w:val="21"/>
        </w:rPr>
        <w:t>乙方</w:t>
      </w:r>
      <w:r>
        <w:rPr>
          <w:sz w:val="21"/>
        </w:rPr>
        <w:t>合同履约情况进行考核</w:t>
      </w:r>
      <w:r>
        <w:rPr>
          <w:sz w:val="21"/>
        </w:rPr>
        <w:t>，且乙方通过考核</w:t>
      </w:r>
      <w:r>
        <w:rPr>
          <w:sz w:val="21"/>
        </w:rPr>
        <w:t>；（</w:t>
      </w:r>
      <w:r>
        <w:rPr>
          <w:sz w:val="21"/>
        </w:rPr>
        <w:t>3</w:t>
      </w:r>
      <w:r>
        <w:rPr>
          <w:sz w:val="21"/>
        </w:rPr>
        <w:t>）</w:t>
      </w:r>
      <w:r>
        <w:rPr>
          <w:sz w:val="21"/>
        </w:rPr>
        <w:t>甲乙双方均有续签意向</w:t>
      </w:r>
      <w:r>
        <w:rPr>
          <w:sz w:val="21"/>
        </w:rPr>
        <w:t>。</w:t>
      </w:r>
    </w:p>
    <w:p>
      <w:pPr>
        <w:pStyle w:val="null3"/>
        <w:ind w:firstLine="420"/>
        <w:jc w:val="both"/>
      </w:pPr>
      <w:r>
        <w:rPr>
          <w:sz w:val="21"/>
        </w:rPr>
        <w:t>6.3.终止续约程序：</w:t>
      </w:r>
      <w:r>
        <w:rPr>
          <w:sz w:val="21"/>
        </w:rPr>
        <w:t>如因</w:t>
      </w:r>
      <w:r>
        <w:rPr>
          <w:sz w:val="21"/>
        </w:rPr>
        <w:t>预算原因</w:t>
      </w:r>
      <w:r>
        <w:rPr>
          <w:sz w:val="21"/>
        </w:rPr>
        <w:t>导致不再续签的，</w:t>
      </w:r>
      <w:r>
        <w:rPr>
          <w:sz w:val="21"/>
        </w:rPr>
        <w:t>甲方</w:t>
      </w:r>
      <w:r>
        <w:rPr>
          <w:sz w:val="21"/>
        </w:rPr>
        <w:t>将在合同期满前</w:t>
      </w:r>
      <w:r>
        <w:rPr>
          <w:sz w:val="21"/>
        </w:rPr>
        <w:t>30个工作日内</w:t>
      </w:r>
      <w:r>
        <w:rPr>
          <w:sz w:val="21"/>
        </w:rPr>
        <w:t>向乙方发出《不</w:t>
      </w:r>
      <w:r>
        <w:rPr>
          <w:sz w:val="21"/>
        </w:rPr>
        <w:t>予</w:t>
      </w:r>
      <w:r>
        <w:rPr>
          <w:sz w:val="21"/>
        </w:rPr>
        <w:t>续签预通知书》</w:t>
      </w:r>
      <w:r>
        <w:rPr>
          <w:sz w:val="21"/>
        </w:rPr>
        <w:t>。如因乙方考核不合格，甲方将在考核结束后</w:t>
      </w:r>
      <w:r>
        <w:rPr>
          <w:sz w:val="21"/>
        </w:rPr>
        <w:t>3个工作日</w:t>
      </w:r>
      <w:r>
        <w:rPr>
          <w:sz w:val="21"/>
        </w:rPr>
        <w:t>向乙方发出《不</w:t>
      </w:r>
      <w:r>
        <w:rPr>
          <w:sz w:val="21"/>
        </w:rPr>
        <w:t>予</w:t>
      </w:r>
      <w:r>
        <w:rPr>
          <w:sz w:val="21"/>
        </w:rPr>
        <w:t>续签预通知书》。</w:t>
      </w:r>
      <w:r>
        <w:rPr>
          <w:sz w:val="21"/>
        </w:rPr>
        <w:t>如因甲方或乙方经内部决策拟定</w:t>
      </w:r>
      <w:r>
        <w:rPr>
          <w:sz w:val="21"/>
        </w:rPr>
        <w:t>不续签的，由甲乙双方友好协商，就续签事宜达成一致意见；协商不成的，本合同到期后自动终止。</w:t>
      </w:r>
    </w:p>
    <w:p>
      <w:pPr>
        <w:pStyle w:val="null3"/>
        <w:ind w:firstLine="420"/>
        <w:jc w:val="both"/>
      </w:pPr>
      <w:r>
        <w:rPr>
          <w:sz w:val="21"/>
        </w:rPr>
        <w:t>6.4.</w:t>
      </w:r>
      <w:r>
        <w:rPr>
          <w:sz w:val="21"/>
        </w:rPr>
        <w:t>合同</w:t>
      </w:r>
      <w:r>
        <w:rPr>
          <w:sz w:val="21"/>
        </w:rPr>
        <w:t>不予</w:t>
      </w:r>
      <w:r>
        <w:rPr>
          <w:sz w:val="21"/>
        </w:rPr>
        <w:t>续签后，乙方有义务配合甲方完成业务交接、数据迁移及资产清点工作。若乙方无正当理由拒绝配合或恶意破坏交接，甲方有权要求乙方赔偿因此造成的全部直接及间接损失。</w:t>
      </w:r>
    </w:p>
    <w:p>
      <w:pPr>
        <w:pStyle w:val="null3"/>
        <w:ind w:right="-375" w:firstLine="422"/>
        <w:jc w:val="both"/>
      </w:pPr>
      <w:r>
        <w:rPr>
          <w:sz w:val="21"/>
          <w:b/>
        </w:rPr>
        <w:t>七</w:t>
      </w:r>
      <w:r>
        <w:rPr>
          <w:sz w:val="21"/>
          <w:b/>
        </w:rPr>
        <w:t>、知识产权归属</w:t>
      </w:r>
    </w:p>
    <w:p>
      <w:pPr>
        <w:pStyle w:val="null3"/>
        <w:ind w:firstLine="411"/>
        <w:jc w:val="both"/>
      </w:pPr>
      <w:r>
        <w:rPr>
          <w:sz w:val="21"/>
        </w:rPr>
        <w:t>7</w:t>
      </w:r>
      <w:r>
        <w:rPr>
          <w:sz w:val="21"/>
        </w:rPr>
        <w:t>.1.甲方享有对本项目成果的全部知识产权；乙方项目组成员享有对本项目成果的署名权。未经甲方同意，乙方及其项目组成员不得公开发表、使用或向任何第三方提供本项目成果。</w:t>
      </w:r>
    </w:p>
    <w:p>
      <w:pPr>
        <w:pStyle w:val="null3"/>
        <w:ind w:firstLine="411"/>
        <w:jc w:val="both"/>
      </w:pPr>
      <w:r>
        <w:rPr>
          <w:sz w:val="21"/>
        </w:rPr>
        <w:t>7</w:t>
      </w:r>
      <w:r>
        <w:rPr>
          <w:sz w:val="21"/>
        </w:rPr>
        <w:t>.2.乙方保证其向甲方提交的项目成果（包括且不限于阶段性成果和最终成果）及乙方为实现该成果所使用的必要方法不侵犯第三人的合法权益。</w:t>
      </w:r>
    </w:p>
    <w:p>
      <w:pPr>
        <w:pStyle w:val="null3"/>
        <w:ind w:firstLine="411"/>
        <w:jc w:val="both"/>
      </w:pPr>
      <w:r>
        <w:rPr>
          <w:sz w:val="21"/>
        </w:rPr>
        <w:t>7</w:t>
      </w:r>
      <w:r>
        <w:rPr>
          <w:sz w:val="21"/>
        </w:rPr>
        <w:t>.3.甲方因使用乙方提交的成果被第三人指控侵权、提出异议或权利主张的，乙方应负责解决，并承担由此给甲方造成的一切损失（包括不限于律师费、诉讼费以及甲方对第三人的赔偿）。任何生效法律文书要求甲方承担责任的，甲方承担责任后，有权向乙方追偿。</w:t>
      </w:r>
    </w:p>
    <w:p>
      <w:pPr>
        <w:pStyle w:val="null3"/>
        <w:ind w:right="-375" w:firstLine="422"/>
        <w:jc w:val="both"/>
      </w:pPr>
      <w:r>
        <w:rPr>
          <w:sz w:val="21"/>
          <w:b/>
        </w:rPr>
        <w:t>八</w:t>
      </w:r>
      <w:r>
        <w:rPr>
          <w:sz w:val="21"/>
          <w:b/>
        </w:rPr>
        <w:t>、保密条款</w:t>
      </w:r>
    </w:p>
    <w:p>
      <w:pPr>
        <w:pStyle w:val="null3"/>
        <w:ind w:firstLine="420"/>
        <w:jc w:val="left"/>
      </w:pPr>
      <w:r>
        <w:rPr>
          <w:sz w:val="21"/>
        </w:rPr>
        <w:t>8</w:t>
      </w:r>
      <w:r>
        <w:rPr>
          <w:sz w:val="21"/>
        </w:rPr>
        <w:t>.1任何一方在没有得到对方书面同意的情况下不得向第三方泄露因履行本合同而掌握的另一方提供的任何保密信息，以及通过签订和履行本协议而获知对方状况、政策、动向、商业秘密等。保密期限自知悉对方秘密信息之日起至保密信息由对方通过合法途径让普通公众知悉时止。无论本合同是否成立，甲乙双方均应遵守本保密条款。本保密条款不因本合同期满、终止或解除而失效。</w:t>
      </w:r>
    </w:p>
    <w:p>
      <w:pPr>
        <w:pStyle w:val="null3"/>
        <w:ind w:right="-375" w:firstLine="422"/>
        <w:jc w:val="both"/>
      </w:pPr>
      <w:r>
        <w:rPr>
          <w:sz w:val="21"/>
          <w:b/>
        </w:rPr>
        <w:t>九</w:t>
      </w:r>
      <w:r>
        <w:rPr>
          <w:sz w:val="21"/>
          <w:b/>
        </w:rPr>
        <w:t>、违约责任与赔偿损失</w:t>
      </w:r>
    </w:p>
    <w:p>
      <w:pPr>
        <w:pStyle w:val="null3"/>
        <w:ind w:firstLine="420"/>
        <w:jc w:val="left"/>
      </w:pPr>
      <w:r>
        <w:rPr>
          <w:sz w:val="21"/>
        </w:rPr>
        <w:t>9</w:t>
      </w:r>
      <w:r>
        <w:rPr>
          <w:sz w:val="21"/>
        </w:rPr>
        <w:t>.1乙方提供的服务不符合本合同约定的，甲方有权拒收，乙方应按照甲方要求进行改正并经甲方审定确认。经过改正乙方的服务仍不符合本合同约定的，甲方有权解除本合同，乙方应返还已收取的合同金额，同时向甲方支付本合同总金额的20%作为违约金应。甲方由于乙方违约造成损失的，乙方还应当赔偿给甲方造成的损失。</w:t>
      </w:r>
    </w:p>
    <w:p>
      <w:pPr>
        <w:pStyle w:val="null3"/>
        <w:ind w:firstLine="411"/>
        <w:jc w:val="both"/>
      </w:pPr>
      <w:r>
        <w:rPr>
          <w:sz w:val="21"/>
        </w:rPr>
        <w:t>9</w:t>
      </w:r>
      <w:r>
        <w:rPr>
          <w:sz w:val="21"/>
        </w:rPr>
        <w:t>.2乙方未能按本合同约定的完成时间提供服务，每逾期一次，应向甲方支付本合同总金额的20%作为违约金。若乙方逾期三次或以上，甲方有权解除合同，乙方应返还已收取的合同金额。乙方未能按本合同约定的完成时间提供服务，经甲方同意确认后可顺延服务时间。</w:t>
      </w:r>
    </w:p>
    <w:p>
      <w:pPr>
        <w:pStyle w:val="null3"/>
        <w:ind w:firstLine="411"/>
        <w:jc w:val="both"/>
      </w:pPr>
      <w:r>
        <w:rPr>
          <w:sz w:val="21"/>
        </w:rPr>
        <w:t>9</w:t>
      </w:r>
      <w:r>
        <w:rPr>
          <w:sz w:val="21"/>
        </w:rPr>
        <w:t>.3甲方如逾期付款，则每日按逾期付款金额的万分之四向乙方偿付违约金，累计计算的违约金总额不超过逾期付款金额的20%</w:t>
      </w:r>
      <w:r>
        <w:rPr>
          <w:sz w:val="21"/>
        </w:rPr>
        <w:t>。</w:t>
      </w:r>
    </w:p>
    <w:p>
      <w:pPr>
        <w:pStyle w:val="null3"/>
        <w:ind w:firstLine="411"/>
        <w:jc w:val="both"/>
      </w:pPr>
      <w:r>
        <w:rPr>
          <w:sz w:val="21"/>
        </w:rPr>
        <w:t>9</w:t>
      </w:r>
      <w:r>
        <w:rPr>
          <w:sz w:val="21"/>
        </w:rPr>
        <w:t>.4</w:t>
      </w:r>
      <w:r>
        <w:rPr>
          <w:sz w:val="21"/>
          <w:color w:val="000000"/>
        </w:rPr>
        <w:t>乙方违规转包、分包，甲方有权单方面解除合同，由此引起的责任和费用均由乙方承担，且乙方应向甲方支付合同总额</w:t>
      </w:r>
      <w:r>
        <w:rPr>
          <w:sz w:val="21"/>
          <w:color w:val="000000"/>
        </w:rPr>
        <w:t>20%的违约金。</w:t>
      </w:r>
    </w:p>
    <w:p>
      <w:pPr>
        <w:pStyle w:val="null3"/>
        <w:ind w:firstLine="411"/>
        <w:jc w:val="both"/>
      </w:pPr>
      <w:r>
        <w:rPr>
          <w:sz w:val="21"/>
        </w:rPr>
        <w:t>9.5</w:t>
      </w:r>
      <w:r>
        <w:rPr>
          <w:sz w:val="21"/>
        </w:rPr>
        <w:t>为使项目按质、按量、按时及有序实施，乙方必须保证本项目团队的成熟与稳定性，在项目实施期间，项目负责人和专职驻场人员的更换须经甲方同意。未经甲方同意，乙方不得更换项目实施人员或更换人员</w:t>
      </w:r>
      <w:r>
        <w:rPr>
          <w:sz w:val="21"/>
        </w:rPr>
        <w:t>低于原资质条件</w:t>
      </w:r>
      <w:r>
        <w:rPr>
          <w:sz w:val="21"/>
        </w:rPr>
        <w:t>，否则甲方有权终止合同，并要求乙方赔偿由此给甲方造成的全部损失。</w:t>
      </w:r>
    </w:p>
    <w:p>
      <w:pPr>
        <w:pStyle w:val="null3"/>
        <w:ind w:firstLine="411"/>
        <w:jc w:val="both"/>
      </w:pPr>
      <w:r>
        <w:rPr>
          <w:sz w:val="21"/>
        </w:rPr>
        <w:t>9.6</w:t>
      </w:r>
      <w:r>
        <w:rPr>
          <w:sz w:val="21"/>
        </w:rPr>
        <w:t>因乙方违约</w:t>
      </w:r>
      <w:r>
        <w:rPr>
          <w:sz w:val="21"/>
        </w:rPr>
        <w:t>/过错行为造成甲方损失的，乙方应赔偿甲方全部直接损失；甲方为追索损失、主张权利所支出的合理必要的调查费、评估费、公证费、仲裁费、诉讼费、律师费、交通费、差旅费等，均由乙方承担。</w:t>
      </w:r>
    </w:p>
    <w:p>
      <w:pPr>
        <w:pStyle w:val="null3"/>
        <w:ind w:firstLine="411"/>
        <w:jc w:val="both"/>
      </w:pPr>
      <w:r>
        <w:rPr>
          <w:sz w:val="21"/>
        </w:rPr>
        <w:t>9.7</w:t>
      </w:r>
      <w:r>
        <w:rPr>
          <w:sz w:val="21"/>
        </w:rPr>
        <w:t>其他违约责任按《中华人民共和国民法典》规定执行。</w:t>
      </w:r>
    </w:p>
    <w:p>
      <w:pPr>
        <w:pStyle w:val="null3"/>
        <w:ind w:right="-375" w:firstLine="422"/>
        <w:jc w:val="both"/>
      </w:pPr>
      <w:r>
        <w:rPr>
          <w:sz w:val="21"/>
          <w:b/>
        </w:rPr>
        <w:t>十</w:t>
      </w:r>
      <w:r>
        <w:rPr>
          <w:sz w:val="21"/>
          <w:b/>
        </w:rPr>
        <w:t>、争端解决</w:t>
      </w:r>
    </w:p>
    <w:p>
      <w:pPr>
        <w:pStyle w:val="null3"/>
        <w:ind w:firstLine="411"/>
        <w:jc w:val="both"/>
      </w:pPr>
      <w:r>
        <w:rPr>
          <w:sz w:val="21"/>
        </w:rPr>
        <w:t>10</w:t>
      </w:r>
      <w:r>
        <w:rPr>
          <w:sz w:val="21"/>
        </w:rPr>
        <w:t>.1合同执行过程中发生的任何争议，如双方不能通过友好协商解决，一方可依法向甲方所在地法院提起诉讼。</w:t>
      </w:r>
    </w:p>
    <w:p>
      <w:pPr>
        <w:pStyle w:val="null3"/>
        <w:ind w:right="-375" w:firstLine="422"/>
        <w:jc w:val="both"/>
      </w:pPr>
      <w:r>
        <w:rPr>
          <w:sz w:val="21"/>
          <w:b/>
        </w:rPr>
        <w:t>十</w:t>
      </w:r>
      <w:r>
        <w:rPr>
          <w:sz w:val="21"/>
          <w:b/>
        </w:rPr>
        <w:t>一</w:t>
      </w:r>
      <w:r>
        <w:rPr>
          <w:sz w:val="21"/>
          <w:b/>
        </w:rPr>
        <w:t>、不可抗力</w:t>
      </w:r>
    </w:p>
    <w:p>
      <w:pPr>
        <w:pStyle w:val="null3"/>
        <w:ind w:firstLine="411"/>
        <w:jc w:val="both"/>
      </w:pPr>
      <w:r>
        <w:rPr>
          <w:sz w:val="21"/>
        </w:rPr>
        <w:t>1</w:t>
      </w:r>
      <w:r>
        <w:rPr>
          <w:sz w:val="21"/>
        </w:rPr>
        <w:t>1</w:t>
      </w:r>
      <w:r>
        <w:rPr>
          <w:sz w:val="21"/>
        </w:rPr>
        <w:t>.1任何一方由于不可抗力原因不能履行合同时，应在不可抗力事件结束后当天内向对方通报，以减轻可能给对方造成的损失，在取得有关机构的不可抗力证明或对方谅解确认后，允许延期履行或变更合同，并根据情况可部分或全部免于承担违约责任。</w:t>
      </w:r>
    </w:p>
    <w:p>
      <w:pPr>
        <w:pStyle w:val="null3"/>
        <w:ind w:right="-375" w:firstLine="422"/>
        <w:jc w:val="both"/>
      </w:pPr>
      <w:r>
        <w:rPr>
          <w:sz w:val="21"/>
          <w:b/>
        </w:rPr>
        <w:t>十</w:t>
      </w:r>
      <w:r>
        <w:rPr>
          <w:sz w:val="21"/>
          <w:b/>
        </w:rPr>
        <w:t>二</w:t>
      </w:r>
      <w:r>
        <w:rPr>
          <w:sz w:val="21"/>
          <w:b/>
        </w:rPr>
        <w:t>、其它</w:t>
      </w:r>
    </w:p>
    <w:p>
      <w:pPr>
        <w:pStyle w:val="null3"/>
        <w:ind w:firstLine="411"/>
        <w:jc w:val="both"/>
      </w:pPr>
      <w:r>
        <w:rPr>
          <w:sz w:val="21"/>
        </w:rPr>
        <w:t>1</w:t>
      </w:r>
      <w:r>
        <w:rPr>
          <w:sz w:val="21"/>
        </w:rPr>
        <w:t>2</w:t>
      </w:r>
      <w:r>
        <w:rPr>
          <w:sz w:val="21"/>
        </w:rPr>
        <w:t>.1本合同附件是本合同的有效组成部分，与本合同具有同等法律效力。</w:t>
      </w:r>
    </w:p>
    <w:p>
      <w:pPr>
        <w:pStyle w:val="null3"/>
        <w:ind w:firstLine="411"/>
        <w:jc w:val="both"/>
      </w:pPr>
      <w:r>
        <w:rPr>
          <w:sz w:val="21"/>
        </w:rPr>
        <w:t>1</w:t>
      </w:r>
      <w:r>
        <w:rPr>
          <w:sz w:val="21"/>
        </w:rPr>
        <w:t>2</w:t>
      </w:r>
      <w:r>
        <w:rPr>
          <w:sz w:val="21"/>
        </w:rPr>
        <w:t>.2在执行本合同的过程中，所有经双方签署确认的文件（包括会议纪要、补充协议）即成为本合同的有效组成部分。</w:t>
      </w:r>
    </w:p>
    <w:p>
      <w:pPr>
        <w:pStyle w:val="null3"/>
        <w:ind w:firstLine="411"/>
        <w:jc w:val="both"/>
      </w:pPr>
      <w:r>
        <w:rPr>
          <w:sz w:val="21"/>
        </w:rPr>
        <w:t>1</w:t>
      </w:r>
      <w:r>
        <w:rPr>
          <w:sz w:val="21"/>
        </w:rPr>
        <w:t>2</w:t>
      </w:r>
      <w:r>
        <w:rPr>
          <w:sz w:val="21"/>
        </w:rPr>
        <w:t>.3如一方地址、电话、传真号码有变更，应在变更当日内书面通知对方。</w:t>
      </w:r>
    </w:p>
    <w:p>
      <w:pPr>
        <w:pStyle w:val="null3"/>
        <w:ind w:firstLine="411"/>
        <w:jc w:val="both"/>
      </w:pPr>
      <w:r>
        <w:rPr>
          <w:sz w:val="21"/>
        </w:rPr>
        <w:t>1</w:t>
      </w:r>
      <w:r>
        <w:rPr>
          <w:sz w:val="21"/>
        </w:rPr>
        <w:t>2</w:t>
      </w:r>
      <w:r>
        <w:rPr>
          <w:sz w:val="21"/>
        </w:rPr>
        <w:t>.4本合同自双方法定代表人或授权代表签字并加盖公章之日起生效，一式陆份，甲方执叁份，乙方执叁份，均具有同等法律效力。</w:t>
      </w:r>
    </w:p>
    <w:p>
      <w:pPr>
        <w:pStyle w:val="null3"/>
        <w:ind w:firstLine="420"/>
        <w:jc w:val="both"/>
      </w:pPr>
      <w:r>
        <w:rPr>
          <w:sz w:val="21"/>
        </w:rPr>
        <w:t>（以下无正文）</w:t>
      </w:r>
    </w:p>
    <w:p>
      <w:pPr>
        <w:pStyle w:val="null3"/>
        <w:ind w:firstLine="420"/>
        <w:jc w:val="both"/>
      </w:pPr>
      <w:r>
        <w:rPr>
          <w:sz w:val="21"/>
        </w:rPr>
        <w:t>附件：</w:t>
      </w:r>
    </w:p>
    <w:p>
      <w:pPr>
        <w:pStyle w:val="null3"/>
        <w:ind w:firstLine="420"/>
        <w:jc w:val="both"/>
      </w:pPr>
      <w:r>
        <w:rPr>
          <w:sz w:val="21"/>
        </w:rPr>
        <w:t>1、</w:t>
      </w:r>
      <w:r>
        <w:rPr>
          <w:sz w:val="21"/>
        </w:rPr>
        <w:t>广州市井盖设施重点</w:t>
      </w:r>
      <w:r>
        <w:rPr>
          <w:sz w:val="21"/>
        </w:rPr>
        <w:t>巡查</w:t>
      </w:r>
      <w:r>
        <w:rPr>
          <w:sz w:val="21"/>
        </w:rPr>
        <w:t>区域</w:t>
      </w:r>
    </w:p>
    <w:p>
      <w:pPr>
        <w:pStyle w:val="null3"/>
        <w:ind w:firstLine="420"/>
        <w:jc w:val="both"/>
      </w:pPr>
      <w:r>
        <w:rPr>
          <w:sz w:val="21"/>
        </w:rPr>
        <w:t>2、</w:t>
      </w:r>
      <w:r>
        <w:rPr>
          <w:sz w:val="21"/>
        </w:rPr>
        <w:t>广州市井盖设施</w:t>
      </w:r>
      <w:r>
        <w:rPr>
          <w:sz w:val="21"/>
        </w:rPr>
        <w:t>新建档案区域</w:t>
      </w:r>
    </w:p>
    <w:p>
      <w:pPr>
        <w:pStyle w:val="null3"/>
        <w:ind w:firstLine="420"/>
        <w:jc w:val="both"/>
      </w:pPr>
      <w:r>
        <w:rPr>
          <w:sz w:val="21"/>
        </w:rPr>
        <w:t>3、</w:t>
      </w:r>
      <w:r>
        <w:rPr>
          <w:sz w:val="21"/>
        </w:rPr>
        <w:t>井盖设施</w:t>
      </w:r>
      <w:r>
        <w:rPr>
          <w:sz w:val="21"/>
        </w:rPr>
        <w:t>普查建档信息表</w:t>
      </w:r>
    </w:p>
    <w:p>
      <w:pPr>
        <w:pStyle w:val="null3"/>
        <w:ind w:firstLine="420"/>
        <w:jc w:val="both"/>
      </w:pPr>
      <w:r>
        <w:rPr>
          <w:sz w:val="21"/>
        </w:rPr>
        <w:t>4、</w:t>
      </w:r>
      <w:r>
        <w:rPr>
          <w:sz w:val="21"/>
        </w:rPr>
        <w:t>问题井盖整改跟踪表</w:t>
      </w:r>
    </w:p>
    <w:p>
      <w:pPr>
        <w:pStyle w:val="null3"/>
        <w:ind w:firstLine="420"/>
        <w:jc w:val="both"/>
      </w:pPr>
      <w:r>
        <w:rPr>
          <w:sz w:val="21"/>
        </w:rPr>
        <w:t>5、合同履约考核标准</w:t>
      </w:r>
    </w:p>
    <w:p>
      <w:pPr>
        <w:pStyle w:val="null3"/>
        <w:ind w:firstLine="420"/>
        <w:jc w:val="both"/>
      </w:pPr>
      <w:r>
        <w:rPr/>
        <w:t xml:space="preserve"> </w:t>
      </w:r>
    </w:p>
    <w:p>
      <w:pPr>
        <w:pStyle w:val="null3"/>
        <w:ind w:firstLine="420"/>
        <w:jc w:val="both"/>
      </w:pPr>
      <w:r>
        <w:rPr/>
        <w:t xml:space="preserve"> </w:t>
      </w:r>
    </w:p>
    <w:p>
      <w:pPr>
        <w:pStyle w:val="null3"/>
        <w:jc w:val="both"/>
      </w:pPr>
      <w:r>
        <w:rPr>
          <w:sz w:val="21"/>
        </w:rPr>
        <w:t>甲方（盖章）</w:t>
      </w:r>
      <w:r>
        <w:rPr>
          <w:sz w:val="21"/>
        </w:rPr>
        <w:t xml:space="preserve">                  </w:t>
      </w:r>
      <w:r>
        <w:rPr>
          <w:sz w:val="21"/>
        </w:rPr>
        <w:t>乙方（盖章）</w:t>
      </w:r>
    </w:p>
    <w:p>
      <w:pPr>
        <w:pStyle w:val="null3"/>
        <w:jc w:val="both"/>
      </w:pPr>
      <w:r>
        <w:rPr>
          <w:sz w:val="21"/>
        </w:rPr>
        <w:t>授权代表（签字）：</w:t>
      </w:r>
      <w:r>
        <w:rPr>
          <w:sz w:val="21"/>
        </w:rPr>
        <w:t xml:space="preserve">            </w:t>
      </w:r>
      <w:r>
        <w:rPr>
          <w:sz w:val="21"/>
        </w:rPr>
        <w:t>授权代表（签字）：</w:t>
      </w:r>
      <w:r>
        <w:rPr>
          <w:sz w:val="21"/>
        </w:rPr>
        <w:t xml:space="preserve">                    </w:t>
      </w:r>
    </w:p>
    <w:p>
      <w:pPr>
        <w:pStyle w:val="null3"/>
        <w:jc w:val="both"/>
      </w:pPr>
      <w:r>
        <w:rPr>
          <w:sz w:val="21"/>
        </w:rPr>
        <w:t>日期：</w:t>
      </w:r>
      <w:r>
        <w:rPr>
          <w:sz w:val="21"/>
        </w:rPr>
        <w:t xml:space="preserve">   </w:t>
      </w:r>
      <w:r>
        <w:rPr>
          <w:sz w:val="21"/>
        </w:rPr>
        <w:t>年</w:t>
      </w:r>
      <w:r>
        <w:rPr>
          <w:sz w:val="21"/>
        </w:rPr>
        <w:t xml:space="preserve">  </w:t>
      </w:r>
      <w:r>
        <w:rPr>
          <w:sz w:val="21"/>
        </w:rPr>
        <w:t>月</w:t>
      </w:r>
      <w:r>
        <w:rPr>
          <w:sz w:val="21"/>
        </w:rPr>
        <w:t xml:space="preserve">  </w:t>
      </w:r>
      <w:r>
        <w:rPr>
          <w:sz w:val="21"/>
        </w:rPr>
        <w:t>日</w:t>
      </w:r>
      <w:r>
        <w:rPr>
          <w:sz w:val="21"/>
        </w:rPr>
        <w:t xml:space="preserve">           </w:t>
      </w:r>
      <w:r>
        <w:rPr>
          <w:sz w:val="21"/>
        </w:rPr>
        <w:t>日期：</w:t>
      </w:r>
      <w:r>
        <w:rPr>
          <w:sz w:val="21"/>
        </w:rPr>
        <w:t xml:space="preserve">   </w:t>
      </w:r>
      <w:r>
        <w:rPr>
          <w:sz w:val="21"/>
        </w:rPr>
        <w:t>年</w:t>
      </w:r>
      <w:r>
        <w:rPr>
          <w:sz w:val="21"/>
        </w:rPr>
        <w:t xml:space="preserve">  </w:t>
      </w:r>
      <w:r>
        <w:rPr>
          <w:sz w:val="21"/>
        </w:rPr>
        <w:t>月</w:t>
      </w:r>
      <w:r>
        <w:rPr>
          <w:sz w:val="21"/>
        </w:rPr>
        <w:t xml:space="preserve">  </w:t>
      </w:r>
      <w:r>
        <w:rPr>
          <w:sz w:val="21"/>
        </w:rPr>
        <w:t>日</w:t>
      </w:r>
    </w:p>
    <w:p>
      <w:pPr>
        <w:pStyle w:val="null3"/>
        <w:jc w:val="both"/>
      </w:pPr>
      <w:r>
        <w:rPr>
          <w:sz w:val="21"/>
        </w:rPr>
        <w:t>附件</w:t>
      </w:r>
      <w:r>
        <w:rPr>
          <w:sz w:val="21"/>
        </w:rPr>
        <w:t>1</w:t>
      </w:r>
    </w:p>
    <w:p>
      <w:pPr>
        <w:pStyle w:val="null3"/>
      </w:pPr>
      <w:r>
        <w:rPr/>
        <w:t xml:space="preserve"> </w:t>
      </w:r>
    </w:p>
    <w:p>
      <w:pPr>
        <w:pStyle w:val="null3"/>
        <w:spacing w:after="150"/>
        <w:jc w:val="center"/>
      </w:pPr>
      <w:r>
        <w:rPr>
          <w:sz w:val="21"/>
          <w:b/>
        </w:rPr>
        <w:t>广州市井盖设施重点巡查区域</w:t>
      </w:r>
    </w:p>
    <w:tbl>
      <w:tblPr>
        <w:tblW w:w="0" w:type="auto"/>
        <w:tblBorders>
          <w:top w:val="none" w:color="000000" w:sz="4"/>
          <w:left w:val="none" w:color="000000" w:sz="4"/>
          <w:bottom w:val="none" w:color="000000" w:sz="4"/>
          <w:right w:val="none" w:color="000000" w:sz="4"/>
          <w:insideH w:val="none"/>
          <w:insideV w:val="none"/>
        </w:tblBorders>
      </w:tblPr>
      <w:tblGrid>
        <w:gridCol w:w="511"/>
        <w:gridCol w:w="1228"/>
        <w:gridCol w:w="994"/>
        <w:gridCol w:w="2880"/>
        <w:gridCol w:w="2632"/>
      </w:tblGrid>
      <w:tr>
        <w:tc>
          <w:tcPr>
            <w:tcW w:type="dxa" w:w="1739"/>
            <w:gridSpan w:val="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shd w:fill="FFFFFF" w:val="clear"/>
              </w:rPr>
              <w:t>门户</w:t>
            </w:r>
          </w:p>
        </w:tc>
        <w:tc>
          <w:tcPr>
            <w:tcW w:type="dxa" w:w="3874"/>
            <w:gridSpan w:val="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shd w:fill="FFFFFF" w:val="clear"/>
              </w:rPr>
              <w:t>四至范围</w:t>
            </w:r>
            <w:r>
              <w:rPr>
                <w:sz w:val="21"/>
                <w:b/>
                <w:shd w:fill="FFFFFF" w:val="clear"/>
              </w:rPr>
              <w:t>/所处位置</w:t>
            </w:r>
          </w:p>
        </w:tc>
        <w:tc>
          <w:tcPr>
            <w:tcW w:type="dxa" w:w="263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shd w:fill="FFFFFF" w:val="clear"/>
              </w:rPr>
              <w:t>巡查频次</w:t>
            </w:r>
          </w:p>
        </w:tc>
      </w:tr>
      <w:tr>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机场</w:t>
            </w:r>
          </w:p>
        </w:tc>
        <w:tc>
          <w:tcPr>
            <w:tcW w:type="dxa" w:w="122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广州白云国际机场</w:t>
            </w:r>
          </w:p>
        </w:tc>
        <w:tc>
          <w:tcPr>
            <w:tcW w:type="dxa" w:w="3874"/>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北至花都大道，南至花莞高速，西至大广高速，东至广连高速</w:t>
            </w:r>
          </w:p>
        </w:tc>
        <w:tc>
          <w:tcPr>
            <w:tcW w:type="dxa" w:w="263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w:t>
            </w:r>
            <w:r>
              <w:rPr>
                <w:sz w:val="21"/>
                <w:shd w:fill="FFFFFF" w:val="clear"/>
              </w:rPr>
              <w:t>月</w:t>
            </w:r>
            <w:r>
              <w:rPr>
                <w:sz w:val="21"/>
                <w:shd w:fill="FFFFFF" w:val="clear"/>
              </w:rPr>
              <w:t>1次</w:t>
            </w:r>
          </w:p>
        </w:tc>
      </w:tr>
      <w:tr>
        <w:tc>
          <w:tcPr>
            <w:tcW w:type="dxa" w:w="511"/>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火车站及客运港</w:t>
            </w:r>
          </w:p>
        </w:tc>
        <w:tc>
          <w:tcPr>
            <w:tcW w:type="dxa" w:w="122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广州南站</w:t>
            </w:r>
          </w:p>
        </w:tc>
        <w:tc>
          <w:tcPr>
            <w:tcW w:type="dxa" w:w="3874"/>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东、北至石洲中路，南至韦海路，西至大洲路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w:t>
            </w:r>
            <w:r>
              <w:rPr>
                <w:sz w:val="21"/>
                <w:shd w:fill="FFFFFF" w:val="clear"/>
              </w:rPr>
              <w:t>月</w:t>
            </w:r>
            <w:r>
              <w:rPr>
                <w:sz w:val="21"/>
                <w:shd w:fill="FFFFFF" w:val="clear"/>
              </w:rPr>
              <w:t>1次</w:t>
            </w:r>
          </w:p>
        </w:tc>
      </w:tr>
      <w:tr>
        <w:tc>
          <w:tcPr>
            <w:tcW w:type="dxa" w:w="511"/>
            <w:vMerge/>
            <w:tcBorders>
              <w:top w:val="none" w:color="000000" w:sz="4"/>
              <w:left w:val="single" w:color="000000" w:sz="4"/>
              <w:bottom w:val="single" w:color="000000" w:sz="4"/>
              <w:right w:val="single" w:color="000000" w:sz="4"/>
            </w:tcBorders>
          </w:tcPr>
          <w:p/>
        </w:tc>
        <w:tc>
          <w:tcPr>
            <w:tcW w:type="dxa" w:w="122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广州东站</w:t>
            </w:r>
          </w:p>
        </w:tc>
        <w:tc>
          <w:tcPr>
            <w:tcW w:type="dxa" w:w="3874"/>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北至广园快速路，南至天河北路，西至林和西路，东至林和中路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w:t>
            </w:r>
            <w:r>
              <w:rPr>
                <w:sz w:val="21"/>
                <w:shd w:fill="FFFFFF" w:val="clear"/>
              </w:rPr>
              <w:t>月</w:t>
            </w:r>
            <w:r>
              <w:rPr>
                <w:sz w:val="21"/>
                <w:shd w:fill="FFFFFF" w:val="clear"/>
              </w:rPr>
              <w:t>1次</w:t>
            </w:r>
          </w:p>
        </w:tc>
      </w:tr>
      <w:tr>
        <w:tc>
          <w:tcPr>
            <w:tcW w:type="dxa" w:w="511"/>
            <w:vMerge/>
            <w:tcBorders>
              <w:top w:val="none" w:color="000000" w:sz="4"/>
              <w:left w:val="single" w:color="000000" w:sz="4"/>
              <w:bottom w:val="single" w:color="000000" w:sz="4"/>
              <w:right w:val="single" w:color="000000" w:sz="4"/>
            </w:tcBorders>
          </w:tcPr>
          <w:p/>
        </w:tc>
        <w:tc>
          <w:tcPr>
            <w:tcW w:type="dxa" w:w="122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广州站</w:t>
            </w:r>
          </w:p>
        </w:tc>
        <w:tc>
          <w:tcPr>
            <w:tcW w:type="dxa" w:w="3874"/>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北至三元里大道，南至环市西路，西至广元西路，东至解放北路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w:t>
            </w:r>
            <w:r>
              <w:rPr>
                <w:sz w:val="21"/>
                <w:shd w:fill="FFFFFF" w:val="clear"/>
              </w:rPr>
              <w:t>月</w:t>
            </w:r>
            <w:r>
              <w:rPr>
                <w:sz w:val="21"/>
                <w:shd w:fill="FFFFFF" w:val="clear"/>
              </w:rPr>
              <w:t>1次</w:t>
            </w:r>
          </w:p>
        </w:tc>
      </w:tr>
      <w:tr>
        <w:tc>
          <w:tcPr>
            <w:tcW w:type="dxa" w:w="511"/>
            <w:vMerge/>
            <w:tcBorders>
              <w:top w:val="none" w:color="000000" w:sz="4"/>
              <w:left w:val="single" w:color="000000" w:sz="4"/>
              <w:bottom w:val="single" w:color="000000" w:sz="4"/>
              <w:right w:val="single" w:color="000000" w:sz="4"/>
            </w:tcBorders>
          </w:tcPr>
          <w:p/>
        </w:tc>
        <w:tc>
          <w:tcPr>
            <w:tcW w:type="dxa" w:w="122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白云站</w:t>
            </w:r>
          </w:p>
        </w:tc>
        <w:tc>
          <w:tcPr>
            <w:tcW w:type="dxa" w:w="3874"/>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北邻小坪站，南至德康路，西至石槎路，东至棠新路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w:t>
            </w:r>
            <w:r>
              <w:rPr>
                <w:sz w:val="21"/>
                <w:shd w:fill="FFFFFF" w:val="clear"/>
              </w:rPr>
              <w:t>月</w:t>
            </w:r>
            <w:r>
              <w:rPr>
                <w:sz w:val="21"/>
                <w:shd w:fill="FFFFFF" w:val="clear"/>
              </w:rPr>
              <w:t>1次</w:t>
            </w:r>
          </w:p>
        </w:tc>
      </w:tr>
      <w:tr>
        <w:tc>
          <w:tcPr>
            <w:tcW w:type="dxa" w:w="511"/>
            <w:vMerge/>
            <w:tcBorders>
              <w:top w:val="none" w:color="000000" w:sz="4"/>
              <w:left w:val="single" w:color="000000" w:sz="4"/>
              <w:bottom w:val="single" w:color="000000" w:sz="4"/>
              <w:right w:val="single" w:color="000000" w:sz="4"/>
            </w:tcBorders>
          </w:tcPr>
          <w:p/>
        </w:tc>
        <w:tc>
          <w:tcPr>
            <w:tcW w:type="dxa" w:w="122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新塘站</w:t>
            </w:r>
          </w:p>
        </w:tc>
        <w:tc>
          <w:tcPr>
            <w:tcW w:type="dxa" w:w="3874"/>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北至汽车城大道，南至汇太中路，西至纵一路，东至荔新大道</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w:t>
            </w:r>
            <w:r>
              <w:rPr>
                <w:sz w:val="21"/>
                <w:shd w:fill="FFFFFF" w:val="clear"/>
              </w:rPr>
              <w:t>月</w:t>
            </w:r>
            <w:r>
              <w:rPr>
                <w:sz w:val="21"/>
                <w:shd w:fill="FFFFFF" w:val="clear"/>
              </w:rPr>
              <w:t>1次</w:t>
            </w:r>
          </w:p>
        </w:tc>
      </w:tr>
      <w:tr>
        <w:tc>
          <w:tcPr>
            <w:tcW w:type="dxa" w:w="511"/>
            <w:vMerge/>
            <w:tcBorders>
              <w:top w:val="none" w:color="000000" w:sz="4"/>
              <w:left w:val="single" w:color="000000" w:sz="4"/>
              <w:bottom w:val="single" w:color="000000" w:sz="4"/>
              <w:right w:val="single" w:color="000000" w:sz="4"/>
            </w:tcBorders>
          </w:tcPr>
          <w:p/>
        </w:tc>
        <w:tc>
          <w:tcPr>
            <w:tcW w:type="dxa" w:w="122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庆盛站</w:t>
            </w:r>
          </w:p>
        </w:tc>
        <w:tc>
          <w:tcPr>
            <w:tcW w:type="dxa" w:w="3874"/>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北至庆沙路，南至庆留街，西至下石排街，东至庆盛大道</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w:t>
            </w:r>
            <w:r>
              <w:rPr>
                <w:sz w:val="21"/>
                <w:shd w:fill="FFFFFF" w:val="clear"/>
              </w:rPr>
              <w:t>月</w:t>
            </w:r>
            <w:r>
              <w:rPr>
                <w:sz w:val="21"/>
                <w:shd w:fill="FFFFFF" w:val="clear"/>
              </w:rPr>
              <w:t>1次</w:t>
            </w:r>
          </w:p>
        </w:tc>
      </w:tr>
      <w:tr>
        <w:tc>
          <w:tcPr>
            <w:tcW w:type="dxa" w:w="1739"/>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shd w:fill="FFFFFF" w:val="clear"/>
              </w:rPr>
              <w:t>场馆</w:t>
            </w:r>
          </w:p>
        </w:tc>
        <w:tc>
          <w:tcPr>
            <w:tcW w:type="dxa" w:w="3874"/>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shd w:fill="FFFFFF" w:val="clear"/>
              </w:rPr>
              <w:t>四至范围</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shd w:fill="FFFFFF" w:val="clear"/>
              </w:rPr>
              <w:t>巡查频次</w:t>
            </w:r>
          </w:p>
        </w:tc>
      </w:tr>
      <w:tr>
        <w:tc>
          <w:tcPr>
            <w:tcW w:type="dxa" w:w="1739"/>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广东省奥林匹克体育中心（含广东省黄村体育训练中心、智谷公园）</w:t>
            </w:r>
          </w:p>
        </w:tc>
        <w:tc>
          <w:tcPr>
            <w:tcW w:type="dxa" w:w="3874"/>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奥体中心（含广东省黄村体育训练中心）西至大观南路，东至奥体路。</w:t>
            </w:r>
          </w:p>
          <w:p>
            <w:pPr>
              <w:pStyle w:val="null3"/>
              <w:jc w:val="center"/>
            </w:pPr>
            <w:r>
              <w:rPr>
                <w:sz w:val="21"/>
                <w:shd w:fill="FFFFFF" w:val="clear"/>
              </w:rPr>
              <w:t>智谷公园北至北环高速，南至广园快速路，西至科韵路，东至东环高速。</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w:t>
            </w:r>
            <w:r>
              <w:rPr>
                <w:sz w:val="21"/>
                <w:shd w:fill="FFFFFF" w:val="clear"/>
              </w:rPr>
              <w:t>月</w:t>
            </w:r>
            <w:r>
              <w:rPr>
                <w:sz w:val="21"/>
                <w:shd w:fill="FFFFFF" w:val="clear"/>
              </w:rPr>
              <w:t>1次</w:t>
            </w:r>
          </w:p>
        </w:tc>
      </w:tr>
      <w:tr>
        <w:tc>
          <w:tcPr>
            <w:tcW w:type="dxa" w:w="1739"/>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天河体育中心</w:t>
            </w:r>
          </w:p>
        </w:tc>
        <w:tc>
          <w:tcPr>
            <w:tcW w:type="dxa" w:w="3874"/>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北至天河北路，南至天河路，西至体育西路，东至体育东路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w:t>
            </w:r>
            <w:r>
              <w:rPr>
                <w:sz w:val="21"/>
                <w:shd w:fill="FFFFFF" w:val="clear"/>
              </w:rPr>
              <w:t>月</w:t>
            </w:r>
            <w:r>
              <w:rPr>
                <w:sz w:val="21"/>
                <w:shd w:fill="FFFFFF" w:val="clear"/>
              </w:rPr>
              <w:t>1次</w:t>
            </w:r>
          </w:p>
        </w:tc>
      </w:tr>
      <w:tr>
        <w:tc>
          <w:tcPr>
            <w:tcW w:type="dxa" w:w="1739"/>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广州体育学院</w:t>
            </w:r>
          </w:p>
        </w:tc>
        <w:tc>
          <w:tcPr>
            <w:tcW w:type="dxa" w:w="3874"/>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北至林和西横路，南至天河北路，西至广州大道中，东至林和西路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w:t>
            </w:r>
            <w:r>
              <w:rPr>
                <w:sz w:val="21"/>
                <w:shd w:fill="FFFFFF" w:val="clear"/>
              </w:rPr>
              <w:t>月</w:t>
            </w:r>
            <w:r>
              <w:rPr>
                <w:sz w:val="21"/>
                <w:shd w:fill="FFFFFF" w:val="clear"/>
              </w:rPr>
              <w:t>1次</w:t>
            </w:r>
          </w:p>
        </w:tc>
      </w:tr>
      <w:tr>
        <w:tc>
          <w:tcPr>
            <w:tcW w:type="dxa" w:w="1739"/>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广东省人民体育场（含广州起义烈士陵园）</w:t>
            </w:r>
          </w:p>
        </w:tc>
        <w:tc>
          <w:tcPr>
            <w:tcW w:type="dxa" w:w="3874"/>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北至东风东路，南至云海通津，西至陵园西路、较场西路，东至较场东路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w:t>
            </w:r>
            <w:r>
              <w:rPr>
                <w:sz w:val="21"/>
                <w:shd w:fill="FFFFFF" w:val="clear"/>
              </w:rPr>
              <w:t>月</w:t>
            </w:r>
            <w:r>
              <w:rPr>
                <w:sz w:val="21"/>
                <w:shd w:fill="FFFFFF" w:val="clear"/>
              </w:rPr>
              <w:t>1次</w:t>
            </w:r>
          </w:p>
        </w:tc>
      </w:tr>
      <w:tr>
        <w:tc>
          <w:tcPr>
            <w:tcW w:type="dxa" w:w="1739"/>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越秀山体育中心</w:t>
            </w:r>
          </w:p>
        </w:tc>
        <w:tc>
          <w:tcPr>
            <w:tcW w:type="dxa" w:w="3874"/>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位于越秀山，北至环市中路，南至应元路，西至解放北路，东至小北路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w:t>
            </w:r>
            <w:r>
              <w:rPr>
                <w:sz w:val="21"/>
                <w:shd w:fill="FFFFFF" w:val="clear"/>
              </w:rPr>
              <w:t>月</w:t>
            </w:r>
            <w:r>
              <w:rPr>
                <w:sz w:val="21"/>
                <w:shd w:fill="FFFFFF" w:val="clear"/>
              </w:rPr>
              <w:t>1次</w:t>
            </w:r>
          </w:p>
        </w:tc>
      </w:tr>
      <w:tr>
        <w:tc>
          <w:tcPr>
            <w:tcW w:type="dxa" w:w="1739"/>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广东体育馆</w:t>
            </w:r>
          </w:p>
        </w:tc>
        <w:tc>
          <w:tcPr>
            <w:tcW w:type="dxa" w:w="3874"/>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位于二沙岛，北邻大通路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w:t>
            </w:r>
            <w:r>
              <w:rPr>
                <w:sz w:val="21"/>
                <w:shd w:fill="FFFFFF" w:val="clear"/>
              </w:rPr>
              <w:t>月</w:t>
            </w:r>
            <w:r>
              <w:rPr>
                <w:sz w:val="21"/>
                <w:shd w:fill="FFFFFF" w:val="clear"/>
              </w:rPr>
              <w:t>1次</w:t>
            </w:r>
          </w:p>
        </w:tc>
      </w:tr>
      <w:tr>
        <w:tc>
          <w:tcPr>
            <w:tcW w:type="dxa" w:w="1739"/>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广州体育馆</w:t>
            </w:r>
          </w:p>
        </w:tc>
        <w:tc>
          <w:tcPr>
            <w:tcW w:type="dxa" w:w="3874"/>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北至云城中一路，南至金园路，西至云城东路，东至白云大道南</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w:t>
            </w:r>
            <w:r>
              <w:rPr>
                <w:sz w:val="21"/>
                <w:shd w:fill="FFFFFF" w:val="clear"/>
              </w:rPr>
              <w:t>月</w:t>
            </w:r>
            <w:r>
              <w:rPr>
                <w:sz w:val="21"/>
                <w:shd w:fill="FFFFFF" w:val="clear"/>
              </w:rPr>
              <w:t>1次</w:t>
            </w:r>
          </w:p>
        </w:tc>
      </w:tr>
      <w:tr>
        <w:tc>
          <w:tcPr>
            <w:tcW w:type="dxa" w:w="1739"/>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大学城体育中心</w:t>
            </w:r>
          </w:p>
        </w:tc>
        <w:tc>
          <w:tcPr>
            <w:tcW w:type="dxa" w:w="3874"/>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位于大学城岛内环路以内</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w:t>
            </w:r>
            <w:r>
              <w:rPr>
                <w:sz w:val="21"/>
                <w:shd w:fill="FFFFFF" w:val="clear"/>
              </w:rPr>
              <w:t>月</w:t>
            </w:r>
            <w:r>
              <w:rPr>
                <w:sz w:val="21"/>
                <w:shd w:fill="FFFFFF" w:val="clear"/>
              </w:rPr>
              <w:t>1次</w:t>
            </w:r>
          </w:p>
        </w:tc>
      </w:tr>
      <w:tr>
        <w:tc>
          <w:tcPr>
            <w:tcW w:type="dxa" w:w="1739"/>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shd w:fill="FFFFFF" w:val="clear"/>
              </w:rPr>
              <w:t>驻地</w:t>
            </w:r>
          </w:p>
        </w:tc>
        <w:tc>
          <w:tcPr>
            <w:tcW w:type="dxa" w:w="3874"/>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shd w:fill="FFFFFF" w:val="clear"/>
              </w:rPr>
              <w:t>四至范围</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shd w:fill="FFFFFF" w:val="clear"/>
              </w:rPr>
              <w:t>巡查频次</w:t>
            </w:r>
          </w:p>
        </w:tc>
      </w:tr>
      <w:tr>
        <w:tc>
          <w:tcPr>
            <w:tcW w:type="dxa" w:w="1739"/>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松园宾馆</w:t>
            </w:r>
          </w:p>
        </w:tc>
        <w:tc>
          <w:tcPr>
            <w:tcW w:type="dxa" w:w="3874"/>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位于白云山北，北临同泰路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w:t>
            </w:r>
            <w:r>
              <w:rPr>
                <w:sz w:val="21"/>
                <w:shd w:fill="FFFFFF" w:val="clear"/>
              </w:rPr>
              <w:t>月</w:t>
            </w:r>
            <w:r>
              <w:rPr>
                <w:sz w:val="21"/>
                <w:shd w:fill="FFFFFF" w:val="clear"/>
              </w:rPr>
              <w:t>1次</w:t>
            </w:r>
          </w:p>
        </w:tc>
      </w:tr>
      <w:tr>
        <w:tc>
          <w:tcPr>
            <w:tcW w:type="dxa" w:w="1739"/>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珠岛宾馆</w:t>
            </w:r>
          </w:p>
        </w:tc>
        <w:tc>
          <w:tcPr>
            <w:tcW w:type="dxa" w:w="3874"/>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北临东山湖公园，南临沿江东路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w:t>
            </w:r>
            <w:r>
              <w:rPr>
                <w:sz w:val="21"/>
                <w:shd w:fill="FFFFFF" w:val="clear"/>
              </w:rPr>
              <w:t>月</w:t>
            </w:r>
            <w:r>
              <w:rPr>
                <w:sz w:val="21"/>
                <w:shd w:fill="FFFFFF" w:val="clear"/>
              </w:rPr>
              <w:t>1次</w:t>
            </w:r>
          </w:p>
        </w:tc>
      </w:tr>
      <w:tr>
        <w:tc>
          <w:tcPr>
            <w:tcW w:type="dxa" w:w="1739"/>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鸣泉居度假村</w:t>
            </w:r>
          </w:p>
        </w:tc>
        <w:tc>
          <w:tcPr>
            <w:tcW w:type="dxa" w:w="3874"/>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位于白云山西，西临白云大道</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w:t>
            </w:r>
            <w:r>
              <w:rPr>
                <w:sz w:val="21"/>
                <w:shd w:fill="FFFFFF" w:val="clear"/>
              </w:rPr>
              <w:t>月</w:t>
            </w:r>
            <w:r>
              <w:rPr>
                <w:sz w:val="21"/>
                <w:shd w:fill="FFFFFF" w:val="clear"/>
              </w:rPr>
              <w:t>1次</w:t>
            </w:r>
          </w:p>
        </w:tc>
      </w:tr>
      <w:tr>
        <w:tc>
          <w:tcPr>
            <w:tcW w:type="dxa" w:w="1739"/>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shd w:fill="FFFFFF" w:val="clear"/>
              </w:rPr>
              <w:t>路径</w:t>
            </w:r>
          </w:p>
        </w:tc>
        <w:tc>
          <w:tcPr>
            <w:tcW w:type="dxa" w:w="3874"/>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shd w:fill="FFFFFF" w:val="clear"/>
              </w:rPr>
              <w:t>路段名称</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shd w:fill="FFFFFF" w:val="clear"/>
              </w:rPr>
              <w:t>巡查频次</w:t>
            </w:r>
          </w:p>
        </w:tc>
      </w:tr>
      <w:tr>
        <w:tc>
          <w:tcPr>
            <w:tcW w:type="dxa" w:w="511"/>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保障路径</w:t>
            </w:r>
          </w:p>
        </w:tc>
        <w:tc>
          <w:tcPr>
            <w:tcW w:type="dxa" w:w="1228"/>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城市道路</w:t>
            </w:r>
          </w:p>
        </w:tc>
        <w:tc>
          <w:tcPr>
            <w:tcW w:type="dxa" w:w="994"/>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中心</w:t>
            </w:r>
          </w:p>
          <w:p>
            <w:pPr>
              <w:pStyle w:val="null3"/>
              <w:jc w:val="center"/>
            </w:pPr>
            <w:r>
              <w:rPr>
                <w:sz w:val="21"/>
                <w:shd w:fill="FFFFFF" w:val="clear"/>
              </w:rPr>
              <w:t>城区</w:t>
            </w:r>
          </w:p>
        </w:tc>
        <w:tc>
          <w:tcPr>
            <w:tcW w:type="dxa" w:w="288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滨江路</w:t>
            </w:r>
          </w:p>
        </w:tc>
        <w:tc>
          <w:tcPr>
            <w:tcW w:type="dxa" w:w="263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w:t>
            </w:r>
            <w:r>
              <w:rPr>
                <w:sz w:val="21"/>
                <w:shd w:fill="FFFFFF" w:val="clear"/>
              </w:rPr>
              <w:t>月</w:t>
            </w:r>
            <w:r>
              <w:rPr>
                <w:sz w:val="21"/>
                <w:shd w:fill="FFFFFF" w:val="clear"/>
              </w:rPr>
              <w:t>1次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阅江路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w:t>
            </w:r>
            <w:r>
              <w:rPr>
                <w:sz w:val="21"/>
                <w:shd w:fill="FFFFFF" w:val="clear"/>
              </w:rPr>
              <w:t>月</w:t>
            </w:r>
            <w:r>
              <w:rPr>
                <w:sz w:val="21"/>
                <w:shd w:fill="FFFFFF" w:val="clear"/>
              </w:rPr>
              <w:t>1次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沿江路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w:t>
            </w:r>
            <w:r>
              <w:rPr>
                <w:sz w:val="21"/>
                <w:shd w:fill="FFFFFF" w:val="clear"/>
              </w:rPr>
              <w:t>月</w:t>
            </w:r>
            <w:r>
              <w:rPr>
                <w:sz w:val="21"/>
                <w:shd w:fill="FFFFFF" w:val="clear"/>
              </w:rPr>
              <w:t>1次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临江大道</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w:t>
            </w:r>
            <w:r>
              <w:rPr>
                <w:sz w:val="21"/>
                <w:shd w:fill="FFFFFF" w:val="clear"/>
              </w:rPr>
              <w:t>月</w:t>
            </w:r>
            <w:r>
              <w:rPr>
                <w:sz w:val="21"/>
                <w:shd w:fill="FFFFFF" w:val="clear"/>
              </w:rPr>
              <w:t>1次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东风路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w:t>
            </w:r>
            <w:r>
              <w:rPr>
                <w:sz w:val="21"/>
                <w:shd w:fill="FFFFFF" w:val="clear"/>
              </w:rPr>
              <w:t>月</w:t>
            </w:r>
            <w:r>
              <w:rPr>
                <w:sz w:val="21"/>
                <w:shd w:fill="FFFFFF" w:val="clear"/>
              </w:rPr>
              <w:t>1次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中山路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w:t>
            </w:r>
            <w:r>
              <w:rPr>
                <w:sz w:val="21"/>
                <w:shd w:fill="FFFFFF" w:val="clear"/>
              </w:rPr>
              <w:t>月</w:t>
            </w:r>
            <w:r>
              <w:rPr>
                <w:sz w:val="21"/>
                <w:shd w:fill="FFFFFF" w:val="clear"/>
              </w:rPr>
              <w:t>1次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黄埔大道</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w:t>
            </w:r>
            <w:r>
              <w:rPr>
                <w:sz w:val="21"/>
                <w:shd w:fill="FFFFFF" w:val="clear"/>
              </w:rPr>
              <w:t>月</w:t>
            </w:r>
            <w:r>
              <w:rPr>
                <w:sz w:val="21"/>
                <w:shd w:fill="FFFFFF" w:val="clear"/>
              </w:rPr>
              <w:t>1次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环市路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w:t>
            </w:r>
            <w:r>
              <w:rPr>
                <w:sz w:val="21"/>
                <w:shd w:fill="FFFFFF" w:val="clear"/>
              </w:rPr>
              <w:t>月</w:t>
            </w:r>
            <w:r>
              <w:rPr>
                <w:sz w:val="21"/>
                <w:shd w:fill="FFFFFF" w:val="clear"/>
              </w:rPr>
              <w:t>1次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天河路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w:t>
            </w:r>
            <w:r>
              <w:rPr>
                <w:sz w:val="21"/>
                <w:shd w:fill="FFFFFF" w:val="clear"/>
              </w:rPr>
              <w:t>月</w:t>
            </w:r>
            <w:r>
              <w:rPr>
                <w:sz w:val="21"/>
                <w:shd w:fill="FFFFFF" w:val="clear"/>
              </w:rPr>
              <w:t>1次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中山大道</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w:t>
            </w:r>
            <w:r>
              <w:rPr>
                <w:sz w:val="21"/>
                <w:shd w:fill="FFFFFF" w:val="clear"/>
              </w:rPr>
              <w:t>月</w:t>
            </w:r>
            <w:r>
              <w:rPr>
                <w:sz w:val="21"/>
                <w:shd w:fill="FFFFFF" w:val="clear"/>
              </w:rPr>
              <w:t>1次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广园路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w:t>
            </w:r>
            <w:r>
              <w:rPr>
                <w:sz w:val="21"/>
                <w:shd w:fill="FFFFFF" w:val="clear"/>
              </w:rPr>
              <w:t>月</w:t>
            </w:r>
            <w:r>
              <w:rPr>
                <w:sz w:val="21"/>
                <w:shd w:fill="FFFFFF" w:val="clear"/>
              </w:rPr>
              <w:t>1次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广园快速路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w:t>
            </w:r>
            <w:r>
              <w:rPr>
                <w:sz w:val="21"/>
                <w:shd w:fill="FFFFFF" w:val="clear"/>
              </w:rPr>
              <w:t>月</w:t>
            </w:r>
            <w:r>
              <w:rPr>
                <w:sz w:val="21"/>
                <w:shd w:fill="FFFFFF" w:val="clear"/>
              </w:rPr>
              <w:t>1次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广州大道</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w:t>
            </w:r>
            <w:r>
              <w:rPr>
                <w:sz w:val="21"/>
                <w:shd w:fill="FFFFFF" w:val="clear"/>
              </w:rPr>
              <w:t>月</w:t>
            </w:r>
            <w:r>
              <w:rPr>
                <w:sz w:val="21"/>
                <w:shd w:fill="FFFFFF" w:val="clear"/>
              </w:rPr>
              <w:t>1次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同泰路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w:t>
            </w:r>
            <w:r>
              <w:rPr>
                <w:sz w:val="21"/>
                <w:shd w:fill="FFFFFF" w:val="clear"/>
              </w:rPr>
              <w:t>月</w:t>
            </w:r>
            <w:r>
              <w:rPr>
                <w:sz w:val="21"/>
                <w:shd w:fill="FFFFFF" w:val="clear"/>
              </w:rPr>
              <w:t>1次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白云大道</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w:t>
            </w:r>
            <w:r>
              <w:rPr>
                <w:sz w:val="21"/>
                <w:shd w:fill="FFFFFF" w:val="clear"/>
              </w:rPr>
              <w:t>月</w:t>
            </w:r>
            <w:r>
              <w:rPr>
                <w:sz w:val="21"/>
                <w:shd w:fill="FFFFFF" w:val="clear"/>
              </w:rPr>
              <w:t>1次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大金钟路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w:t>
            </w:r>
            <w:r>
              <w:rPr>
                <w:sz w:val="21"/>
                <w:shd w:fill="FFFFFF" w:val="clear"/>
              </w:rPr>
              <w:t>月</w:t>
            </w:r>
            <w:r>
              <w:rPr>
                <w:sz w:val="21"/>
                <w:shd w:fill="FFFFFF" w:val="clear"/>
              </w:rPr>
              <w:t>1次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机场路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w:t>
            </w:r>
            <w:r>
              <w:rPr>
                <w:sz w:val="21"/>
                <w:shd w:fill="FFFFFF" w:val="clear"/>
              </w:rPr>
              <w:t>月</w:t>
            </w:r>
            <w:r>
              <w:rPr>
                <w:sz w:val="21"/>
                <w:shd w:fill="FFFFFF" w:val="clear"/>
              </w:rPr>
              <w:t>1次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解放路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w:t>
            </w:r>
            <w:r>
              <w:rPr>
                <w:sz w:val="21"/>
                <w:shd w:fill="FFFFFF" w:val="clear"/>
              </w:rPr>
              <w:t>月</w:t>
            </w:r>
            <w:r>
              <w:rPr>
                <w:sz w:val="21"/>
                <w:shd w:fill="FFFFFF" w:val="clear"/>
              </w:rPr>
              <w:t>1次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2"/>
                <w:color w:val="000000"/>
              </w:rPr>
              <w:t>花都</w:t>
            </w: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2"/>
                <w:color w:val="000000"/>
              </w:rPr>
              <w:t>花都龙珠路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每季度</w:t>
            </w:r>
            <w:r>
              <w:rPr>
                <w:sz w:val="21"/>
                <w:shd w:fill="FFFFFF" w:val="clear"/>
              </w:rPr>
              <w:t>1</w:t>
            </w:r>
            <w:r>
              <w:rPr>
                <w:sz w:val="21"/>
                <w:shd w:fill="FFFFFF" w:val="clear"/>
              </w:rPr>
              <w:t>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2"/>
                <w:color w:val="000000"/>
              </w:rPr>
              <w:t>天贵路（三东大道</w:t>
            </w:r>
            <w:r>
              <w:rPr>
                <w:sz w:val="22"/>
                <w:color w:val="000000"/>
              </w:rPr>
              <w:t>-宝华路）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每季度</w:t>
            </w:r>
            <w:r>
              <w:rPr>
                <w:sz w:val="21"/>
                <w:shd w:fill="FFFFFF" w:val="clear"/>
              </w:rPr>
              <w:t>1</w:t>
            </w:r>
            <w:r>
              <w:rPr>
                <w:sz w:val="21"/>
                <w:shd w:fill="FFFFFF" w:val="clear"/>
              </w:rPr>
              <w:t>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2"/>
                <w:color w:val="000000"/>
              </w:rPr>
              <w:t>碧秀路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每季度</w:t>
            </w:r>
            <w:r>
              <w:rPr>
                <w:sz w:val="21"/>
                <w:shd w:fill="FFFFFF" w:val="clear"/>
              </w:rPr>
              <w:t>1</w:t>
            </w:r>
            <w:r>
              <w:rPr>
                <w:sz w:val="21"/>
                <w:shd w:fill="FFFFFF" w:val="clear"/>
              </w:rPr>
              <w:t>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2"/>
                <w:color w:val="000000"/>
              </w:rPr>
              <w:t>建设路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每季度</w:t>
            </w:r>
            <w:r>
              <w:rPr>
                <w:sz w:val="21"/>
                <w:shd w:fill="FFFFFF" w:val="clear"/>
              </w:rPr>
              <w:t>1</w:t>
            </w:r>
            <w:r>
              <w:rPr>
                <w:sz w:val="21"/>
                <w:shd w:fill="FFFFFF" w:val="clear"/>
              </w:rPr>
              <w:t>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2"/>
                <w:color w:val="000000"/>
              </w:rPr>
              <w:t>体育路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每季度</w:t>
            </w:r>
            <w:r>
              <w:rPr>
                <w:sz w:val="21"/>
                <w:shd w:fill="FFFFFF" w:val="clear"/>
              </w:rPr>
              <w:t>1</w:t>
            </w:r>
            <w:r>
              <w:rPr>
                <w:sz w:val="21"/>
                <w:shd w:fill="FFFFFF" w:val="clear"/>
              </w:rPr>
              <w:t>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2"/>
                <w:color w:val="000000"/>
              </w:rPr>
              <w:t>番禺</w:t>
            </w: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2"/>
                <w:color w:val="000000"/>
              </w:rPr>
              <w:t>万博一路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每季度</w:t>
            </w:r>
            <w:r>
              <w:rPr>
                <w:sz w:val="21"/>
                <w:shd w:fill="FFFFFF" w:val="clear"/>
              </w:rPr>
              <w:t>1</w:t>
            </w:r>
            <w:r>
              <w:rPr>
                <w:sz w:val="21"/>
                <w:shd w:fill="FFFFFF" w:val="clear"/>
              </w:rPr>
              <w:t>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2"/>
                <w:color w:val="000000"/>
              </w:rPr>
              <w:t>汇智三路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每季度</w:t>
            </w:r>
            <w:r>
              <w:rPr>
                <w:sz w:val="21"/>
                <w:shd w:fill="FFFFFF" w:val="clear"/>
              </w:rPr>
              <w:t>1</w:t>
            </w:r>
            <w:r>
              <w:rPr>
                <w:sz w:val="21"/>
                <w:shd w:fill="FFFFFF" w:val="clear"/>
              </w:rPr>
              <w:t>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2"/>
                <w:color w:val="000000"/>
              </w:rPr>
              <w:t>汉溪大道东（番禺大道北</w:t>
            </w:r>
            <w:r>
              <w:rPr>
                <w:sz w:val="22"/>
                <w:color w:val="000000"/>
              </w:rPr>
              <w:t>-新光快速路）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每季度</w:t>
            </w:r>
            <w:r>
              <w:rPr>
                <w:sz w:val="21"/>
                <w:shd w:fill="FFFFFF" w:val="clear"/>
              </w:rPr>
              <w:t>1</w:t>
            </w:r>
            <w:r>
              <w:rPr>
                <w:sz w:val="21"/>
                <w:shd w:fill="FFFFFF" w:val="clear"/>
              </w:rPr>
              <w:t>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2"/>
                <w:color w:val="000000"/>
              </w:rPr>
              <w:t>盛泰路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每季度</w:t>
            </w:r>
            <w:r>
              <w:rPr>
                <w:sz w:val="21"/>
                <w:shd w:fill="FFFFFF" w:val="clear"/>
              </w:rPr>
              <w:t>1</w:t>
            </w:r>
            <w:r>
              <w:rPr>
                <w:sz w:val="21"/>
                <w:shd w:fill="FFFFFF" w:val="clear"/>
              </w:rPr>
              <w:t>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2"/>
                <w:color w:val="000000"/>
              </w:rPr>
              <w:t>番禺大道南（亚运大道</w:t>
            </w:r>
            <w:r>
              <w:rPr>
                <w:sz w:val="22"/>
                <w:color w:val="000000"/>
              </w:rPr>
              <w:t>-市桥二桥）</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每季度</w:t>
            </w:r>
            <w:r>
              <w:rPr>
                <w:sz w:val="21"/>
                <w:shd w:fill="FFFFFF" w:val="clear"/>
              </w:rPr>
              <w:t>1</w:t>
            </w:r>
            <w:r>
              <w:rPr>
                <w:sz w:val="21"/>
                <w:shd w:fill="FFFFFF" w:val="clear"/>
              </w:rPr>
              <w:t>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2"/>
                <w:color w:val="000000"/>
              </w:rPr>
              <w:t>国医西路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每季度</w:t>
            </w:r>
            <w:r>
              <w:rPr>
                <w:sz w:val="21"/>
                <w:shd w:fill="FFFFFF" w:val="clear"/>
              </w:rPr>
              <w:t>1</w:t>
            </w:r>
            <w:r>
              <w:rPr>
                <w:sz w:val="21"/>
                <w:shd w:fill="FFFFFF" w:val="clear"/>
              </w:rPr>
              <w:t>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2"/>
                <w:color w:val="000000"/>
              </w:rPr>
              <w:t>国医东路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每季度</w:t>
            </w:r>
            <w:r>
              <w:rPr>
                <w:sz w:val="21"/>
                <w:shd w:fill="FFFFFF" w:val="clear"/>
              </w:rPr>
              <w:t>1</w:t>
            </w:r>
            <w:r>
              <w:rPr>
                <w:sz w:val="21"/>
                <w:shd w:fill="FFFFFF" w:val="clear"/>
              </w:rPr>
              <w:t>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2"/>
                <w:color w:val="000000"/>
              </w:rPr>
              <w:t>大学城中环东路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每季度</w:t>
            </w:r>
            <w:r>
              <w:rPr>
                <w:sz w:val="21"/>
                <w:shd w:fill="FFFFFF" w:val="clear"/>
              </w:rPr>
              <w:t>1</w:t>
            </w:r>
            <w:r>
              <w:rPr>
                <w:sz w:val="21"/>
                <w:shd w:fill="FFFFFF" w:val="clear"/>
              </w:rPr>
              <w:t>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2"/>
                <w:color w:val="000000"/>
              </w:rPr>
              <w:t>大学城外环东路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每季度</w:t>
            </w:r>
            <w:r>
              <w:rPr>
                <w:sz w:val="21"/>
                <w:shd w:fill="FFFFFF" w:val="clear"/>
              </w:rPr>
              <w:t>1</w:t>
            </w:r>
            <w:r>
              <w:rPr>
                <w:sz w:val="21"/>
                <w:shd w:fill="FFFFFF" w:val="clear"/>
              </w:rPr>
              <w:t>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2"/>
                <w:color w:val="000000"/>
              </w:rPr>
              <w:t>大学城外环西路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每季度</w:t>
            </w:r>
            <w:r>
              <w:rPr>
                <w:sz w:val="21"/>
                <w:shd w:fill="FFFFFF" w:val="clear"/>
              </w:rPr>
              <w:t>1</w:t>
            </w:r>
            <w:r>
              <w:rPr>
                <w:sz w:val="21"/>
                <w:shd w:fill="FFFFFF" w:val="clear"/>
              </w:rPr>
              <w:t>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2"/>
                <w:color w:val="000000"/>
              </w:rPr>
              <w:t>大学城广工一路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每季度</w:t>
            </w:r>
            <w:r>
              <w:rPr>
                <w:sz w:val="21"/>
                <w:shd w:fill="FFFFFF" w:val="clear"/>
              </w:rPr>
              <w:t>1</w:t>
            </w:r>
            <w:r>
              <w:rPr>
                <w:sz w:val="21"/>
                <w:shd w:fill="FFFFFF" w:val="clear"/>
              </w:rPr>
              <w:t>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2"/>
                <w:color w:val="000000"/>
              </w:rPr>
              <w:t>大学城广工二路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每季度</w:t>
            </w:r>
            <w:r>
              <w:rPr>
                <w:sz w:val="21"/>
                <w:shd w:fill="FFFFFF" w:val="clear"/>
              </w:rPr>
              <w:t>1</w:t>
            </w:r>
            <w:r>
              <w:rPr>
                <w:sz w:val="21"/>
                <w:shd w:fill="FFFFFF" w:val="clear"/>
              </w:rPr>
              <w:t>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2"/>
                <w:color w:val="000000"/>
              </w:rPr>
              <w:t>大学城中大西路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每季度</w:t>
            </w:r>
            <w:r>
              <w:rPr>
                <w:sz w:val="21"/>
                <w:shd w:fill="FFFFFF" w:val="clear"/>
              </w:rPr>
              <w:t>1</w:t>
            </w:r>
            <w:r>
              <w:rPr>
                <w:sz w:val="21"/>
                <w:shd w:fill="FFFFFF" w:val="clear"/>
              </w:rPr>
              <w:t>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2"/>
                <w:color w:val="000000"/>
              </w:rPr>
              <w:t>大学城华工南路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每季度</w:t>
            </w:r>
            <w:r>
              <w:rPr>
                <w:sz w:val="21"/>
                <w:shd w:fill="FFFFFF" w:val="clear"/>
              </w:rPr>
              <w:t>1</w:t>
            </w:r>
            <w:r>
              <w:rPr>
                <w:sz w:val="21"/>
                <w:shd w:fill="FFFFFF" w:val="clear"/>
              </w:rPr>
              <w:t>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2"/>
                <w:color w:val="000000"/>
              </w:rPr>
              <w:t>大学城华工北路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每季度</w:t>
            </w:r>
            <w:r>
              <w:rPr>
                <w:sz w:val="21"/>
                <w:shd w:fill="FFFFFF" w:val="clear"/>
              </w:rPr>
              <w:t>1</w:t>
            </w:r>
            <w:r>
              <w:rPr>
                <w:sz w:val="21"/>
                <w:shd w:fill="FFFFFF" w:val="clear"/>
              </w:rPr>
              <w:t>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2"/>
                <w:color w:val="000000"/>
              </w:rPr>
              <w:t>大学城广药路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每季度</w:t>
            </w:r>
            <w:r>
              <w:rPr>
                <w:sz w:val="21"/>
                <w:shd w:fill="FFFFFF" w:val="clear"/>
              </w:rPr>
              <w:t>1</w:t>
            </w:r>
            <w:r>
              <w:rPr>
                <w:sz w:val="21"/>
                <w:shd w:fill="FFFFFF" w:val="clear"/>
              </w:rPr>
              <w:t>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2"/>
                <w:color w:val="000000"/>
              </w:rPr>
              <w:t>大学城广中医路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每季度</w:t>
            </w:r>
            <w:r>
              <w:rPr>
                <w:sz w:val="21"/>
                <w:shd w:fill="FFFFFF" w:val="clear"/>
              </w:rPr>
              <w:t>1</w:t>
            </w:r>
            <w:r>
              <w:rPr>
                <w:sz w:val="21"/>
                <w:shd w:fill="FFFFFF" w:val="clear"/>
              </w:rPr>
              <w:t>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2"/>
                <w:color w:val="000000"/>
              </w:rPr>
              <w:t>大学城广外东路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每季度</w:t>
            </w:r>
            <w:r>
              <w:rPr>
                <w:sz w:val="21"/>
                <w:shd w:fill="FFFFFF" w:val="clear"/>
              </w:rPr>
              <w:t>1</w:t>
            </w:r>
            <w:r>
              <w:rPr>
                <w:sz w:val="21"/>
                <w:shd w:fill="FFFFFF" w:val="clear"/>
              </w:rPr>
              <w:t>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2"/>
                <w:color w:val="000000"/>
              </w:rPr>
              <w:t>大学城广外西路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每季度</w:t>
            </w:r>
            <w:r>
              <w:rPr>
                <w:sz w:val="21"/>
                <w:shd w:fill="FFFFFF" w:val="clear"/>
              </w:rPr>
              <w:t>1</w:t>
            </w:r>
            <w:r>
              <w:rPr>
                <w:sz w:val="21"/>
                <w:shd w:fill="FFFFFF" w:val="clear"/>
              </w:rPr>
              <w:t>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2"/>
                <w:color w:val="000000"/>
              </w:rPr>
              <w:t>三坊路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每季度</w:t>
            </w:r>
            <w:r>
              <w:rPr>
                <w:sz w:val="21"/>
                <w:shd w:fill="FFFFFF" w:val="clear"/>
              </w:rPr>
              <w:t>1</w:t>
            </w:r>
            <w:r>
              <w:rPr>
                <w:sz w:val="21"/>
                <w:shd w:fill="FFFFFF" w:val="clear"/>
              </w:rPr>
              <w:t>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2"/>
                <w:color w:val="000000"/>
              </w:rPr>
              <w:t>南沙</w:t>
            </w: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2"/>
                <w:color w:val="000000"/>
              </w:rPr>
              <w:t>南府路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每季度</w:t>
            </w:r>
            <w:r>
              <w:rPr>
                <w:sz w:val="21"/>
                <w:shd w:fill="FFFFFF" w:val="clear"/>
              </w:rPr>
              <w:t>1</w:t>
            </w:r>
            <w:r>
              <w:rPr>
                <w:sz w:val="21"/>
                <w:shd w:fill="FFFFFF" w:val="clear"/>
              </w:rPr>
              <w:t>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2"/>
                <w:color w:val="000000"/>
              </w:rPr>
              <w:t>凤凰大道</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每季度</w:t>
            </w:r>
            <w:r>
              <w:rPr>
                <w:sz w:val="21"/>
                <w:shd w:fill="FFFFFF" w:val="clear"/>
              </w:rPr>
              <w:t>1</w:t>
            </w:r>
            <w:r>
              <w:rPr>
                <w:sz w:val="21"/>
                <w:shd w:fill="FFFFFF" w:val="clear"/>
              </w:rPr>
              <w:t>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2"/>
                <w:color w:val="000000"/>
              </w:rPr>
              <w:t>双山大道</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每季度</w:t>
            </w:r>
            <w:r>
              <w:rPr>
                <w:sz w:val="21"/>
                <w:shd w:fill="FFFFFF" w:val="clear"/>
              </w:rPr>
              <w:t>1</w:t>
            </w:r>
            <w:r>
              <w:rPr>
                <w:sz w:val="21"/>
                <w:shd w:fill="FFFFFF" w:val="clear"/>
              </w:rPr>
              <w:t>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2"/>
                <w:color w:val="000000"/>
              </w:rPr>
              <w:t>港前大道被</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每季度</w:t>
            </w:r>
            <w:r>
              <w:rPr>
                <w:sz w:val="21"/>
                <w:shd w:fill="FFFFFF" w:val="clear"/>
              </w:rPr>
              <w:t>1</w:t>
            </w:r>
            <w:r>
              <w:rPr>
                <w:sz w:val="21"/>
                <w:shd w:fill="FFFFFF" w:val="clear"/>
              </w:rPr>
              <w:t>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2"/>
                <w:color w:val="000000"/>
              </w:rPr>
              <w:t>增城</w:t>
            </w: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2"/>
                <w:color w:val="000000"/>
              </w:rPr>
              <w:t>爱民大道</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每季度</w:t>
            </w:r>
            <w:r>
              <w:rPr>
                <w:sz w:val="21"/>
                <w:shd w:fill="FFFFFF" w:val="clear"/>
              </w:rPr>
              <w:t>1</w:t>
            </w:r>
            <w:r>
              <w:rPr>
                <w:sz w:val="21"/>
                <w:shd w:fill="FFFFFF" w:val="clear"/>
              </w:rPr>
              <w:t>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2"/>
                <w:color w:val="000000"/>
              </w:rPr>
              <w:t>惠民路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每季度</w:t>
            </w:r>
            <w:r>
              <w:rPr>
                <w:sz w:val="21"/>
                <w:shd w:fill="FFFFFF" w:val="clear"/>
              </w:rPr>
              <w:t>1</w:t>
            </w:r>
            <w:r>
              <w:rPr>
                <w:sz w:val="21"/>
                <w:shd w:fill="FFFFFF" w:val="clear"/>
              </w:rPr>
              <w:t>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2"/>
                <w:color w:val="000000"/>
              </w:rPr>
              <w:t>荔湖大道</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每季度</w:t>
            </w:r>
            <w:r>
              <w:rPr>
                <w:sz w:val="21"/>
                <w:shd w:fill="FFFFFF" w:val="clear"/>
              </w:rPr>
              <w:t>1</w:t>
            </w:r>
            <w:r>
              <w:rPr>
                <w:sz w:val="21"/>
                <w:shd w:fill="FFFFFF" w:val="clear"/>
              </w:rPr>
              <w:t>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2"/>
                <w:color w:val="000000"/>
              </w:rPr>
              <w:t>新城大道</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每季度</w:t>
            </w:r>
            <w:r>
              <w:rPr>
                <w:sz w:val="21"/>
                <w:shd w:fill="FFFFFF" w:val="clear"/>
              </w:rPr>
              <w:t>1</w:t>
            </w:r>
            <w:r>
              <w:rPr>
                <w:sz w:val="21"/>
                <w:shd w:fill="FFFFFF" w:val="clear"/>
              </w:rPr>
              <w:t>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2"/>
                <w:color w:val="000000"/>
              </w:rPr>
              <w:t>府前路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每季度</w:t>
            </w:r>
            <w:r>
              <w:rPr>
                <w:sz w:val="21"/>
                <w:shd w:fill="FFFFFF" w:val="clear"/>
              </w:rPr>
              <w:t>1</w:t>
            </w:r>
            <w:r>
              <w:rPr>
                <w:sz w:val="21"/>
                <w:shd w:fill="FFFFFF" w:val="clear"/>
              </w:rPr>
              <w:t>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2"/>
                <w:color w:val="000000"/>
              </w:rPr>
              <w:t>担杠坳路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每季度</w:t>
            </w:r>
            <w:r>
              <w:rPr>
                <w:sz w:val="21"/>
                <w:shd w:fill="FFFFFF" w:val="clear"/>
              </w:rPr>
              <w:t>1</w:t>
            </w:r>
            <w:r>
              <w:rPr>
                <w:sz w:val="21"/>
                <w:shd w:fill="FFFFFF" w:val="clear"/>
              </w:rPr>
              <w:t>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2"/>
                <w:color w:val="000000"/>
              </w:rPr>
              <w:t>创新大道</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每季度</w:t>
            </w:r>
            <w:r>
              <w:rPr>
                <w:sz w:val="21"/>
                <w:shd w:fill="FFFFFF" w:val="clear"/>
              </w:rPr>
              <w:t>1</w:t>
            </w:r>
            <w:r>
              <w:rPr>
                <w:sz w:val="21"/>
                <w:shd w:fill="FFFFFF" w:val="clear"/>
              </w:rPr>
              <w:t>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2"/>
                <w:color w:val="000000"/>
              </w:rPr>
              <w:t>金融大道</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每季度</w:t>
            </w:r>
            <w:r>
              <w:rPr>
                <w:sz w:val="21"/>
                <w:shd w:fill="FFFFFF" w:val="clear"/>
              </w:rPr>
              <w:t>1</w:t>
            </w:r>
            <w:r>
              <w:rPr>
                <w:sz w:val="21"/>
                <w:shd w:fill="FFFFFF" w:val="clear"/>
              </w:rPr>
              <w:t>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2"/>
                <w:color w:val="000000"/>
              </w:rPr>
              <w:t>创建路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每季度</w:t>
            </w:r>
            <w:r>
              <w:rPr>
                <w:sz w:val="21"/>
                <w:shd w:fill="FFFFFF" w:val="clear"/>
              </w:rPr>
              <w:t>1</w:t>
            </w:r>
            <w:r>
              <w:rPr>
                <w:sz w:val="21"/>
                <w:shd w:fill="FFFFFF" w:val="clear"/>
              </w:rPr>
              <w:t>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2"/>
                <w:color w:val="000000"/>
              </w:rPr>
              <w:t>从化</w:t>
            </w: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2"/>
                <w:color w:val="000000"/>
              </w:rPr>
              <w:t>西宁中路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每季度</w:t>
            </w:r>
            <w:r>
              <w:rPr>
                <w:sz w:val="21"/>
                <w:shd w:fill="FFFFFF" w:val="clear"/>
              </w:rPr>
              <w:t>1</w:t>
            </w:r>
            <w:r>
              <w:rPr>
                <w:sz w:val="21"/>
                <w:shd w:fill="FFFFFF" w:val="clear"/>
              </w:rPr>
              <w:t>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2"/>
                <w:color w:val="000000"/>
              </w:rPr>
              <w:t>向阳南路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每季度</w:t>
            </w:r>
            <w:r>
              <w:rPr>
                <w:sz w:val="21"/>
                <w:shd w:fill="FFFFFF" w:val="clear"/>
              </w:rPr>
              <w:t>1</w:t>
            </w:r>
            <w:r>
              <w:rPr>
                <w:sz w:val="21"/>
                <w:shd w:fill="FFFFFF" w:val="clear"/>
              </w:rPr>
              <w:t>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2"/>
                <w:color w:val="000000"/>
              </w:rPr>
              <w:t>中田西路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每季度</w:t>
            </w:r>
            <w:r>
              <w:rPr>
                <w:sz w:val="21"/>
                <w:shd w:fill="FFFFFF" w:val="clear"/>
              </w:rPr>
              <w:t>1</w:t>
            </w:r>
            <w:r>
              <w:rPr>
                <w:sz w:val="21"/>
                <w:shd w:fill="FFFFFF" w:val="clear"/>
              </w:rPr>
              <w:t>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2"/>
                <w:color w:val="000000"/>
              </w:rPr>
              <w:t>中田东路</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每季度</w:t>
            </w:r>
            <w:r>
              <w:rPr>
                <w:sz w:val="21"/>
                <w:shd w:fill="FFFFFF" w:val="clear"/>
              </w:rPr>
              <w:t>1</w:t>
            </w:r>
            <w:r>
              <w:rPr>
                <w:sz w:val="21"/>
                <w:shd w:fill="FFFFFF" w:val="clear"/>
              </w:rPr>
              <w:t>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2"/>
                <w:color w:val="000000"/>
              </w:rPr>
              <w:t>从城大道</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每季度</w:t>
            </w:r>
            <w:r>
              <w:rPr>
                <w:sz w:val="21"/>
                <w:shd w:fill="FFFFFF" w:val="clear"/>
              </w:rPr>
              <w:t>1</w:t>
            </w:r>
            <w:r>
              <w:rPr>
                <w:sz w:val="21"/>
                <w:shd w:fill="FFFFFF" w:val="clear"/>
              </w:rPr>
              <w:t>次</w:t>
            </w:r>
          </w:p>
        </w:tc>
      </w:tr>
      <w:tr>
        <w:tc>
          <w:tcPr>
            <w:tcW w:type="dxa" w:w="511"/>
            <w:vMerge/>
            <w:tcBorders>
              <w:top w:val="none" w:color="000000" w:sz="4"/>
              <w:left w:val="single" w:color="000000" w:sz="4"/>
              <w:bottom w:val="single" w:color="000000" w:sz="4"/>
              <w:right w:val="single" w:color="000000" w:sz="4"/>
            </w:tcBorders>
          </w:tcPr>
          <w:p/>
        </w:tc>
        <w:tc>
          <w:tcPr>
            <w:tcW w:type="dxa" w:w="1228"/>
            <w:vMerge/>
            <w:tcBorders>
              <w:top w:val="none" w:color="000000" w:sz="4"/>
              <w:left w:val="single" w:color="000000" w:sz="4"/>
              <w:bottom w:val="single" w:color="000000" w:sz="4"/>
              <w:right w:val="single" w:color="000000" w:sz="4"/>
            </w:tcBorders>
          </w:tcPr>
          <w:p/>
        </w:tc>
        <w:tc>
          <w:tcPr>
            <w:tcW w:type="dxa" w:w="994"/>
            <w:vMerge/>
            <w:tcBorders>
              <w:top w:val="none" w:color="000000" w:sz="4"/>
              <w:left w:val="single" w:color="000000" w:sz="4"/>
              <w:bottom w:val="single" w:color="000000" w:sz="4"/>
              <w:right w:val="single" w:color="000000" w:sz="4"/>
            </w:tcBorders>
          </w:tcPr>
          <w:p/>
        </w:tc>
        <w:tc>
          <w:tcPr>
            <w:tcW w:type="dxa" w:w="28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2"/>
                <w:color w:val="000000"/>
              </w:rPr>
              <w:t>从化大道南</w:t>
            </w:r>
          </w:p>
        </w:tc>
        <w:tc>
          <w:tcPr>
            <w:tcW w:type="dxa" w:w="2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shd w:fill="FFFFFF" w:val="clear"/>
              </w:rPr>
              <w:t>每季度</w:t>
            </w:r>
            <w:r>
              <w:rPr>
                <w:sz w:val="21"/>
                <w:shd w:fill="FFFFFF" w:val="clear"/>
              </w:rPr>
              <w:t>1</w:t>
            </w:r>
            <w:r>
              <w:rPr>
                <w:sz w:val="21"/>
                <w:shd w:fill="FFFFFF" w:val="clear"/>
              </w:rPr>
              <w:t>次</w:t>
            </w:r>
          </w:p>
        </w:tc>
      </w:tr>
    </w:tbl>
    <w:p>
      <w:pPr>
        <w:pStyle w:val="null3"/>
        <w:jc w:val="both"/>
      </w:pPr>
      <w:r>
        <w:rPr/>
        <w:t xml:space="preserve"> </w:t>
      </w:r>
    </w:p>
    <w:p>
      <w:pPr>
        <w:pStyle w:val="null3"/>
        <w:jc w:val="both"/>
      </w:pPr>
      <w:r>
        <w:rPr>
          <w:sz w:val="21"/>
          <w:b/>
        </w:rPr>
        <w:t>附件</w:t>
      </w:r>
      <w:r>
        <w:rPr>
          <w:sz w:val="21"/>
          <w:b/>
        </w:rPr>
        <w:t>2</w:t>
      </w:r>
    </w:p>
    <w:p>
      <w:pPr>
        <w:pStyle w:val="null3"/>
        <w:spacing w:after="150"/>
        <w:jc w:val="center"/>
      </w:pPr>
      <w:r>
        <w:rPr/>
        <w:t xml:space="preserve"> </w:t>
      </w:r>
      <w:r>
        <w:rPr>
          <w:sz w:val="21"/>
          <w:b/>
        </w:rPr>
        <w:t>广州市井盖设施</w:t>
      </w:r>
      <w:r>
        <w:rPr>
          <w:sz w:val="21"/>
          <w:b/>
        </w:rPr>
        <w:t>新建档案区域</w:t>
      </w:r>
    </w:p>
    <w:tbl>
      <w:tblPr>
        <w:tblW w:w="0" w:type="auto"/>
        <w:tblBorders>
          <w:top w:val="none" w:color="000000" w:sz="4"/>
          <w:left w:val="none" w:color="000000" w:sz="4"/>
          <w:bottom w:val="none" w:color="000000" w:sz="4"/>
          <w:right w:val="none" w:color="000000" w:sz="4"/>
          <w:insideH w:val="none"/>
          <w:insideV w:val="none"/>
        </w:tblBorders>
      </w:tblPr>
      <w:tblGrid>
        <w:gridCol w:w="542"/>
        <w:gridCol w:w="1900"/>
        <w:gridCol w:w="2171"/>
        <w:gridCol w:w="855"/>
        <w:gridCol w:w="746"/>
        <w:gridCol w:w="1045"/>
        <w:gridCol w:w="1004"/>
      </w:tblGrid>
      <w:tr>
        <w:tc>
          <w:tcPr>
            <w:tcW w:type="dxa" w:w="54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color w:val="000000"/>
              </w:rPr>
              <w:t>行政区</w:t>
            </w:r>
          </w:p>
        </w:tc>
        <w:tc>
          <w:tcPr>
            <w:tcW w:type="dxa" w:w="190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color w:val="000000"/>
              </w:rPr>
              <w:t>巡查道路</w:t>
            </w:r>
          </w:p>
        </w:tc>
        <w:tc>
          <w:tcPr>
            <w:tcW w:type="dxa" w:w="217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color w:val="000000"/>
              </w:rPr>
              <w:t>起止位置</w:t>
            </w:r>
          </w:p>
        </w:tc>
        <w:tc>
          <w:tcPr>
            <w:tcW w:type="dxa" w:w="85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color w:val="000000"/>
              </w:rPr>
              <w:t>井盖密度（个</w:t>
            </w:r>
            <w:r>
              <w:rPr>
                <w:sz w:val="21"/>
                <w:b/>
                <w:color w:val="000000"/>
              </w:rPr>
              <w:t>/</w:t>
            </w:r>
            <w:r>
              <w:rPr>
                <w:sz w:val="21"/>
                <w:b/>
                <w:color w:val="000000"/>
              </w:rPr>
              <w:t>公里）</w:t>
            </w:r>
          </w:p>
        </w:tc>
        <w:tc>
          <w:tcPr>
            <w:tcW w:type="dxa" w:w="746"/>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color w:val="000000"/>
              </w:rPr>
              <w:t>道路里程</w:t>
            </w:r>
            <w:r>
              <w:rPr>
                <w:sz w:val="21"/>
                <w:b/>
                <w:color w:val="000000"/>
              </w:rPr>
              <w:t>(km)</w:t>
            </w:r>
          </w:p>
        </w:tc>
        <w:tc>
          <w:tcPr>
            <w:tcW w:type="dxa" w:w="104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color w:val="000000"/>
              </w:rPr>
              <w:t>预估抽查井盖设施数量（个）</w:t>
            </w:r>
          </w:p>
        </w:tc>
        <w:tc>
          <w:tcPr>
            <w:tcW w:type="dxa" w:w="100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color w:val="000000"/>
              </w:rPr>
              <w:t>备注</w:t>
            </w:r>
          </w:p>
        </w:tc>
      </w:tr>
      <w:tr>
        <w:tc>
          <w:tcPr>
            <w:tcW w:type="dxa" w:w="542"/>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越秀区</w:t>
            </w: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东园路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东园横路</w:t>
            </w:r>
            <w:r>
              <w:rPr>
                <w:sz w:val="21"/>
                <w:color w:val="000000"/>
              </w:rPr>
              <w:t>-沿江中路</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0.3</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90</w:t>
            </w:r>
          </w:p>
        </w:tc>
        <w:tc>
          <w:tcPr>
            <w:tcW w:type="dxa" w:w="1004"/>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省市直机关及重要商圈周边道路</w:t>
            </w: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百灵路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解放北路</w:t>
            </w:r>
            <w:r>
              <w:rPr>
                <w:sz w:val="21"/>
                <w:color w:val="000000"/>
              </w:rPr>
              <w:t>-海珠北路</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0.4</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120</w:t>
            </w:r>
          </w:p>
        </w:tc>
        <w:tc>
          <w:tcPr>
            <w:tcW w:type="dxa" w:w="1004"/>
            <w:vMerge/>
            <w:tcBorders>
              <w:top w:val="none" w:color="000000" w:sz="4"/>
              <w:left w:val="single" w:color="000000" w:sz="4"/>
              <w:bottom w:val="single" w:color="000000" w:sz="4"/>
              <w:right w:val="single" w:color="000000" w:sz="4"/>
            </w:tcBorders>
          </w:tcP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光孝路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中山六路</w:t>
            </w:r>
            <w:r>
              <w:rPr>
                <w:sz w:val="21"/>
                <w:color w:val="000000"/>
              </w:rPr>
              <w:t>-净慧路</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0.35</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105</w:t>
            </w:r>
          </w:p>
        </w:tc>
        <w:tc>
          <w:tcPr>
            <w:tcW w:type="dxa" w:w="1004"/>
            <w:vMerge/>
            <w:tcBorders>
              <w:top w:val="none" w:color="000000" w:sz="4"/>
              <w:left w:val="single" w:color="000000" w:sz="4"/>
              <w:bottom w:val="single" w:color="000000" w:sz="4"/>
              <w:right w:val="single" w:color="000000" w:sz="4"/>
            </w:tcBorders>
          </w:tcP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共和大街</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共和西横街</w:t>
            </w:r>
            <w:r>
              <w:rPr>
                <w:sz w:val="21"/>
                <w:color w:val="000000"/>
              </w:rPr>
              <w:t>-共和路</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0.35</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105</w:t>
            </w:r>
          </w:p>
        </w:tc>
        <w:tc>
          <w:tcPr>
            <w:tcW w:type="dxa" w:w="1004"/>
            <w:vMerge/>
            <w:tcBorders>
              <w:top w:val="none" w:color="000000" w:sz="4"/>
              <w:left w:val="single" w:color="000000" w:sz="4"/>
              <w:bottom w:val="single" w:color="000000" w:sz="4"/>
              <w:right w:val="single" w:color="000000" w:sz="4"/>
            </w:tcBorders>
          </w:tcP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筑溪街</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0.7</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210</w:t>
            </w:r>
          </w:p>
        </w:tc>
        <w:tc>
          <w:tcPr>
            <w:tcW w:type="dxa" w:w="1004"/>
            <w:vMerge/>
            <w:tcBorders>
              <w:top w:val="none" w:color="000000" w:sz="4"/>
              <w:left w:val="single" w:color="000000" w:sz="4"/>
              <w:bottom w:val="single" w:color="000000" w:sz="4"/>
              <w:right w:val="single" w:color="000000" w:sz="4"/>
            </w:tcBorders>
          </w:tcP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麓景东路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麓景路</w:t>
            </w:r>
            <w:r>
              <w:rPr>
                <w:sz w:val="21"/>
                <w:color w:val="000000"/>
              </w:rPr>
              <w:t>-恒安路</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0.4</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120</w:t>
            </w:r>
          </w:p>
        </w:tc>
        <w:tc>
          <w:tcPr>
            <w:tcW w:type="dxa" w:w="1004"/>
            <w:vMerge/>
            <w:tcBorders>
              <w:top w:val="none" w:color="000000" w:sz="4"/>
              <w:left w:val="single" w:color="000000" w:sz="4"/>
              <w:bottom w:val="single" w:color="000000" w:sz="4"/>
              <w:right w:val="single" w:color="000000" w:sz="4"/>
            </w:tcBorders>
          </w:tcP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绿荫路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大沙头三马路</w:t>
            </w:r>
            <w:r>
              <w:rPr>
                <w:sz w:val="21"/>
                <w:color w:val="000000"/>
              </w:rPr>
              <w:t>-大沙头二马路</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0.3</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90</w:t>
            </w:r>
          </w:p>
        </w:tc>
        <w:tc>
          <w:tcPr>
            <w:tcW w:type="dxa" w:w="1004"/>
            <w:vMerge/>
            <w:tcBorders>
              <w:top w:val="none" w:color="000000" w:sz="4"/>
              <w:left w:val="single" w:color="000000" w:sz="4"/>
              <w:bottom w:val="single" w:color="000000" w:sz="4"/>
              <w:right w:val="single" w:color="000000" w:sz="4"/>
            </w:tcBorders>
          </w:tcPr>
          <w:p/>
        </w:tc>
      </w:tr>
      <w:tr>
        <w:tc>
          <w:tcPr>
            <w:tcW w:type="dxa" w:w="542"/>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白云区</w:t>
            </w: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鹤北街</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0.4</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120</w:t>
            </w:r>
          </w:p>
        </w:tc>
        <w:tc>
          <w:tcPr>
            <w:tcW w:type="dxa" w:w="1004"/>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重点区域及站场周边道路</w:t>
            </w: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黄庄路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0.55</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165</w:t>
            </w:r>
          </w:p>
        </w:tc>
        <w:tc>
          <w:tcPr>
            <w:tcW w:type="dxa" w:w="1004"/>
            <w:vMerge/>
            <w:tcBorders>
              <w:top w:val="none" w:color="000000" w:sz="4"/>
              <w:left w:val="single" w:color="000000" w:sz="4"/>
              <w:bottom w:val="single" w:color="000000" w:sz="4"/>
              <w:right w:val="single" w:color="000000" w:sz="4"/>
            </w:tcBorders>
          </w:tcP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江景路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0.3</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90</w:t>
            </w:r>
          </w:p>
        </w:tc>
        <w:tc>
          <w:tcPr>
            <w:tcW w:type="dxa" w:w="1004"/>
            <w:vMerge/>
            <w:tcBorders>
              <w:top w:val="none" w:color="000000" w:sz="4"/>
              <w:left w:val="single" w:color="000000" w:sz="4"/>
              <w:bottom w:val="single" w:color="000000" w:sz="4"/>
              <w:right w:val="single" w:color="000000" w:sz="4"/>
            </w:tcBorders>
          </w:tcP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长红西路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0.65</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195</w:t>
            </w:r>
          </w:p>
        </w:tc>
        <w:tc>
          <w:tcPr>
            <w:tcW w:type="dxa" w:w="1004"/>
            <w:vMerge/>
            <w:tcBorders>
              <w:top w:val="none" w:color="000000" w:sz="4"/>
              <w:left w:val="single" w:color="000000" w:sz="4"/>
              <w:bottom w:val="single" w:color="000000" w:sz="4"/>
              <w:right w:val="single" w:color="000000" w:sz="4"/>
            </w:tcBorders>
          </w:tcP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云城东一路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1</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1004"/>
            <w:vMerge/>
            <w:tcBorders>
              <w:top w:val="none" w:color="000000" w:sz="4"/>
              <w:left w:val="single" w:color="000000" w:sz="4"/>
              <w:bottom w:val="single" w:color="000000" w:sz="4"/>
              <w:right w:val="single" w:color="000000" w:sz="4"/>
            </w:tcBorders>
          </w:tcP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石井大道</w:t>
            </w:r>
            <w:r>
              <w:rPr>
                <w:sz w:val="21"/>
                <w:color w:val="000000"/>
              </w:rPr>
              <w:t>(广佛肇高速-大冈东街)</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广佛肇高速</w:t>
            </w:r>
            <w:r>
              <w:rPr>
                <w:sz w:val="21"/>
                <w:color w:val="000000"/>
              </w:rPr>
              <w:t>-大冈东街</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1.3</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390</w:t>
            </w:r>
          </w:p>
        </w:tc>
        <w:tc>
          <w:tcPr>
            <w:tcW w:type="dxa" w:w="1004"/>
            <w:vMerge/>
            <w:tcBorders>
              <w:top w:val="none" w:color="000000" w:sz="4"/>
              <w:left w:val="single" w:color="000000" w:sz="4"/>
              <w:bottom w:val="single" w:color="000000" w:sz="4"/>
              <w:right w:val="single" w:color="000000" w:sz="4"/>
            </w:tcBorders>
          </w:tcP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鹤龙六路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1.1</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330</w:t>
            </w:r>
          </w:p>
        </w:tc>
        <w:tc>
          <w:tcPr>
            <w:tcW w:type="dxa" w:w="1004"/>
            <w:vMerge/>
            <w:tcBorders>
              <w:top w:val="none" w:color="000000" w:sz="4"/>
              <w:left w:val="single" w:color="000000" w:sz="4"/>
              <w:bottom w:val="single" w:color="000000" w:sz="4"/>
              <w:right w:val="single" w:color="000000" w:sz="4"/>
            </w:tcBorders>
          </w:tcP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新石路</w:t>
            </w:r>
            <w:r>
              <w:rPr>
                <w:sz w:val="21"/>
                <w:color w:val="000000"/>
              </w:rPr>
              <w:t>(罗岗环岗北路-新科科甲水兴路)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罗岗环岗北路</w:t>
            </w:r>
            <w:r>
              <w:rPr>
                <w:sz w:val="21"/>
                <w:color w:val="000000"/>
              </w:rPr>
              <w:t>-新科科甲水兴路</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1.8</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540</w:t>
            </w:r>
          </w:p>
        </w:tc>
        <w:tc>
          <w:tcPr>
            <w:tcW w:type="dxa" w:w="1004"/>
            <w:vMerge/>
            <w:tcBorders>
              <w:top w:val="none" w:color="000000" w:sz="4"/>
              <w:left w:val="single" w:color="000000" w:sz="4"/>
              <w:bottom w:val="single" w:color="000000" w:sz="4"/>
              <w:right w:val="single" w:color="000000" w:sz="4"/>
            </w:tcBorders>
          </w:tcP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大源中路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1.7</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510</w:t>
            </w:r>
          </w:p>
        </w:tc>
        <w:tc>
          <w:tcPr>
            <w:tcW w:type="dxa" w:w="1004"/>
            <w:vMerge/>
            <w:tcBorders>
              <w:top w:val="none" w:color="000000" w:sz="4"/>
              <w:left w:val="single" w:color="000000" w:sz="4"/>
              <w:bottom w:val="single" w:color="000000" w:sz="4"/>
              <w:right w:val="single" w:color="000000" w:sz="4"/>
            </w:tcBorders>
          </w:tcP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长红东路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1</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1004"/>
            <w:vMerge/>
            <w:tcBorders>
              <w:top w:val="none" w:color="000000" w:sz="4"/>
              <w:left w:val="single" w:color="000000" w:sz="4"/>
              <w:bottom w:val="single" w:color="000000" w:sz="4"/>
              <w:right w:val="single" w:color="000000" w:sz="4"/>
            </w:tcBorders>
          </w:tcPr>
          <w:p/>
        </w:tc>
      </w:tr>
      <w:tr>
        <w:tc>
          <w:tcPr>
            <w:tcW w:type="dxa" w:w="542"/>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从化区</w:t>
            </w: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文沁路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御泉大道</w:t>
            </w:r>
            <w:r>
              <w:rPr>
                <w:sz w:val="21"/>
                <w:color w:val="000000"/>
              </w:rPr>
              <w:t>-从化最美旅游公路骑行道</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1.2</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360</w:t>
            </w:r>
          </w:p>
        </w:tc>
        <w:tc>
          <w:tcPr>
            <w:tcW w:type="dxa" w:w="100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广州国家版本馆</w:t>
            </w: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海塱东路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江湾路</w:t>
            </w:r>
            <w:r>
              <w:rPr>
                <w:sz w:val="21"/>
                <w:color w:val="000000"/>
              </w:rPr>
              <w:t>-从城大道</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0.45</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135</w:t>
            </w:r>
          </w:p>
        </w:tc>
        <w:tc>
          <w:tcPr>
            <w:tcW w:type="dxa" w:w="100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商圈</w:t>
            </w: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城中路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青云路</w:t>
            </w:r>
            <w:r>
              <w:rPr>
                <w:sz w:val="21"/>
                <w:color w:val="000000"/>
              </w:rPr>
              <w:t>-建设路</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0.6</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180</w:t>
            </w:r>
          </w:p>
        </w:tc>
        <w:tc>
          <w:tcPr>
            <w:tcW w:type="dxa" w:w="1004"/>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区府周边、商圈</w:t>
            </w: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新城西路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旺城大道</w:t>
            </w:r>
            <w:r>
              <w:rPr>
                <w:sz w:val="21"/>
                <w:color w:val="000000"/>
              </w:rPr>
              <w:t>-新城中路</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0.62</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186</w:t>
            </w:r>
          </w:p>
        </w:tc>
        <w:tc>
          <w:tcPr>
            <w:tcW w:type="dxa" w:w="1004"/>
            <w:vMerge/>
            <w:tcBorders>
              <w:top w:val="none" w:color="000000" w:sz="4"/>
              <w:left w:val="single" w:color="000000" w:sz="4"/>
              <w:bottom w:val="single" w:color="000000" w:sz="4"/>
              <w:right w:val="single" w:color="000000" w:sz="4"/>
            </w:tcBorders>
          </w:tcP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建云东路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青云路</w:t>
            </w:r>
            <w:r>
              <w:rPr>
                <w:sz w:val="21"/>
                <w:color w:val="000000"/>
              </w:rPr>
              <w:t>-建设路</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0.54</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162</w:t>
            </w:r>
          </w:p>
        </w:tc>
        <w:tc>
          <w:tcPr>
            <w:tcW w:type="dxa" w:w="1004"/>
            <w:vMerge/>
            <w:tcBorders>
              <w:top w:val="none" w:color="000000" w:sz="4"/>
              <w:left w:val="single" w:color="000000" w:sz="4"/>
              <w:bottom w:val="single" w:color="000000" w:sz="4"/>
              <w:right w:val="single" w:color="000000" w:sz="4"/>
            </w:tcBorders>
          </w:tcP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西宁东路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0.3</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90</w:t>
            </w:r>
          </w:p>
        </w:tc>
        <w:tc>
          <w:tcPr>
            <w:tcW w:type="dxa" w:w="1004"/>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重点区域及站场周边道路</w:t>
            </w: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街口镇南路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0.2</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60</w:t>
            </w:r>
          </w:p>
        </w:tc>
        <w:tc>
          <w:tcPr>
            <w:tcW w:type="dxa" w:w="1004"/>
            <w:vMerge/>
            <w:tcBorders>
              <w:top w:val="none" w:color="000000" w:sz="4"/>
              <w:left w:val="single" w:color="000000" w:sz="4"/>
              <w:bottom w:val="single" w:color="000000" w:sz="4"/>
              <w:right w:val="single" w:color="000000" w:sz="4"/>
            </w:tcBorders>
          </w:tcP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中田西路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青云路以西</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0.3</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90</w:t>
            </w:r>
          </w:p>
        </w:tc>
        <w:tc>
          <w:tcPr>
            <w:tcW w:type="dxa" w:w="100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区府周边、商圈</w:t>
            </w:r>
          </w:p>
        </w:tc>
      </w:tr>
      <w:tr>
        <w:tc>
          <w:tcPr>
            <w:tcW w:type="dxa" w:w="542"/>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番禺区</w:t>
            </w: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亚运南路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2</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600</w:t>
            </w:r>
          </w:p>
        </w:tc>
        <w:tc>
          <w:tcPr>
            <w:tcW w:type="dxa" w:w="1004"/>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亚运城</w:t>
            </w: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兴亚三路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2.1</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630</w:t>
            </w:r>
          </w:p>
        </w:tc>
        <w:tc>
          <w:tcPr>
            <w:tcW w:type="dxa" w:w="1004"/>
            <w:vMerge/>
            <w:tcBorders>
              <w:top w:val="none" w:color="000000" w:sz="4"/>
              <w:left w:val="single" w:color="000000" w:sz="4"/>
              <w:bottom w:val="single" w:color="000000" w:sz="4"/>
              <w:right w:val="single" w:color="000000" w:sz="4"/>
            </w:tcBorders>
          </w:tcP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兴亚大道</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1</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1004"/>
            <w:vMerge/>
            <w:tcBorders>
              <w:top w:val="none" w:color="000000" w:sz="4"/>
              <w:left w:val="single" w:color="000000" w:sz="4"/>
              <w:bottom w:val="single" w:color="000000" w:sz="4"/>
              <w:right w:val="single" w:color="000000" w:sz="4"/>
            </w:tcBorders>
          </w:tcP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康体路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1</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1004"/>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区府周边</w:t>
            </w: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石清公路</w:t>
            </w:r>
            <w:r>
              <w:rPr>
                <w:sz w:val="21"/>
                <w:color w:val="000000"/>
              </w:rPr>
              <w:t>(亚运大道-亚运南路)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亚运大道</w:t>
            </w:r>
            <w:r>
              <w:rPr>
                <w:sz w:val="21"/>
                <w:color w:val="000000"/>
              </w:rPr>
              <w:t>-亚运南路</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1.2</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360</w:t>
            </w:r>
          </w:p>
        </w:tc>
        <w:tc>
          <w:tcPr>
            <w:tcW w:type="dxa" w:w="1004"/>
            <w:vMerge/>
            <w:tcBorders>
              <w:top w:val="none" w:color="000000" w:sz="4"/>
              <w:left w:val="single" w:color="000000" w:sz="4"/>
              <w:bottom w:val="single" w:color="000000" w:sz="4"/>
              <w:right w:val="single" w:color="000000" w:sz="4"/>
            </w:tcBorders>
          </w:tcP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北亭村大街</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1.1</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330</w:t>
            </w:r>
          </w:p>
        </w:tc>
        <w:tc>
          <w:tcPr>
            <w:tcW w:type="dxa" w:w="1004"/>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大学城</w:t>
            </w: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档案馆路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0.9</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270</w:t>
            </w:r>
          </w:p>
        </w:tc>
        <w:tc>
          <w:tcPr>
            <w:tcW w:type="dxa" w:w="1004"/>
            <w:vMerge/>
            <w:tcBorders>
              <w:top w:val="none" w:color="000000" w:sz="4"/>
              <w:left w:val="single" w:color="000000" w:sz="4"/>
              <w:bottom w:val="single" w:color="000000" w:sz="4"/>
              <w:right w:val="single" w:color="000000" w:sz="4"/>
            </w:tcBorders>
          </w:tcP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万博一路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0.9</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270</w:t>
            </w:r>
          </w:p>
        </w:tc>
        <w:tc>
          <w:tcPr>
            <w:tcW w:type="dxa" w:w="1004"/>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万博片区</w:t>
            </w: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万博二路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1</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1004"/>
            <w:vMerge/>
            <w:tcBorders>
              <w:top w:val="none" w:color="000000" w:sz="4"/>
              <w:left w:val="single" w:color="000000" w:sz="4"/>
              <w:bottom w:val="single" w:color="000000" w:sz="4"/>
              <w:right w:val="single" w:color="000000" w:sz="4"/>
            </w:tcBorders>
          </w:tcPr>
          <w:p/>
        </w:tc>
      </w:tr>
      <w:tr>
        <w:tc>
          <w:tcPr>
            <w:tcW w:type="dxa" w:w="542"/>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海珠区</w:t>
            </w: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叠景路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0.9</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270</w:t>
            </w:r>
          </w:p>
        </w:tc>
        <w:tc>
          <w:tcPr>
            <w:tcW w:type="dxa" w:w="100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区府周边</w:t>
            </w: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瑞康路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1.3</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390</w:t>
            </w:r>
          </w:p>
        </w:tc>
        <w:tc>
          <w:tcPr>
            <w:tcW w:type="dxa" w:w="1004"/>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重点区域及站场周边道路</w:t>
            </w: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南洲北路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1.7</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510</w:t>
            </w:r>
          </w:p>
        </w:tc>
        <w:tc>
          <w:tcPr>
            <w:tcW w:type="dxa" w:w="1004"/>
            <w:vMerge/>
            <w:tcBorders>
              <w:top w:val="none" w:color="000000" w:sz="4"/>
              <w:left w:val="single" w:color="000000" w:sz="4"/>
              <w:bottom w:val="single" w:color="000000" w:sz="4"/>
              <w:right w:val="single" w:color="000000" w:sz="4"/>
            </w:tcBorders>
          </w:tcP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江南大道南</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1.1</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330</w:t>
            </w:r>
          </w:p>
        </w:tc>
        <w:tc>
          <w:tcPr>
            <w:tcW w:type="dxa" w:w="1004"/>
            <w:vMerge/>
            <w:tcBorders>
              <w:top w:val="none" w:color="000000" w:sz="4"/>
              <w:left w:val="single" w:color="000000" w:sz="4"/>
              <w:bottom w:val="single" w:color="000000" w:sz="4"/>
              <w:right w:val="single" w:color="000000" w:sz="4"/>
            </w:tcBorders>
          </w:tcP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新滘西路</w:t>
            </w:r>
            <w:r>
              <w:rPr>
                <w:sz w:val="21"/>
                <w:color w:val="000000"/>
              </w:rPr>
              <w:t>(瑞康路-广州大道)</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瑞康路</w:t>
            </w:r>
            <w:r>
              <w:rPr>
                <w:sz w:val="21"/>
                <w:color w:val="000000"/>
              </w:rPr>
              <w:t>-广州大道</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1.9</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570</w:t>
            </w:r>
          </w:p>
        </w:tc>
        <w:tc>
          <w:tcPr>
            <w:tcW w:type="dxa" w:w="1004"/>
            <w:vMerge/>
            <w:tcBorders>
              <w:top w:val="none" w:color="000000" w:sz="4"/>
              <w:left w:val="single" w:color="000000" w:sz="4"/>
              <w:bottom w:val="single" w:color="000000" w:sz="4"/>
              <w:right w:val="single" w:color="000000" w:sz="4"/>
            </w:tcBorders>
          </w:tcP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江海大道</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1.9</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570</w:t>
            </w:r>
          </w:p>
        </w:tc>
        <w:tc>
          <w:tcPr>
            <w:tcW w:type="dxa" w:w="1004"/>
            <w:vMerge/>
            <w:tcBorders>
              <w:top w:val="none" w:color="000000" w:sz="4"/>
              <w:left w:val="single" w:color="000000" w:sz="4"/>
              <w:bottom w:val="single" w:color="000000" w:sz="4"/>
              <w:right w:val="single" w:color="000000" w:sz="4"/>
            </w:tcBorders>
          </w:tcP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碧映路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1</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1004"/>
            <w:vMerge/>
            <w:tcBorders>
              <w:top w:val="none" w:color="000000" w:sz="4"/>
              <w:left w:val="single" w:color="000000" w:sz="4"/>
              <w:bottom w:val="single" w:color="000000" w:sz="4"/>
              <w:right w:val="single" w:color="000000" w:sz="4"/>
            </w:tcBorders>
          </w:tcP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赤岗东路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1</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1004"/>
            <w:vMerge/>
            <w:tcBorders>
              <w:top w:val="none" w:color="000000" w:sz="4"/>
              <w:left w:val="single" w:color="000000" w:sz="4"/>
              <w:bottom w:val="single" w:color="000000" w:sz="4"/>
              <w:right w:val="single" w:color="000000" w:sz="4"/>
            </w:tcBorders>
          </w:tcP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星岛环北路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星汉大道</w:t>
            </w:r>
            <w:r>
              <w:rPr>
                <w:sz w:val="21"/>
                <w:color w:val="000000"/>
              </w:rPr>
              <w:t>-星岛环南路</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3.3</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990</w:t>
            </w:r>
          </w:p>
        </w:tc>
        <w:tc>
          <w:tcPr>
            <w:tcW w:type="dxa" w:w="1004"/>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生物岛片区</w:t>
            </w: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星岛环南路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星汉大道</w:t>
            </w:r>
            <w:r>
              <w:rPr>
                <w:sz w:val="21"/>
                <w:color w:val="000000"/>
              </w:rPr>
              <w:t>-星岛环北路</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2</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602</w:t>
            </w:r>
          </w:p>
        </w:tc>
        <w:tc>
          <w:tcPr>
            <w:tcW w:type="dxa" w:w="1004"/>
            <w:vMerge/>
            <w:tcBorders>
              <w:top w:val="none" w:color="000000" w:sz="4"/>
              <w:left w:val="single" w:color="000000" w:sz="4"/>
              <w:bottom w:val="single" w:color="000000" w:sz="4"/>
              <w:right w:val="single" w:color="000000" w:sz="4"/>
            </w:tcBorders>
          </w:tcPr>
          <w:p/>
        </w:tc>
      </w:tr>
      <w:tr>
        <w:tc>
          <w:tcPr>
            <w:tcW w:type="dxa" w:w="542"/>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花都区</w:t>
            </w: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三东大道</w:t>
            </w:r>
            <w:r>
              <w:rPr>
                <w:sz w:val="21"/>
                <w:color w:val="000000"/>
              </w:rPr>
              <w:t>(建设北路-凤凰北路)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建设北路</w:t>
            </w:r>
            <w:r>
              <w:rPr>
                <w:sz w:val="21"/>
                <w:color w:val="000000"/>
              </w:rPr>
              <w:t>-凤凰北路</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2.4</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720</w:t>
            </w:r>
          </w:p>
        </w:tc>
        <w:tc>
          <w:tcPr>
            <w:tcW w:type="dxa" w:w="1004"/>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重点区域及站场周边道路</w:t>
            </w: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紫薇路</w:t>
            </w:r>
            <w:r>
              <w:rPr>
                <w:sz w:val="21"/>
                <w:color w:val="000000"/>
              </w:rPr>
              <w:t>(建设北路-凤凰北路)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建设北路</w:t>
            </w:r>
            <w:r>
              <w:rPr>
                <w:sz w:val="21"/>
                <w:color w:val="000000"/>
              </w:rPr>
              <w:t>-凤凰北路</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2.7</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810</w:t>
            </w:r>
          </w:p>
        </w:tc>
        <w:tc>
          <w:tcPr>
            <w:tcW w:type="dxa" w:w="1004"/>
            <w:vMerge/>
            <w:tcBorders>
              <w:top w:val="none" w:color="000000" w:sz="4"/>
              <w:left w:val="single" w:color="000000" w:sz="4"/>
              <w:bottom w:val="single" w:color="000000" w:sz="4"/>
              <w:right w:val="single" w:color="000000" w:sz="4"/>
            </w:tcBorders>
          </w:tcPr>
          <w:p/>
        </w:tc>
      </w:tr>
      <w:tr>
        <w:tc>
          <w:tcPr>
            <w:tcW w:type="dxa" w:w="542"/>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黄埔区</w:t>
            </w: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香雪四路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开创大道</w:t>
            </w:r>
            <w:r>
              <w:rPr>
                <w:sz w:val="21"/>
                <w:color w:val="000000"/>
              </w:rPr>
              <w:t>-香雪大道</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0.4</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120</w:t>
            </w:r>
          </w:p>
        </w:tc>
        <w:tc>
          <w:tcPr>
            <w:tcW w:type="dxa" w:w="1004"/>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区府周边</w:t>
            </w: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香雪二路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开创大道</w:t>
            </w:r>
            <w:r>
              <w:rPr>
                <w:sz w:val="21"/>
                <w:color w:val="000000"/>
              </w:rPr>
              <w:t>-香雪大道</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0.46</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138</w:t>
            </w:r>
          </w:p>
        </w:tc>
        <w:tc>
          <w:tcPr>
            <w:tcW w:type="dxa" w:w="1004"/>
            <w:vMerge/>
            <w:tcBorders>
              <w:top w:val="none" w:color="000000" w:sz="4"/>
              <w:left w:val="single" w:color="000000" w:sz="4"/>
              <w:bottom w:val="single" w:color="000000" w:sz="4"/>
              <w:right w:val="single" w:color="000000" w:sz="4"/>
            </w:tcBorders>
          </w:tcP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大沙东路</w:t>
            </w:r>
            <w:r>
              <w:rPr>
                <w:sz w:val="21"/>
                <w:color w:val="000000"/>
              </w:rPr>
              <w:t>(港湾路-文冲路)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港湾路</w:t>
            </w:r>
            <w:r>
              <w:rPr>
                <w:sz w:val="21"/>
                <w:color w:val="000000"/>
              </w:rPr>
              <w:t>-文冲路</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1.8</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540</w:t>
            </w:r>
          </w:p>
        </w:tc>
        <w:tc>
          <w:tcPr>
            <w:tcW w:type="dxa" w:w="1004"/>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大沙地片区</w:t>
            </w: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丰乐南路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港前路</w:t>
            </w:r>
            <w:r>
              <w:rPr>
                <w:sz w:val="21"/>
                <w:color w:val="000000"/>
              </w:rPr>
              <w:t>-黄埔东路</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0.9</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270</w:t>
            </w:r>
          </w:p>
        </w:tc>
        <w:tc>
          <w:tcPr>
            <w:tcW w:type="dxa" w:w="1004"/>
            <w:vMerge/>
            <w:tcBorders>
              <w:top w:val="none" w:color="000000" w:sz="4"/>
              <w:left w:val="single" w:color="000000" w:sz="4"/>
              <w:bottom w:val="single" w:color="000000" w:sz="4"/>
              <w:right w:val="single" w:color="000000" w:sz="4"/>
            </w:tcBorders>
          </w:tcP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彩频路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1</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1004"/>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科学城片区</w:t>
            </w: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科珠路</w:t>
            </w:r>
            <w:r>
              <w:rPr>
                <w:sz w:val="21"/>
                <w:color w:val="000000"/>
              </w:rPr>
              <w:t>(科翔路-南翔二路)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科翔路</w:t>
            </w:r>
            <w:r>
              <w:rPr>
                <w:sz w:val="21"/>
                <w:color w:val="000000"/>
              </w:rPr>
              <w:t>-南翔二路</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1.9</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570</w:t>
            </w:r>
          </w:p>
        </w:tc>
        <w:tc>
          <w:tcPr>
            <w:tcW w:type="dxa" w:w="1004"/>
            <w:vMerge/>
            <w:tcBorders>
              <w:top w:val="none" w:color="000000" w:sz="4"/>
              <w:left w:val="single" w:color="000000" w:sz="4"/>
              <w:bottom w:val="single" w:color="000000" w:sz="4"/>
              <w:right w:val="single" w:color="000000" w:sz="4"/>
            </w:tcBorders>
          </w:tcPr>
          <w:p/>
        </w:tc>
      </w:tr>
      <w:tr>
        <w:tc>
          <w:tcPr>
            <w:tcW w:type="dxa" w:w="542"/>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荔湾区</w:t>
            </w: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荷景路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1.5</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450</w:t>
            </w:r>
          </w:p>
        </w:tc>
        <w:tc>
          <w:tcPr>
            <w:tcW w:type="dxa" w:w="1004"/>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省市直机关及重要商圈周边道路</w:t>
            </w: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和苑二街</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0.4</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120</w:t>
            </w:r>
          </w:p>
        </w:tc>
        <w:tc>
          <w:tcPr>
            <w:tcW w:type="dxa" w:w="1004"/>
            <w:vMerge/>
            <w:tcBorders>
              <w:top w:val="none" w:color="000000" w:sz="4"/>
              <w:left w:val="single" w:color="000000" w:sz="4"/>
              <w:bottom w:val="single" w:color="000000" w:sz="4"/>
              <w:right w:val="single" w:color="000000" w:sz="4"/>
            </w:tcBorders>
          </w:tcP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黄沙后道</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黄沙大道</w:t>
            </w:r>
            <w:r>
              <w:rPr>
                <w:sz w:val="21"/>
                <w:color w:val="000000"/>
              </w:rPr>
              <w:t>-蓬莱路</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0.3</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90</w:t>
            </w:r>
          </w:p>
        </w:tc>
        <w:tc>
          <w:tcPr>
            <w:tcW w:type="dxa" w:w="1004"/>
            <w:vMerge/>
            <w:tcBorders>
              <w:top w:val="none" w:color="000000" w:sz="4"/>
              <w:left w:val="single" w:color="000000" w:sz="4"/>
              <w:bottom w:val="single" w:color="000000" w:sz="4"/>
              <w:right w:val="single" w:color="000000" w:sz="4"/>
            </w:tcBorders>
          </w:tcP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周门北路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0.5</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150</w:t>
            </w:r>
          </w:p>
        </w:tc>
        <w:tc>
          <w:tcPr>
            <w:tcW w:type="dxa" w:w="1004"/>
            <w:vMerge/>
            <w:tcBorders>
              <w:top w:val="none" w:color="000000" w:sz="4"/>
              <w:left w:val="single" w:color="000000" w:sz="4"/>
              <w:bottom w:val="single" w:color="000000" w:sz="4"/>
              <w:right w:val="single" w:color="000000" w:sz="4"/>
            </w:tcBorders>
          </w:tcP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光复南路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0.4</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120</w:t>
            </w:r>
          </w:p>
        </w:tc>
        <w:tc>
          <w:tcPr>
            <w:tcW w:type="dxa" w:w="1004"/>
            <w:vMerge/>
            <w:tcBorders>
              <w:top w:val="none" w:color="000000" w:sz="4"/>
              <w:left w:val="single" w:color="000000" w:sz="4"/>
              <w:bottom w:val="single" w:color="000000" w:sz="4"/>
              <w:right w:val="single" w:color="000000" w:sz="4"/>
            </w:tcBorders>
          </w:tcP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十八甫南路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0.4</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120</w:t>
            </w:r>
          </w:p>
        </w:tc>
        <w:tc>
          <w:tcPr>
            <w:tcW w:type="dxa" w:w="1004"/>
            <w:vMerge/>
            <w:tcBorders>
              <w:top w:val="none" w:color="000000" w:sz="4"/>
              <w:left w:val="single" w:color="000000" w:sz="4"/>
              <w:bottom w:val="single" w:color="000000" w:sz="4"/>
              <w:right w:val="single" w:color="000000" w:sz="4"/>
            </w:tcBorders>
          </w:tcP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芳村大道中</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塞坝路</w:t>
            </w:r>
            <w:r>
              <w:rPr>
                <w:sz w:val="21"/>
                <w:color w:val="000000"/>
              </w:rPr>
              <w:t>-下市直街</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2.2</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660</w:t>
            </w:r>
          </w:p>
        </w:tc>
        <w:tc>
          <w:tcPr>
            <w:tcW w:type="dxa" w:w="1004"/>
            <w:vMerge/>
            <w:tcBorders>
              <w:top w:val="none" w:color="000000" w:sz="4"/>
              <w:left w:val="single" w:color="000000" w:sz="4"/>
              <w:bottom w:val="single" w:color="000000" w:sz="4"/>
              <w:right w:val="single" w:color="000000" w:sz="4"/>
            </w:tcBorders>
          </w:tcP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长乐路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0.2</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60</w:t>
            </w:r>
          </w:p>
        </w:tc>
        <w:tc>
          <w:tcPr>
            <w:tcW w:type="dxa" w:w="1004"/>
            <w:vMerge/>
            <w:tcBorders>
              <w:top w:val="none" w:color="000000" w:sz="4"/>
              <w:left w:val="single" w:color="000000" w:sz="4"/>
              <w:bottom w:val="single" w:color="000000" w:sz="4"/>
              <w:right w:val="single" w:color="000000" w:sz="4"/>
            </w:tcBorders>
          </w:tcP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中展里</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流花路以南</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0.3</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90</w:t>
            </w:r>
          </w:p>
        </w:tc>
        <w:tc>
          <w:tcPr>
            <w:tcW w:type="dxa" w:w="1004"/>
            <w:vMerge/>
            <w:tcBorders>
              <w:top w:val="none" w:color="000000" w:sz="4"/>
              <w:left w:val="single" w:color="000000" w:sz="4"/>
              <w:bottom w:val="single" w:color="000000" w:sz="4"/>
              <w:right w:val="single" w:color="000000" w:sz="4"/>
            </w:tcBorders>
          </w:tcP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如意坊路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0.2</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60</w:t>
            </w:r>
          </w:p>
        </w:tc>
        <w:tc>
          <w:tcPr>
            <w:tcW w:type="dxa" w:w="1004"/>
            <w:vMerge/>
            <w:tcBorders>
              <w:top w:val="none" w:color="000000" w:sz="4"/>
              <w:left w:val="single" w:color="000000" w:sz="4"/>
              <w:bottom w:val="single" w:color="000000" w:sz="4"/>
              <w:right w:val="single" w:color="000000" w:sz="4"/>
            </w:tcBorders>
          </w:tcP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十三行路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人民南路</w:t>
            </w:r>
            <w:r>
              <w:rPr>
                <w:sz w:val="21"/>
                <w:color w:val="000000"/>
              </w:rPr>
              <w:t>-长乐路</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0.4</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120</w:t>
            </w:r>
          </w:p>
        </w:tc>
        <w:tc>
          <w:tcPr>
            <w:tcW w:type="dxa" w:w="1004"/>
            <w:vMerge/>
            <w:tcBorders>
              <w:top w:val="none" w:color="000000" w:sz="4"/>
              <w:left w:val="single" w:color="000000" w:sz="4"/>
              <w:bottom w:val="single" w:color="000000" w:sz="4"/>
              <w:right w:val="single" w:color="000000" w:sz="4"/>
            </w:tcBorders>
          </w:tcP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五秀路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0.6</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180</w:t>
            </w:r>
          </w:p>
        </w:tc>
        <w:tc>
          <w:tcPr>
            <w:tcW w:type="dxa" w:w="1004"/>
            <w:vMerge/>
            <w:tcBorders>
              <w:top w:val="none" w:color="000000" w:sz="4"/>
              <w:left w:val="single" w:color="000000" w:sz="4"/>
              <w:bottom w:val="single" w:color="000000" w:sz="4"/>
              <w:right w:val="single" w:color="000000" w:sz="4"/>
            </w:tcBorders>
          </w:tcP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西湾东路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0.3</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90</w:t>
            </w:r>
          </w:p>
        </w:tc>
        <w:tc>
          <w:tcPr>
            <w:tcW w:type="dxa" w:w="1004"/>
            <w:vMerge/>
            <w:tcBorders>
              <w:top w:val="none" w:color="000000" w:sz="4"/>
              <w:left w:val="single" w:color="000000" w:sz="4"/>
              <w:bottom w:val="single" w:color="000000" w:sz="4"/>
              <w:right w:val="single" w:color="000000" w:sz="4"/>
            </w:tcBorders>
          </w:tcP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桨栏路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和平东路</w:t>
            </w:r>
            <w:r>
              <w:rPr>
                <w:sz w:val="21"/>
                <w:color w:val="000000"/>
              </w:rPr>
              <w:t>-长乐路</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0.35</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105</w:t>
            </w:r>
          </w:p>
        </w:tc>
        <w:tc>
          <w:tcPr>
            <w:tcW w:type="dxa" w:w="1004"/>
            <w:vMerge/>
            <w:tcBorders>
              <w:top w:val="none" w:color="000000" w:sz="4"/>
              <w:left w:val="single" w:color="000000" w:sz="4"/>
              <w:bottom w:val="single" w:color="000000" w:sz="4"/>
              <w:right w:val="single" w:color="000000" w:sz="4"/>
            </w:tcBorders>
          </w:tcP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杉木栏路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十八甫南路</w:t>
            </w:r>
            <w:r>
              <w:rPr>
                <w:sz w:val="21"/>
                <w:color w:val="000000"/>
              </w:rPr>
              <w:t>-长乐路</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0.4</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120</w:t>
            </w:r>
          </w:p>
        </w:tc>
        <w:tc>
          <w:tcPr>
            <w:tcW w:type="dxa" w:w="1004"/>
            <w:vMerge/>
            <w:tcBorders>
              <w:top w:val="none" w:color="000000" w:sz="4"/>
              <w:left w:val="single" w:color="000000" w:sz="4"/>
              <w:bottom w:val="single" w:color="000000" w:sz="4"/>
              <w:right w:val="single" w:color="000000" w:sz="4"/>
            </w:tcBorders>
          </w:tcPr>
          <w:p/>
        </w:tc>
      </w:tr>
      <w:tr>
        <w:tc>
          <w:tcPr>
            <w:tcW w:type="dxa" w:w="542"/>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南沙区</w:t>
            </w: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丰泽东路</w:t>
            </w:r>
            <w:r>
              <w:rPr>
                <w:sz w:val="21"/>
                <w:color w:val="000000"/>
              </w:rPr>
              <w:t>(环市大道东-金隆路)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环市大道中</w:t>
            </w:r>
            <w:r>
              <w:rPr>
                <w:sz w:val="21"/>
                <w:color w:val="000000"/>
              </w:rPr>
              <w:t>-金隆路</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1.2</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360</w:t>
            </w:r>
          </w:p>
        </w:tc>
        <w:tc>
          <w:tcPr>
            <w:tcW w:type="dxa" w:w="1004"/>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重点区域及站场周边道路</w:t>
            </w: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双山大道</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滨海路</w:t>
            </w:r>
            <w:r>
              <w:rPr>
                <w:sz w:val="21"/>
                <w:color w:val="000000"/>
              </w:rPr>
              <w:t>-金岭北路</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2</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600</w:t>
            </w:r>
          </w:p>
        </w:tc>
        <w:tc>
          <w:tcPr>
            <w:tcW w:type="dxa" w:w="1004"/>
            <w:vMerge/>
            <w:tcBorders>
              <w:top w:val="none" w:color="000000" w:sz="4"/>
              <w:left w:val="single" w:color="000000" w:sz="4"/>
              <w:bottom w:val="single" w:color="000000" w:sz="4"/>
              <w:right w:val="single" w:color="000000" w:sz="4"/>
            </w:tcBorders>
          </w:tcP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滨水大道</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市南大道</w:t>
            </w:r>
            <w:r>
              <w:rPr>
                <w:sz w:val="21"/>
                <w:color w:val="000000"/>
              </w:rPr>
              <w:t>-进港大道</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1.2</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360</w:t>
            </w:r>
          </w:p>
        </w:tc>
        <w:tc>
          <w:tcPr>
            <w:tcW w:type="dxa" w:w="1004"/>
            <w:vMerge/>
            <w:tcBorders>
              <w:top w:val="none" w:color="000000" w:sz="4"/>
              <w:left w:val="single" w:color="000000" w:sz="4"/>
              <w:bottom w:val="single" w:color="000000" w:sz="4"/>
              <w:right w:val="single" w:color="000000" w:sz="4"/>
            </w:tcBorders>
          </w:tcPr>
          <w:p/>
        </w:tc>
      </w:tr>
      <w:tr>
        <w:tc>
          <w:tcPr>
            <w:tcW w:type="dxa" w:w="542"/>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天河区</w:t>
            </w: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天源路</w:t>
            </w:r>
            <w:r>
              <w:rPr>
                <w:sz w:val="21"/>
                <w:color w:val="000000"/>
              </w:rPr>
              <w:t>(广州环城高速-长湴北路)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广州环城高速</w:t>
            </w:r>
            <w:r>
              <w:rPr>
                <w:sz w:val="21"/>
                <w:color w:val="000000"/>
              </w:rPr>
              <w:t>-长湴北路</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0.8</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240</w:t>
            </w:r>
          </w:p>
        </w:tc>
        <w:tc>
          <w:tcPr>
            <w:tcW w:type="dxa" w:w="1004"/>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天河客运站</w:t>
            </w: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长兴路</w:t>
            </w:r>
            <w:r>
              <w:rPr>
                <w:sz w:val="21"/>
                <w:color w:val="000000"/>
              </w:rPr>
              <w:t>(天源路-长湴中路)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天源路</w:t>
            </w:r>
            <w:r>
              <w:rPr>
                <w:sz w:val="21"/>
                <w:color w:val="000000"/>
              </w:rPr>
              <w:t>-长湴中路</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1</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1004"/>
            <w:vMerge/>
            <w:tcBorders>
              <w:top w:val="none" w:color="000000" w:sz="4"/>
              <w:left w:val="single" w:color="000000" w:sz="4"/>
              <w:bottom w:val="single" w:color="000000" w:sz="4"/>
              <w:right w:val="single" w:color="000000" w:sz="4"/>
            </w:tcBorders>
          </w:tcP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华强路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0.6</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180</w:t>
            </w:r>
          </w:p>
        </w:tc>
        <w:tc>
          <w:tcPr>
            <w:tcW w:type="dxa" w:w="1004"/>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珠江新城</w:t>
            </w: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华穗路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1.5</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450</w:t>
            </w:r>
          </w:p>
        </w:tc>
        <w:tc>
          <w:tcPr>
            <w:tcW w:type="dxa" w:w="1004"/>
            <w:vMerge/>
            <w:tcBorders>
              <w:top w:val="none" w:color="000000" w:sz="4"/>
              <w:left w:val="single" w:color="000000" w:sz="4"/>
              <w:bottom w:val="single" w:color="000000" w:sz="4"/>
              <w:right w:val="single" w:color="000000" w:sz="4"/>
            </w:tcBorders>
          </w:tcP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华观路</w:t>
            </w:r>
            <w:r>
              <w:rPr>
                <w:sz w:val="21"/>
                <w:color w:val="000000"/>
              </w:rPr>
              <w:t>(高唐路-广连高速)</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高唐路</w:t>
            </w:r>
            <w:r>
              <w:rPr>
                <w:sz w:val="21"/>
                <w:color w:val="000000"/>
              </w:rPr>
              <w:t>-广连高速</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1.1</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330</w:t>
            </w:r>
          </w:p>
        </w:tc>
        <w:tc>
          <w:tcPr>
            <w:tcW w:type="dxa" w:w="1004"/>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科学城</w:t>
            </w: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新岑四路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0.7</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210</w:t>
            </w:r>
          </w:p>
        </w:tc>
        <w:tc>
          <w:tcPr>
            <w:tcW w:type="dxa" w:w="1004"/>
            <w:vMerge/>
            <w:tcBorders>
              <w:top w:val="none" w:color="000000" w:sz="4"/>
              <w:left w:val="single" w:color="000000" w:sz="4"/>
              <w:bottom w:val="single" w:color="000000" w:sz="4"/>
              <w:right w:val="single" w:color="000000" w:sz="4"/>
            </w:tcBorders>
          </w:tcP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天河东路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1.6</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480</w:t>
            </w:r>
          </w:p>
        </w:tc>
        <w:tc>
          <w:tcPr>
            <w:tcW w:type="dxa" w:w="1004"/>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天河体育中心</w:t>
            </w: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天寿路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0.9</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270</w:t>
            </w:r>
          </w:p>
        </w:tc>
        <w:tc>
          <w:tcPr>
            <w:tcW w:type="dxa" w:w="1004"/>
            <w:vMerge/>
            <w:tcBorders>
              <w:top w:val="none" w:color="000000" w:sz="4"/>
              <w:left w:val="single" w:color="000000" w:sz="4"/>
              <w:bottom w:val="single" w:color="000000" w:sz="4"/>
              <w:right w:val="single" w:color="000000" w:sz="4"/>
            </w:tcBorders>
          </w:tcP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车陂南路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1.7</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510</w:t>
            </w:r>
          </w:p>
        </w:tc>
        <w:tc>
          <w:tcPr>
            <w:tcW w:type="dxa" w:w="100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重点区域及站场周边道路</w:t>
            </w:r>
          </w:p>
        </w:tc>
      </w:tr>
      <w:tr>
        <w:tc>
          <w:tcPr>
            <w:tcW w:type="dxa" w:w="542"/>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增城区</w:t>
            </w: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增城大道</w:t>
            </w:r>
            <w:r>
              <w:rPr>
                <w:sz w:val="21"/>
                <w:color w:val="000000"/>
              </w:rPr>
              <w:t>(荔城大道-欣民路)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荔城大道</w:t>
            </w:r>
            <w:r>
              <w:rPr>
                <w:sz w:val="21"/>
                <w:color w:val="000000"/>
              </w:rPr>
              <w:t>-欣民路</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2</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600</w:t>
            </w:r>
          </w:p>
        </w:tc>
        <w:tc>
          <w:tcPr>
            <w:tcW w:type="dxa" w:w="1004"/>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重点区域及站场周边道路</w:t>
            </w: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荔景大道</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增城大道</w:t>
            </w:r>
            <w:r>
              <w:rPr>
                <w:sz w:val="21"/>
                <w:color w:val="000000"/>
              </w:rPr>
              <w:t>-荔城大道</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1.9</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570</w:t>
            </w:r>
          </w:p>
        </w:tc>
        <w:tc>
          <w:tcPr>
            <w:tcW w:type="dxa" w:w="1004"/>
            <w:vMerge/>
            <w:tcBorders>
              <w:top w:val="none" w:color="000000" w:sz="4"/>
              <w:left w:val="single" w:color="000000" w:sz="4"/>
              <w:bottom w:val="single" w:color="000000" w:sz="4"/>
              <w:right w:val="single" w:color="000000" w:sz="4"/>
            </w:tcBorders>
          </w:tcPr>
          <w:p/>
        </w:tc>
      </w:tr>
      <w:tr>
        <w:tc>
          <w:tcPr>
            <w:tcW w:type="dxa" w:w="542"/>
            <w:vMerge/>
            <w:tcBorders>
              <w:top w:val="none" w:color="000000" w:sz="4"/>
              <w:left w:val="single" w:color="000000" w:sz="4"/>
              <w:bottom w:val="single" w:color="000000" w:sz="4"/>
              <w:right w:val="single" w:color="000000" w:sz="4"/>
            </w:tcBorders>
          </w:tcPr>
          <w:p/>
        </w:tc>
        <w:tc>
          <w:tcPr>
            <w:tcW w:type="dxa" w:w="19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府前路</w:t>
            </w:r>
          </w:p>
        </w:tc>
        <w:tc>
          <w:tcPr>
            <w:tcW w:type="dxa" w:w="21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新塘大道</w:t>
            </w:r>
            <w:r>
              <w:rPr>
                <w:sz w:val="21"/>
                <w:color w:val="000000"/>
              </w:rPr>
              <w:t>-广深大道</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300</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0.7</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color w:val="000000"/>
              </w:rPr>
              <w:t>210</w:t>
            </w:r>
          </w:p>
        </w:tc>
        <w:tc>
          <w:tcPr>
            <w:tcW w:type="dxa" w:w="1004"/>
            <w:vMerge/>
            <w:tcBorders>
              <w:top w:val="none" w:color="000000" w:sz="4"/>
              <w:left w:val="single" w:color="000000" w:sz="4"/>
              <w:bottom w:val="single" w:color="000000" w:sz="4"/>
              <w:right w:val="single" w:color="000000" w:sz="4"/>
            </w:tcBorders>
          </w:tcPr>
          <w:p/>
        </w:tc>
      </w:tr>
      <w:tr>
        <w:tc>
          <w:tcPr>
            <w:tcW w:type="dxa" w:w="4613"/>
            <w:gridSpan w:val="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color w:val="000000"/>
              </w:rPr>
              <w:t>合计</w:t>
            </w:r>
          </w:p>
        </w:tc>
        <w:tc>
          <w:tcPr>
            <w:tcW w:type="dxa" w:w="8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color w:val="000000"/>
              </w:rPr>
              <w:t>/</w:t>
            </w:r>
          </w:p>
        </w:tc>
        <w:tc>
          <w:tcPr>
            <w:tcW w:type="dxa" w:w="7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color w:val="000000"/>
              </w:rPr>
              <w:t>80.13</w:t>
            </w:r>
          </w:p>
        </w:tc>
        <w:tc>
          <w:tcPr>
            <w:tcW w:type="dxa" w:w="10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color w:val="000000"/>
              </w:rPr>
              <w:t>25001</w:t>
            </w:r>
          </w:p>
        </w:tc>
        <w:tc>
          <w:tcPr>
            <w:tcW w:type="dxa" w:w="100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p>
        </w:tc>
      </w:tr>
    </w:tbl>
    <w:p>
      <w:pPr>
        <w:pStyle w:val="null3"/>
        <w:jc w:val="both"/>
      </w:pPr>
      <w:r>
        <w:rPr>
          <w:sz w:val="21"/>
          <w:b/>
        </w:rPr>
        <w:t>附件</w:t>
      </w:r>
      <w:r>
        <w:rPr>
          <w:sz w:val="21"/>
          <w:b/>
        </w:rPr>
        <w:t>3</w:t>
      </w:r>
    </w:p>
    <w:tbl>
      <w:tblPr>
        <w:tblW w:w="0" w:type="auto"/>
        <w:tblBorders>
          <w:top w:val="none" w:color="000000" w:sz="4"/>
          <w:left w:val="none" w:color="000000" w:sz="4"/>
          <w:bottom w:val="none" w:color="000000" w:sz="4"/>
          <w:right w:val="none" w:color="000000" w:sz="4"/>
          <w:insideH w:val="none"/>
          <w:insideV w:val="none"/>
        </w:tblBorders>
      </w:tblPr>
      <w:tblGrid>
        <w:gridCol w:w="455"/>
        <w:gridCol w:w="399"/>
        <w:gridCol w:w="418"/>
        <w:gridCol w:w="520"/>
        <w:gridCol w:w="539"/>
        <w:gridCol w:w="232"/>
        <w:gridCol w:w="232"/>
        <w:gridCol w:w="251"/>
        <w:gridCol w:w="279"/>
        <w:gridCol w:w="381"/>
        <w:gridCol w:w="1339"/>
        <w:gridCol w:w="762"/>
        <w:gridCol w:w="744"/>
        <w:gridCol w:w="883"/>
        <w:gridCol w:w="799"/>
      </w:tblGrid>
      <w:tr>
        <w:tc>
          <w:tcPr>
            <w:tcW w:type="dxa" w:w="8233"/>
            <w:gridSpan w:val="15"/>
            <w:tcBorders>
              <w:top w:val="double" w:color="000000" w:sz="8"/>
              <w:left w:val="double" w:color="000000" w:sz="8"/>
              <w:bottom w:val="single" w:color="000000" w:sz="4"/>
              <w:right w:val="double" w:color="000000" w:sz="8"/>
            </w:tcBorders>
            <w:tcMar>
              <w:top w:type="dxa" w:w="0"/>
              <w:left w:type="dxa" w:w="105"/>
              <w:bottom w:type="dxa" w:w="0"/>
              <w:right w:type="dxa" w:w="105"/>
            </w:tcMar>
            <w:vAlign w:val="top"/>
          </w:tcPr>
          <w:p>
            <w:pPr>
              <w:pStyle w:val="null3"/>
              <w:jc w:val="center"/>
            </w:pPr>
            <w:r>
              <w:rPr>
                <w:sz w:val="21"/>
                <w:b/>
              </w:rPr>
              <w:t>井盖设施</w:t>
            </w:r>
            <w:r>
              <w:rPr>
                <w:sz w:val="21"/>
                <w:b/>
              </w:rPr>
              <w:t>普查建档信息表</w:t>
            </w:r>
          </w:p>
        </w:tc>
      </w:tr>
      <w:tr>
        <w:tc>
          <w:tcPr>
            <w:tcW w:type="dxa" w:w="455"/>
            <w:tcBorders>
              <w:top w:val="single" w:color="000000" w:sz="4"/>
              <w:left w:val="double" w:color="000000" w:sz="8"/>
              <w:bottom w:val="single" w:color="000000" w:sz="4"/>
              <w:right w:val="single" w:color="000000" w:sz="4"/>
            </w:tcBorders>
            <w:tcMar>
              <w:top w:type="dxa" w:w="0"/>
              <w:left w:type="dxa" w:w="105"/>
              <w:bottom w:type="dxa" w:w="0"/>
              <w:right w:type="dxa" w:w="105"/>
            </w:tcMar>
            <w:vAlign w:val="top"/>
          </w:tcPr>
          <w:p>
            <w:pPr>
              <w:pStyle w:val="null3"/>
              <w:jc w:val="center"/>
            </w:pPr>
            <w:r>
              <w:rPr>
                <w:sz w:val="21"/>
              </w:rPr>
              <w:t>权属单位</w:t>
            </w:r>
          </w:p>
        </w:tc>
        <w:tc>
          <w:tcPr>
            <w:tcW w:type="dxa" w:w="39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所在路段</w:t>
            </w:r>
          </w:p>
        </w:tc>
        <w:tc>
          <w:tcPr>
            <w:tcW w:type="dxa" w:w="418"/>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井盖编号</w:t>
            </w:r>
          </w:p>
        </w:tc>
        <w:tc>
          <w:tcPr>
            <w:tcW w:type="dxa" w:w="52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井盖经度</w:t>
            </w:r>
            <w:r>
              <w:rPr>
                <w:sz w:val="21"/>
              </w:rPr>
              <w:t>(GPS)</w:t>
            </w:r>
          </w:p>
        </w:tc>
        <w:tc>
          <w:tcPr>
            <w:tcW w:type="dxa" w:w="53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井盖纬度</w:t>
            </w:r>
            <w:r>
              <w:rPr>
                <w:sz w:val="21"/>
              </w:rPr>
              <w:t>(GPS)</w:t>
            </w:r>
          </w:p>
        </w:tc>
        <w:tc>
          <w:tcPr>
            <w:tcW w:type="dxa" w:w="23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井盖使用场合</w:t>
            </w:r>
          </w:p>
        </w:tc>
        <w:tc>
          <w:tcPr>
            <w:tcW w:type="dxa" w:w="23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井盖类型</w:t>
            </w:r>
          </w:p>
        </w:tc>
        <w:tc>
          <w:tcPr>
            <w:tcW w:type="dxa" w:w="25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井盖材质</w:t>
            </w:r>
          </w:p>
        </w:tc>
        <w:tc>
          <w:tcPr>
            <w:tcW w:type="dxa" w:w="27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井盖形状</w:t>
            </w:r>
          </w:p>
        </w:tc>
        <w:tc>
          <w:tcPr>
            <w:tcW w:type="dxa" w:w="38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井盖规格</w:t>
            </w:r>
          </w:p>
        </w:tc>
        <w:tc>
          <w:tcPr>
            <w:tcW w:type="dxa" w:w="133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详细地址</w:t>
            </w:r>
          </w:p>
        </w:tc>
        <w:tc>
          <w:tcPr>
            <w:tcW w:type="dxa" w:w="76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远景照片</w:t>
            </w:r>
            <w:r>
              <w:rPr>
                <w:sz w:val="21"/>
              </w:rPr>
              <w:t>(yj)</w:t>
            </w:r>
          </w:p>
        </w:tc>
        <w:tc>
          <w:tcPr>
            <w:tcW w:type="dxa" w:w="74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特写照片</w:t>
            </w:r>
            <w:r>
              <w:rPr>
                <w:sz w:val="21"/>
              </w:rPr>
              <w:t>(tx)</w:t>
            </w:r>
          </w:p>
        </w:tc>
        <w:tc>
          <w:tcPr>
            <w:tcW w:type="dxa" w:w="88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周边照片</w:t>
            </w:r>
            <w:r>
              <w:rPr>
                <w:sz w:val="21"/>
              </w:rPr>
              <w:t>(zb)</w:t>
            </w:r>
          </w:p>
        </w:tc>
        <w:tc>
          <w:tcPr>
            <w:tcW w:type="dxa" w:w="799"/>
            <w:tcBorders>
              <w:top w:val="single" w:color="000000" w:sz="4"/>
              <w:left w:val="single" w:color="000000" w:sz="4"/>
              <w:bottom w:val="single" w:color="000000" w:sz="4"/>
              <w:right w:val="double" w:color="000000" w:sz="8"/>
            </w:tcBorders>
            <w:tcMar>
              <w:top w:type="dxa" w:w="0"/>
              <w:left w:type="dxa" w:w="105"/>
              <w:bottom w:type="dxa" w:w="0"/>
              <w:right w:type="dxa" w:w="105"/>
            </w:tcMar>
            <w:vAlign w:val="top"/>
          </w:tcPr>
          <w:p>
            <w:pPr>
              <w:pStyle w:val="null3"/>
              <w:jc w:val="center"/>
            </w:pPr>
            <w:r>
              <w:rPr>
                <w:sz w:val="21"/>
              </w:rPr>
              <w:t>备注</w:t>
            </w:r>
          </w:p>
        </w:tc>
      </w:tr>
      <w:tr>
        <w:tc>
          <w:tcPr>
            <w:tcW w:type="dxa" w:w="455"/>
            <w:tcBorders>
              <w:top w:val="single" w:color="000000" w:sz="4"/>
              <w:left w:val="double" w:color="000000" w:sz="8"/>
              <w:bottom w:val="single" w:color="000000" w:sz="4"/>
              <w:right w:val="single" w:color="000000" w:sz="4"/>
            </w:tcBorders>
            <w:tcMar>
              <w:top w:type="dxa" w:w="0"/>
              <w:left w:type="dxa" w:w="105"/>
              <w:bottom w:type="dxa" w:w="0"/>
              <w:right w:type="dxa" w:w="105"/>
            </w:tcMar>
            <w:vAlign w:val="top"/>
          </w:tcPr>
          <w:p>
            <w:pPr>
              <w:pStyle w:val="null3"/>
              <w:jc w:val="center"/>
            </w:pPr>
            <w:r>
              <w:rPr>
                <w:sz w:val="21"/>
              </w:rPr>
              <w:t>广州市城市排水有限公司</w:t>
            </w:r>
          </w:p>
        </w:tc>
        <w:tc>
          <w:tcPr>
            <w:tcW w:type="dxa" w:w="39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滨江路</w:t>
            </w:r>
            <w:r>
              <w:rPr>
                <w:sz w:val="21"/>
              </w:rPr>
              <w:t>(海珠桥-广州塔路)</w:t>
            </w:r>
          </w:p>
        </w:tc>
        <w:tc>
          <w:tcPr>
            <w:tcW w:type="dxa" w:w="418"/>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自编号</w:t>
            </w:r>
          </w:p>
        </w:tc>
        <w:tc>
          <w:tcPr>
            <w:tcW w:type="dxa" w:w="52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113.2620066359</w:t>
            </w:r>
          </w:p>
        </w:tc>
        <w:tc>
          <w:tcPr>
            <w:tcW w:type="dxa" w:w="53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23.1198305368</w:t>
            </w:r>
          </w:p>
        </w:tc>
        <w:tc>
          <w:tcPr>
            <w:tcW w:type="dxa" w:w="23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机动车道</w:t>
            </w:r>
          </w:p>
        </w:tc>
        <w:tc>
          <w:tcPr>
            <w:tcW w:type="dxa" w:w="23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箅子</w:t>
            </w:r>
          </w:p>
        </w:tc>
        <w:tc>
          <w:tcPr>
            <w:tcW w:type="dxa" w:w="25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球墨铸铁</w:t>
            </w:r>
          </w:p>
        </w:tc>
        <w:tc>
          <w:tcPr>
            <w:tcW w:type="dxa" w:w="27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矩形</w:t>
            </w:r>
          </w:p>
        </w:tc>
        <w:tc>
          <w:tcPr>
            <w:tcW w:type="dxa" w:w="38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600×400mm（±10）</w:t>
            </w:r>
          </w:p>
        </w:tc>
        <w:tc>
          <w:tcPr>
            <w:tcW w:type="dxa" w:w="133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1"/>
              </w:rPr>
              <w:t>滨江路</w:t>
            </w:r>
            <w:r>
              <w:rPr>
                <w:sz w:val="21"/>
              </w:rPr>
              <w:t>(海珠桥-广州塔路) 机动车道 第一条 西南往东北 井盖右前方 4米 路灯杆 226号</w:t>
            </w:r>
          </w:p>
        </w:tc>
        <w:tc>
          <w:tcPr>
            <w:tcW w:type="dxa" w:w="76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(自编号)_yj_1.jpg</w:t>
            </w:r>
          </w:p>
        </w:tc>
        <w:tc>
          <w:tcPr>
            <w:tcW w:type="dxa" w:w="74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(自编号)_tx_1.jpg</w:t>
            </w:r>
          </w:p>
        </w:tc>
        <w:tc>
          <w:tcPr>
            <w:tcW w:type="dxa" w:w="88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(自编号)_zb_1.jpg</w:t>
            </w:r>
          </w:p>
        </w:tc>
        <w:tc>
          <w:tcPr>
            <w:tcW w:type="dxa" w:w="799"/>
            <w:tcBorders>
              <w:top w:val="single" w:color="000000" w:sz="4"/>
              <w:left w:val="single" w:color="000000" w:sz="4"/>
              <w:bottom w:val="single" w:color="000000" w:sz="4"/>
              <w:right w:val="double" w:color="000000" w:sz="8"/>
            </w:tcBorders>
            <w:tcMar>
              <w:top w:type="dxa" w:w="0"/>
              <w:left w:type="dxa" w:w="105"/>
              <w:bottom w:type="dxa" w:w="0"/>
              <w:right w:type="dxa" w:w="105"/>
            </w:tcMar>
            <w:vAlign w:val="top"/>
          </w:tcPr>
          <w:p>
            <w:pPr>
              <w:pStyle w:val="null3"/>
              <w:jc w:val="center"/>
            </w:pPr>
          </w:p>
        </w:tc>
      </w:tr>
      <w:tr>
        <w:tc>
          <w:tcPr>
            <w:tcW w:type="dxa" w:w="455"/>
            <w:tcBorders>
              <w:top w:val="single" w:color="000000" w:sz="4"/>
              <w:left w:val="double" w:color="000000" w:sz="8"/>
              <w:bottom w:val="double" w:color="000000" w:sz="8"/>
              <w:right w:val="single" w:color="000000" w:sz="4"/>
            </w:tcBorders>
            <w:tcMar>
              <w:top w:type="dxa" w:w="0"/>
              <w:left w:type="dxa" w:w="105"/>
              <w:bottom w:type="dxa" w:w="0"/>
              <w:right w:type="dxa" w:w="105"/>
            </w:tcMar>
            <w:vAlign w:val="top"/>
          </w:tcPr>
          <w:p/>
        </w:tc>
        <w:tc>
          <w:tcPr>
            <w:tcW w:type="dxa" w:w="399"/>
            <w:tcBorders>
              <w:top w:val="single" w:color="000000" w:sz="4"/>
              <w:left w:val="single" w:color="000000" w:sz="4"/>
              <w:bottom w:val="double" w:color="000000" w:sz="8"/>
              <w:right w:val="single" w:color="000000" w:sz="4"/>
            </w:tcBorders>
            <w:tcMar>
              <w:top w:type="dxa" w:w="0"/>
              <w:left w:type="dxa" w:w="105"/>
              <w:bottom w:type="dxa" w:w="0"/>
              <w:right w:type="dxa" w:w="105"/>
            </w:tcMar>
            <w:vAlign w:val="top"/>
          </w:tcPr>
          <w:p/>
        </w:tc>
        <w:tc>
          <w:tcPr>
            <w:tcW w:type="dxa" w:w="418"/>
            <w:tcBorders>
              <w:top w:val="single" w:color="000000" w:sz="4"/>
              <w:left w:val="single" w:color="000000" w:sz="4"/>
              <w:bottom w:val="double" w:color="000000" w:sz="8"/>
              <w:right w:val="single" w:color="000000" w:sz="4"/>
            </w:tcBorders>
            <w:tcMar>
              <w:top w:type="dxa" w:w="0"/>
              <w:left w:type="dxa" w:w="105"/>
              <w:bottom w:type="dxa" w:w="0"/>
              <w:right w:type="dxa" w:w="105"/>
            </w:tcMar>
            <w:vAlign w:val="top"/>
          </w:tcPr>
          <w:p/>
        </w:tc>
        <w:tc>
          <w:tcPr>
            <w:tcW w:type="dxa" w:w="520"/>
            <w:tcBorders>
              <w:top w:val="single" w:color="000000" w:sz="4"/>
              <w:left w:val="single" w:color="000000" w:sz="4"/>
              <w:bottom w:val="double" w:color="000000" w:sz="8"/>
              <w:right w:val="single" w:color="000000" w:sz="4"/>
            </w:tcBorders>
            <w:tcMar>
              <w:top w:type="dxa" w:w="0"/>
              <w:left w:type="dxa" w:w="105"/>
              <w:bottom w:type="dxa" w:w="0"/>
              <w:right w:type="dxa" w:w="105"/>
            </w:tcMar>
            <w:vAlign w:val="top"/>
          </w:tcPr>
          <w:p/>
        </w:tc>
        <w:tc>
          <w:tcPr>
            <w:tcW w:type="dxa" w:w="539"/>
            <w:tcBorders>
              <w:top w:val="single" w:color="000000" w:sz="4"/>
              <w:left w:val="single" w:color="000000" w:sz="4"/>
              <w:bottom w:val="double" w:color="000000" w:sz="8"/>
              <w:right w:val="single" w:color="000000" w:sz="4"/>
            </w:tcBorders>
            <w:tcMar>
              <w:top w:type="dxa" w:w="0"/>
              <w:left w:type="dxa" w:w="105"/>
              <w:bottom w:type="dxa" w:w="0"/>
              <w:right w:type="dxa" w:w="105"/>
            </w:tcMar>
            <w:vAlign w:val="top"/>
          </w:tcPr>
          <w:p/>
        </w:tc>
        <w:tc>
          <w:tcPr>
            <w:tcW w:type="dxa" w:w="232"/>
            <w:tcBorders>
              <w:top w:val="single" w:color="000000" w:sz="4"/>
              <w:left w:val="single" w:color="000000" w:sz="4"/>
              <w:bottom w:val="double" w:color="000000" w:sz="8"/>
              <w:right w:val="single" w:color="000000" w:sz="4"/>
            </w:tcBorders>
            <w:tcMar>
              <w:top w:type="dxa" w:w="0"/>
              <w:left w:type="dxa" w:w="105"/>
              <w:bottom w:type="dxa" w:w="0"/>
              <w:right w:type="dxa" w:w="105"/>
            </w:tcMar>
            <w:vAlign w:val="top"/>
          </w:tcPr>
          <w:p/>
        </w:tc>
        <w:tc>
          <w:tcPr>
            <w:tcW w:type="dxa" w:w="232"/>
            <w:tcBorders>
              <w:top w:val="single" w:color="000000" w:sz="4"/>
              <w:left w:val="single" w:color="000000" w:sz="4"/>
              <w:bottom w:val="double" w:color="000000" w:sz="8"/>
              <w:right w:val="single" w:color="000000" w:sz="4"/>
            </w:tcBorders>
            <w:tcMar>
              <w:top w:type="dxa" w:w="0"/>
              <w:left w:type="dxa" w:w="105"/>
              <w:bottom w:type="dxa" w:w="0"/>
              <w:right w:type="dxa" w:w="105"/>
            </w:tcMar>
            <w:vAlign w:val="top"/>
          </w:tcPr>
          <w:p/>
        </w:tc>
        <w:tc>
          <w:tcPr>
            <w:tcW w:type="dxa" w:w="251"/>
            <w:tcBorders>
              <w:top w:val="single" w:color="000000" w:sz="4"/>
              <w:left w:val="single" w:color="000000" w:sz="4"/>
              <w:bottom w:val="double" w:color="000000" w:sz="8"/>
              <w:right w:val="single" w:color="000000" w:sz="4"/>
            </w:tcBorders>
            <w:tcMar>
              <w:top w:type="dxa" w:w="0"/>
              <w:left w:type="dxa" w:w="105"/>
              <w:bottom w:type="dxa" w:w="0"/>
              <w:right w:type="dxa" w:w="105"/>
            </w:tcMar>
            <w:vAlign w:val="top"/>
          </w:tcPr>
          <w:p/>
        </w:tc>
        <w:tc>
          <w:tcPr>
            <w:tcW w:type="dxa" w:w="279"/>
            <w:tcBorders>
              <w:top w:val="single" w:color="000000" w:sz="4"/>
              <w:left w:val="single" w:color="000000" w:sz="4"/>
              <w:bottom w:val="double" w:color="000000" w:sz="8"/>
              <w:right w:val="single" w:color="000000" w:sz="4"/>
            </w:tcBorders>
            <w:tcMar>
              <w:top w:type="dxa" w:w="0"/>
              <w:left w:type="dxa" w:w="105"/>
              <w:bottom w:type="dxa" w:w="0"/>
              <w:right w:type="dxa" w:w="105"/>
            </w:tcMar>
            <w:vAlign w:val="top"/>
          </w:tcPr>
          <w:p/>
        </w:tc>
        <w:tc>
          <w:tcPr>
            <w:tcW w:type="dxa" w:w="381"/>
            <w:tcBorders>
              <w:top w:val="single" w:color="000000" w:sz="4"/>
              <w:left w:val="single" w:color="000000" w:sz="4"/>
              <w:bottom w:val="double" w:color="000000" w:sz="8"/>
              <w:right w:val="single" w:color="000000" w:sz="4"/>
            </w:tcBorders>
            <w:tcMar>
              <w:top w:type="dxa" w:w="0"/>
              <w:left w:type="dxa" w:w="105"/>
              <w:bottom w:type="dxa" w:w="0"/>
              <w:right w:type="dxa" w:w="105"/>
            </w:tcMar>
            <w:vAlign w:val="top"/>
          </w:tcPr>
          <w:p/>
        </w:tc>
        <w:tc>
          <w:tcPr>
            <w:tcW w:type="dxa" w:w="1339"/>
            <w:tcBorders>
              <w:top w:val="single" w:color="000000" w:sz="4"/>
              <w:left w:val="single" w:color="000000" w:sz="4"/>
              <w:bottom w:val="double" w:color="000000" w:sz="8"/>
              <w:right w:val="single" w:color="000000" w:sz="4"/>
            </w:tcBorders>
            <w:tcMar>
              <w:top w:type="dxa" w:w="0"/>
              <w:left w:type="dxa" w:w="105"/>
              <w:bottom w:type="dxa" w:w="0"/>
              <w:right w:type="dxa" w:w="105"/>
            </w:tcMar>
            <w:vAlign w:val="top"/>
          </w:tcPr>
          <w:p/>
        </w:tc>
        <w:tc>
          <w:tcPr>
            <w:tcW w:type="dxa" w:w="762"/>
            <w:tcBorders>
              <w:top w:val="single" w:color="000000" w:sz="4"/>
              <w:left w:val="single" w:color="000000" w:sz="4"/>
              <w:bottom w:val="double" w:color="000000" w:sz="8"/>
              <w:right w:val="single" w:color="000000" w:sz="4"/>
            </w:tcBorders>
            <w:tcMar>
              <w:top w:type="dxa" w:w="0"/>
              <w:left w:type="dxa" w:w="105"/>
              <w:bottom w:type="dxa" w:w="0"/>
              <w:right w:type="dxa" w:w="105"/>
            </w:tcMar>
            <w:vAlign w:val="top"/>
          </w:tcPr>
          <w:p/>
        </w:tc>
        <w:tc>
          <w:tcPr>
            <w:tcW w:type="dxa" w:w="744"/>
            <w:tcBorders>
              <w:top w:val="single" w:color="000000" w:sz="4"/>
              <w:left w:val="single" w:color="000000" w:sz="4"/>
              <w:bottom w:val="double" w:color="000000" w:sz="8"/>
              <w:right w:val="single" w:color="000000" w:sz="4"/>
            </w:tcBorders>
            <w:tcMar>
              <w:top w:type="dxa" w:w="0"/>
              <w:left w:type="dxa" w:w="105"/>
              <w:bottom w:type="dxa" w:w="0"/>
              <w:right w:type="dxa" w:w="105"/>
            </w:tcMar>
            <w:vAlign w:val="top"/>
          </w:tcPr>
          <w:p/>
        </w:tc>
        <w:tc>
          <w:tcPr>
            <w:tcW w:type="dxa" w:w="883"/>
            <w:tcBorders>
              <w:top w:val="single" w:color="000000" w:sz="4"/>
              <w:left w:val="single" w:color="000000" w:sz="4"/>
              <w:bottom w:val="double" w:color="000000" w:sz="8"/>
              <w:right w:val="single" w:color="000000" w:sz="4"/>
            </w:tcBorders>
            <w:tcMar>
              <w:top w:type="dxa" w:w="0"/>
              <w:left w:type="dxa" w:w="105"/>
              <w:bottom w:type="dxa" w:w="0"/>
              <w:right w:type="dxa" w:w="105"/>
            </w:tcMar>
            <w:vAlign w:val="top"/>
          </w:tcPr>
          <w:p/>
        </w:tc>
        <w:tc>
          <w:tcPr>
            <w:tcW w:type="dxa" w:w="799"/>
            <w:tcBorders>
              <w:top w:val="single" w:color="000000" w:sz="4"/>
              <w:left w:val="single" w:color="000000" w:sz="4"/>
              <w:bottom w:val="double" w:color="000000" w:sz="8"/>
              <w:right w:val="double" w:color="000000" w:sz="8"/>
            </w:tcBorders>
            <w:tcMar>
              <w:top w:type="dxa" w:w="0"/>
              <w:left w:type="dxa" w:w="105"/>
              <w:bottom w:type="dxa" w:w="0"/>
              <w:right w:type="dxa" w:w="105"/>
            </w:tcMar>
            <w:vAlign w:val="top"/>
          </w:tcPr>
          <w:p/>
        </w:tc>
      </w:tr>
    </w:tbl>
    <w:p>
      <w:pPr>
        <w:pStyle w:val="null3"/>
      </w:pPr>
      <w:r>
        <w:rPr/>
        <w:t xml:space="preserve">  </w:t>
      </w:r>
    </w:p>
    <w:p>
      <w:pPr>
        <w:pStyle w:val="null3"/>
        <w:jc w:val="both"/>
      </w:pPr>
      <w:r>
        <w:rPr>
          <w:sz w:val="21"/>
        </w:rPr>
        <w:t>注：以上具体信息为示例，具体填写说明请参考《</w:t>
      </w:r>
      <w:r>
        <w:rPr>
          <w:sz w:val="21"/>
        </w:rPr>
        <w:t>井盖设施</w:t>
      </w:r>
      <w:r>
        <w:rPr>
          <w:sz w:val="21"/>
        </w:rPr>
        <w:t>普查建档信息填写说明》。</w:t>
      </w:r>
    </w:p>
    <w:p>
      <w:pPr>
        <w:pStyle w:val="null3"/>
      </w:pPr>
      <w:r>
        <w:rPr>
          <w:sz w:val="28"/>
          <w:b/>
        </w:rPr>
        <w:t>井盖设施</w:t>
      </w:r>
      <w:r>
        <w:rPr>
          <w:sz w:val="28"/>
          <w:b/>
        </w:rPr>
        <w:t>普查建档信息表填写说明</w:t>
      </w:r>
    </w:p>
    <w:p>
      <w:pPr>
        <w:pStyle w:val="null3"/>
      </w:pPr>
      <w:r>
        <w:rPr>
          <w:sz w:val="21"/>
          <w:b/>
        </w:rPr>
        <w:t>A.</w:t>
      </w:r>
      <w:r>
        <w:rPr>
          <w:sz w:val="21"/>
          <w:b/>
        </w:rPr>
        <w:t>权属单位</w:t>
      </w:r>
    </w:p>
    <w:p>
      <w:pPr>
        <w:pStyle w:val="null3"/>
        <w:ind w:left="420"/>
      </w:pPr>
      <w:r>
        <w:rPr>
          <w:sz w:val="21"/>
        </w:rPr>
        <w:t>权属单位的全称</w:t>
      </w:r>
      <w:r>
        <w:rPr/>
        <w:t xml:space="preserve"> </w:t>
      </w:r>
    </w:p>
    <w:p>
      <w:pPr>
        <w:pStyle w:val="null3"/>
      </w:pPr>
      <w:r>
        <w:rPr>
          <w:sz w:val="21"/>
          <w:b/>
        </w:rPr>
        <w:t>B.</w:t>
      </w:r>
      <w:r>
        <w:rPr>
          <w:sz w:val="21"/>
          <w:b/>
        </w:rPr>
        <w:t>所在路段</w:t>
      </w:r>
    </w:p>
    <w:p>
      <w:pPr>
        <w:pStyle w:val="null3"/>
        <w:ind w:left="420"/>
      </w:pPr>
      <w:r>
        <w:rPr>
          <w:sz w:val="21"/>
        </w:rPr>
        <w:t>井盖所在的</w:t>
      </w:r>
      <w:r>
        <w:rPr>
          <w:sz w:val="21"/>
        </w:rPr>
        <w:t>道路名称</w:t>
      </w:r>
    </w:p>
    <w:p>
      <w:pPr>
        <w:pStyle w:val="null3"/>
      </w:pPr>
      <w:r>
        <w:rPr>
          <w:sz w:val="21"/>
          <w:b/>
        </w:rPr>
        <w:t>C.</w:t>
      </w:r>
      <w:r>
        <w:rPr>
          <w:sz w:val="21"/>
          <w:b/>
        </w:rPr>
        <w:t>井盖编号</w:t>
      </w:r>
    </w:p>
    <w:p>
      <w:pPr>
        <w:pStyle w:val="null3"/>
        <w:ind w:left="420"/>
      </w:pPr>
      <w:r>
        <w:rPr>
          <w:sz w:val="21"/>
        </w:rPr>
        <w:t>由各单位自行编号，一个井盖对应一个独立编号。</w:t>
      </w:r>
    </w:p>
    <w:p>
      <w:pPr>
        <w:pStyle w:val="null3"/>
      </w:pPr>
      <w:r>
        <w:rPr>
          <w:sz w:val="21"/>
          <w:b/>
        </w:rPr>
        <w:t>D.</w:t>
      </w:r>
      <w:r>
        <w:rPr>
          <w:sz w:val="21"/>
          <w:b/>
        </w:rPr>
        <w:t>井盖经度</w:t>
      </w:r>
      <w:r>
        <w:rPr>
          <w:sz w:val="21"/>
          <w:b/>
        </w:rPr>
        <w:t>(GPS)</w:t>
      </w:r>
    </w:p>
    <w:p>
      <w:pPr>
        <w:pStyle w:val="null3"/>
        <w:ind w:left="420"/>
      </w:pPr>
      <w:r>
        <w:rPr>
          <w:sz w:val="21"/>
        </w:rPr>
        <w:t>井盖</w:t>
      </w:r>
      <w:r>
        <w:rPr>
          <w:sz w:val="21"/>
        </w:rPr>
        <w:t>GPS定位的经度坐标, 精确到小数点后10位</w:t>
      </w:r>
    </w:p>
    <w:p>
      <w:pPr>
        <w:pStyle w:val="null3"/>
      </w:pPr>
      <w:r>
        <w:rPr>
          <w:sz w:val="21"/>
          <w:b/>
        </w:rPr>
        <w:t>E.</w:t>
      </w:r>
      <w:r>
        <w:rPr>
          <w:sz w:val="21"/>
          <w:b/>
        </w:rPr>
        <w:t>井盖纬度</w:t>
      </w:r>
      <w:r>
        <w:rPr>
          <w:sz w:val="21"/>
          <w:b/>
        </w:rPr>
        <w:t>(GPS)</w:t>
      </w:r>
    </w:p>
    <w:p>
      <w:pPr>
        <w:pStyle w:val="null3"/>
        <w:ind w:left="420"/>
      </w:pPr>
      <w:r>
        <w:rPr>
          <w:sz w:val="21"/>
        </w:rPr>
        <w:t>井盖</w:t>
      </w:r>
      <w:r>
        <w:rPr>
          <w:sz w:val="21"/>
        </w:rPr>
        <w:t>GPS定位的纬度坐标, 精确到小数点后10位</w:t>
      </w:r>
    </w:p>
    <w:p>
      <w:pPr>
        <w:pStyle w:val="null3"/>
      </w:pPr>
      <w:r>
        <w:rPr>
          <w:sz w:val="21"/>
          <w:b/>
        </w:rPr>
        <w:t>F.</w:t>
      </w:r>
      <w:r>
        <w:rPr>
          <w:sz w:val="21"/>
          <w:b/>
        </w:rPr>
        <w:t>井盖使用场合</w:t>
      </w:r>
    </w:p>
    <w:p>
      <w:pPr>
        <w:pStyle w:val="null3"/>
        <w:ind w:left="420"/>
      </w:pPr>
      <w:r>
        <w:rPr>
          <w:sz w:val="21"/>
        </w:rPr>
        <w:t>参照下图填写</w:t>
      </w:r>
      <w:r>
        <w:rPr>
          <w:sz w:val="21"/>
        </w:rPr>
        <w:t>(如需补充, 请</w:t>
      </w:r>
      <w:r>
        <w:rPr>
          <w:sz w:val="21"/>
        </w:rPr>
        <w:t>填</w:t>
      </w:r>
      <w:r>
        <w:rPr>
          <w:sz w:val="21"/>
        </w:rPr>
        <w:t>“其他”并在表格“备注”列注明</w:t>
      </w:r>
      <w:r>
        <w:rPr>
          <w:sz w:val="21"/>
        </w:rPr>
        <w:t>)</w:t>
      </w:r>
    </w:p>
    <w:p>
      <w:pPr>
        <w:pStyle w:val="null3"/>
        <w:ind w:left="420"/>
        <w:jc w:val="center"/>
      </w:pPr>
      <w:r>
        <w:drawing>
          <wp:inline distT="0" distR="0" distB="0" distL="0">
            <wp:extent cx="2409825" cy="3514725"/>
            <wp:docPr id="1" name="Drawing 1" descr="img"/>
            <a:graphic xmlns:a="http://schemas.openxmlformats.org/drawingml/2006/main">
              <a:graphicData uri="http://schemas.openxmlformats.org/drawingml/2006/picture">
                <pic:pic xmlns:pic="http://schemas.openxmlformats.org/drawingml/2006/picture">
                  <pic:nvPicPr>
                    <pic:cNvPr id="0" name="Picture 1" descr="img"/>
                    <pic:cNvPicPr>
                      <a:picLocks noChangeAspect="true"/>
                    </pic:cNvPicPr>
                  </pic:nvPicPr>
                  <pic:blipFill>
                    <a:blip r:embed="rId5"/>
                    <a:stretch>
                      <a:fillRect/>
                    </a:stretch>
                  </pic:blipFill>
                  <pic:spPr>
                    <a:xfrm>
                      <a:off x="0" y="0"/>
                      <a:ext cx="2409825" cy="3514725"/>
                    </a:xfrm>
                    <a:prstGeom prst="rect">
                      <a:avLst/>
                    </a:prstGeom>
                  </pic:spPr>
                </pic:pic>
              </a:graphicData>
            </a:graphic>
          </wp:inline>
        </w:drawing>
      </w:r>
    </w:p>
    <w:p>
      <w:pPr>
        <w:pStyle w:val="null3"/>
      </w:pPr>
      <w:r>
        <w:rPr>
          <w:sz w:val="21"/>
          <w:b/>
        </w:rPr>
        <w:t>G.</w:t>
      </w:r>
      <w:r>
        <w:rPr>
          <w:sz w:val="21"/>
          <w:b/>
        </w:rPr>
        <w:t>井盖类型</w:t>
      </w:r>
    </w:p>
    <w:p>
      <w:pPr>
        <w:pStyle w:val="null3"/>
        <w:ind w:left="420"/>
      </w:pPr>
      <w:r>
        <w:rPr>
          <w:sz w:val="21"/>
        </w:rPr>
        <w:t>参照下图填写</w:t>
      </w:r>
    </w:p>
    <w:p>
      <w:pPr>
        <w:pStyle w:val="null3"/>
        <w:ind w:left="420"/>
        <w:jc w:val="center"/>
      </w:pPr>
      <w:r>
        <w:drawing>
          <wp:inline distT="0" distR="0" distB="0" distL="0">
            <wp:extent cx="3267075" cy="3829050"/>
            <wp:docPr id="2" name="Drawing 2" descr="img"/>
            <a:graphic xmlns:a="http://schemas.openxmlformats.org/drawingml/2006/main">
              <a:graphicData uri="http://schemas.openxmlformats.org/drawingml/2006/picture">
                <pic:pic xmlns:pic="http://schemas.openxmlformats.org/drawingml/2006/picture">
                  <pic:nvPicPr>
                    <pic:cNvPr id="0" name="Picture 2" descr="img"/>
                    <pic:cNvPicPr>
                      <a:picLocks noChangeAspect="true"/>
                    </pic:cNvPicPr>
                  </pic:nvPicPr>
                  <pic:blipFill>
                    <a:blip r:embed="rId6"/>
                    <a:stretch>
                      <a:fillRect/>
                    </a:stretch>
                  </pic:blipFill>
                  <pic:spPr>
                    <a:xfrm>
                      <a:off x="0" y="0"/>
                      <a:ext cx="3267075" cy="3829050"/>
                    </a:xfrm>
                    <a:prstGeom prst="rect">
                      <a:avLst/>
                    </a:prstGeom>
                  </pic:spPr>
                </pic:pic>
              </a:graphicData>
            </a:graphic>
          </wp:inline>
        </w:drawing>
      </w:r>
    </w:p>
    <w:p>
      <w:pPr>
        <w:pStyle w:val="null3"/>
      </w:pPr>
      <w:r>
        <w:rPr>
          <w:sz w:val="21"/>
          <w:b/>
        </w:rPr>
        <w:t>H.</w:t>
      </w:r>
      <w:r>
        <w:rPr>
          <w:sz w:val="21"/>
          <w:b/>
        </w:rPr>
        <w:t>井盖材质</w:t>
      </w:r>
      <w:r>
        <w:rPr>
          <w:b/>
        </w:rPr>
        <w:t xml:space="preserve"> </w:t>
      </w:r>
    </w:p>
    <w:p>
      <w:pPr>
        <w:pStyle w:val="null3"/>
        <w:ind w:left="420"/>
      </w:pPr>
      <w:r>
        <w:rPr>
          <w:sz w:val="21"/>
        </w:rPr>
        <w:t>参照下图填写</w:t>
      </w:r>
      <w:r>
        <w:rPr>
          <w:sz w:val="21"/>
        </w:rPr>
        <w:t>(如需补充, 请</w:t>
      </w:r>
      <w:r>
        <w:rPr>
          <w:sz w:val="21"/>
        </w:rPr>
        <w:t>填</w:t>
      </w:r>
      <w:r>
        <w:rPr>
          <w:sz w:val="21"/>
        </w:rPr>
        <w:t>“其他”并在表格“备注”列注明</w:t>
      </w:r>
      <w:r>
        <w:rPr>
          <w:sz w:val="21"/>
        </w:rPr>
        <w:t>)</w:t>
      </w:r>
    </w:p>
    <w:p>
      <w:pPr>
        <w:pStyle w:val="null3"/>
        <w:ind w:left="420"/>
        <w:jc w:val="center"/>
      </w:pPr>
      <w:r>
        <w:drawing>
          <wp:inline distT="0" distR="0" distB="0" distL="0">
            <wp:extent cx="3086100" cy="3810000"/>
            <wp:docPr id="3" name="Drawing 3" descr="img"/>
            <a:graphic xmlns:a="http://schemas.openxmlformats.org/drawingml/2006/main">
              <a:graphicData uri="http://schemas.openxmlformats.org/drawingml/2006/picture">
                <pic:pic xmlns:pic="http://schemas.openxmlformats.org/drawingml/2006/picture">
                  <pic:nvPicPr>
                    <pic:cNvPr id="0" name="Picture 3" descr="img"/>
                    <pic:cNvPicPr>
                      <a:picLocks noChangeAspect="true"/>
                    </pic:cNvPicPr>
                  </pic:nvPicPr>
                  <pic:blipFill>
                    <a:blip r:embed="rId7"/>
                    <a:stretch>
                      <a:fillRect/>
                    </a:stretch>
                  </pic:blipFill>
                  <pic:spPr>
                    <a:xfrm>
                      <a:off x="0" y="0"/>
                      <a:ext cx="3086100" cy="3810000"/>
                    </a:xfrm>
                    <a:prstGeom prst="rect">
                      <a:avLst/>
                    </a:prstGeom>
                  </pic:spPr>
                </pic:pic>
              </a:graphicData>
            </a:graphic>
          </wp:inline>
        </w:drawing>
      </w:r>
    </w:p>
    <w:p>
      <w:pPr>
        <w:pStyle w:val="null3"/>
      </w:pPr>
      <w:r>
        <w:rPr>
          <w:sz w:val="21"/>
          <w:b/>
        </w:rPr>
        <w:t>I.</w:t>
      </w:r>
      <w:r>
        <w:rPr>
          <w:sz w:val="21"/>
          <w:b/>
        </w:rPr>
        <w:t>井盖形状</w:t>
      </w:r>
    </w:p>
    <w:p>
      <w:pPr>
        <w:pStyle w:val="null3"/>
        <w:ind w:left="420"/>
      </w:pPr>
      <w:r>
        <w:rPr>
          <w:sz w:val="21"/>
        </w:rPr>
        <w:t>参照下图填写</w:t>
      </w:r>
    </w:p>
    <w:p>
      <w:pPr>
        <w:pStyle w:val="null3"/>
        <w:ind w:left="420"/>
        <w:jc w:val="center"/>
      </w:pPr>
      <w:r>
        <w:drawing>
          <wp:inline distT="0" distR="0" distB="0" distL="0">
            <wp:extent cx="1828800" cy="1200150"/>
            <wp:docPr id="4" name="Drawing 4" descr="img"/>
            <a:graphic xmlns:a="http://schemas.openxmlformats.org/drawingml/2006/main">
              <a:graphicData uri="http://schemas.openxmlformats.org/drawingml/2006/picture">
                <pic:pic xmlns:pic="http://schemas.openxmlformats.org/drawingml/2006/picture">
                  <pic:nvPicPr>
                    <pic:cNvPr id="0" name="Picture 4" descr="img"/>
                    <pic:cNvPicPr>
                      <a:picLocks noChangeAspect="true"/>
                    </pic:cNvPicPr>
                  </pic:nvPicPr>
                  <pic:blipFill>
                    <a:blip r:embed="rId8"/>
                    <a:stretch>
                      <a:fillRect/>
                    </a:stretch>
                  </pic:blipFill>
                  <pic:spPr>
                    <a:xfrm>
                      <a:off x="0" y="0"/>
                      <a:ext cx="1828800" cy="1200150"/>
                    </a:xfrm>
                    <a:prstGeom prst="rect">
                      <a:avLst/>
                    </a:prstGeom>
                  </pic:spPr>
                </pic:pic>
              </a:graphicData>
            </a:graphic>
          </wp:inline>
        </w:drawing>
      </w:r>
    </w:p>
    <w:p>
      <w:pPr>
        <w:pStyle w:val="null3"/>
      </w:pPr>
      <w:r>
        <w:rPr>
          <w:sz w:val="21"/>
          <w:b/>
        </w:rPr>
        <w:t>J.井盖</w:t>
      </w:r>
      <w:r>
        <w:rPr>
          <w:sz w:val="21"/>
          <w:b/>
        </w:rPr>
        <w:t>规格</w:t>
      </w:r>
    </w:p>
    <w:p>
      <w:pPr>
        <w:pStyle w:val="null3"/>
        <w:ind w:left="420"/>
      </w:pPr>
      <w:r>
        <w:rPr>
          <w:sz w:val="21"/>
        </w:rPr>
        <w:t>矩形规格</w:t>
      </w:r>
      <w:r>
        <w:rPr>
          <w:sz w:val="21"/>
        </w:rPr>
        <w:t>参照下图填写</w:t>
      </w:r>
      <w:r>
        <w:rPr>
          <w:sz w:val="21"/>
        </w:rPr>
        <w:t>(如需补充, 请</w:t>
      </w:r>
      <w:r>
        <w:rPr>
          <w:sz w:val="21"/>
        </w:rPr>
        <w:t>填</w:t>
      </w:r>
      <w:r>
        <w:rPr>
          <w:sz w:val="21"/>
        </w:rPr>
        <w:t>“其他”并在表格“备注”列注明</w:t>
      </w:r>
      <w:r>
        <w:rPr>
          <w:sz w:val="21"/>
        </w:rPr>
        <w:t>)</w:t>
      </w:r>
    </w:p>
    <w:p>
      <w:pPr>
        <w:pStyle w:val="null3"/>
        <w:ind w:left="420"/>
        <w:jc w:val="center"/>
      </w:pPr>
      <w:r>
        <w:drawing>
          <wp:inline distT="0" distR="0" distB="0" distL="0">
            <wp:extent cx="5274310" cy="4167078"/>
            <wp:docPr id="5" name="Drawing 5" descr="img"/>
            <a:graphic xmlns:a="http://schemas.openxmlformats.org/drawingml/2006/main">
              <a:graphicData uri="http://schemas.openxmlformats.org/drawingml/2006/picture">
                <pic:pic xmlns:pic="http://schemas.openxmlformats.org/drawingml/2006/picture">
                  <pic:nvPicPr>
                    <pic:cNvPr id="0" name="Picture 5" descr="img"/>
                    <pic:cNvPicPr>
                      <a:picLocks noChangeAspect="true"/>
                    </pic:cNvPicPr>
                  </pic:nvPicPr>
                  <pic:blipFill>
                    <a:blip r:embed="rId9"/>
                    <a:stretch>
                      <a:fillRect/>
                    </a:stretch>
                  </pic:blipFill>
                  <pic:spPr>
                    <a:xfrm>
                      <a:off x="0" y="0"/>
                      <a:ext cx="5274310" cy="4167078"/>
                    </a:xfrm>
                    <a:prstGeom prst="rect">
                      <a:avLst/>
                    </a:prstGeom>
                  </pic:spPr>
                </pic:pic>
              </a:graphicData>
            </a:graphic>
          </wp:inline>
        </w:drawing>
      </w:r>
    </w:p>
    <w:p>
      <w:pPr>
        <w:pStyle w:val="null3"/>
        <w:ind w:left="420"/>
      </w:pPr>
      <w:r>
        <w:rPr>
          <w:sz w:val="21"/>
        </w:rPr>
        <w:t>圆形规格</w:t>
      </w:r>
      <w:r>
        <w:rPr>
          <w:sz w:val="21"/>
        </w:rPr>
        <w:t>参照下图填写</w:t>
      </w:r>
      <w:r>
        <w:rPr>
          <w:sz w:val="21"/>
        </w:rPr>
        <w:t>(如需补充, 请</w:t>
      </w:r>
      <w:r>
        <w:rPr>
          <w:sz w:val="21"/>
        </w:rPr>
        <w:t>填</w:t>
      </w:r>
      <w:r>
        <w:rPr>
          <w:sz w:val="21"/>
        </w:rPr>
        <w:t>“其他”并在表格“备注”列注明</w:t>
      </w:r>
      <w:r>
        <w:rPr>
          <w:sz w:val="21"/>
        </w:rPr>
        <w:t>)</w:t>
      </w:r>
    </w:p>
    <w:p>
      <w:pPr>
        <w:pStyle w:val="null3"/>
        <w:ind w:left="420"/>
        <w:jc w:val="center"/>
      </w:pPr>
      <w:r>
        <w:drawing>
          <wp:inline distT="0" distR="0" distB="0" distL="0">
            <wp:extent cx="3514725" cy="5314950"/>
            <wp:docPr id="6" name="Drawing 6" descr="img"/>
            <a:graphic xmlns:a="http://schemas.openxmlformats.org/drawingml/2006/main">
              <a:graphicData uri="http://schemas.openxmlformats.org/drawingml/2006/picture">
                <pic:pic xmlns:pic="http://schemas.openxmlformats.org/drawingml/2006/picture">
                  <pic:nvPicPr>
                    <pic:cNvPr id="0" name="Picture 6" descr="img"/>
                    <pic:cNvPicPr>
                      <a:picLocks noChangeAspect="true"/>
                    </pic:cNvPicPr>
                  </pic:nvPicPr>
                  <pic:blipFill>
                    <a:blip r:embed="rId10"/>
                    <a:stretch>
                      <a:fillRect/>
                    </a:stretch>
                  </pic:blipFill>
                  <pic:spPr>
                    <a:xfrm>
                      <a:off x="0" y="0"/>
                      <a:ext cx="3514725" cy="5314950"/>
                    </a:xfrm>
                    <a:prstGeom prst="rect">
                      <a:avLst/>
                    </a:prstGeom>
                  </pic:spPr>
                </pic:pic>
              </a:graphicData>
            </a:graphic>
          </wp:inline>
        </w:drawing>
      </w:r>
    </w:p>
    <w:p>
      <w:pPr>
        <w:pStyle w:val="null3"/>
      </w:pPr>
      <w:r>
        <w:rPr>
          <w:sz w:val="21"/>
          <w:b/>
        </w:rPr>
        <w:t>K.详细地址</w:t>
      </w:r>
    </w:p>
    <w:p>
      <w:pPr>
        <w:pStyle w:val="null3"/>
        <w:ind w:left="420"/>
      </w:pPr>
      <w:r>
        <w:rPr>
          <w:sz w:val="21"/>
        </w:rPr>
        <w:t>井盖的位置描述相对于参照的标志物的范围</w:t>
      </w:r>
      <w:r>
        <w:rPr>
          <w:sz w:val="21"/>
        </w:rPr>
        <w:t xml:space="preserve">, 所在道路的走向等, </w:t>
      </w:r>
      <w:r>
        <w:rPr>
          <w:sz w:val="21"/>
        </w:rPr>
        <w:t>如滨江路</w:t>
      </w:r>
      <w:r>
        <w:rPr>
          <w:sz w:val="21"/>
        </w:rPr>
        <w:t>(海珠桥-广州塔路) 西南往东北第一条机动车道，井盖右前方4米有路灯杆 226号</w:t>
      </w:r>
    </w:p>
    <w:p>
      <w:pPr>
        <w:pStyle w:val="null3"/>
      </w:pPr>
      <w:r>
        <w:rPr>
          <w:sz w:val="21"/>
          <w:b/>
        </w:rPr>
        <w:t>L.</w:t>
      </w:r>
      <w:r>
        <w:rPr>
          <w:sz w:val="21"/>
          <w:b/>
        </w:rPr>
        <w:t>远景照片</w:t>
      </w:r>
      <w:r>
        <w:rPr>
          <w:sz w:val="21"/>
          <w:b/>
        </w:rPr>
        <w:t>(yj)</w:t>
      </w:r>
    </w:p>
    <w:p>
      <w:pPr>
        <w:pStyle w:val="null3"/>
        <w:ind w:left="420"/>
      </w:pPr>
      <w:r>
        <w:rPr>
          <w:sz w:val="21"/>
        </w:rPr>
        <w:t>命名规则</w:t>
      </w:r>
      <w:r>
        <w:rPr>
          <w:sz w:val="21"/>
        </w:rPr>
        <w:t>:[井盖编号+y</w:t>
      </w:r>
      <w:r>
        <w:rPr>
          <w:sz w:val="21"/>
        </w:rPr>
        <w:t>j</w:t>
      </w:r>
      <w:r>
        <w:rPr>
          <w:sz w:val="21"/>
        </w:rPr>
        <w:t>+图片序号]</w:t>
      </w:r>
      <w:r>
        <w:rPr>
          <w:sz w:val="21"/>
        </w:rPr>
        <w:t>，</w:t>
      </w:r>
      <w:r>
        <w:rPr>
          <w:sz w:val="21"/>
        </w:rPr>
        <w:t>如下图所示</w:t>
      </w:r>
      <w:r>
        <w:rPr>
          <w:sz w:val="21"/>
        </w:rPr>
        <w:t>, 一</w:t>
      </w:r>
      <w:r>
        <w:rPr>
          <w:sz w:val="21"/>
        </w:rPr>
        <w:t>张图片</w:t>
      </w:r>
      <w:r>
        <w:rPr>
          <w:sz w:val="21"/>
        </w:rPr>
        <w:t>名填一个单元格</w:t>
      </w:r>
      <w:r>
        <w:rPr>
          <w:sz w:val="21"/>
        </w:rPr>
        <w:t xml:space="preserve">, </w:t>
      </w:r>
      <w:r>
        <w:rPr>
          <w:sz w:val="21"/>
        </w:rPr>
        <w:t>如只有一张远景照片，图片序号为</w:t>
      </w:r>
      <w:r>
        <w:rPr>
          <w:sz w:val="21"/>
        </w:rPr>
        <w:t>1；有两张远景照片，图片序号依次为1、2，以此类推。</w:t>
      </w:r>
      <w:r>
        <w:rPr>
          <w:sz w:val="21"/>
        </w:rPr>
        <w:t>文件名需要唯一</w:t>
      </w:r>
      <w:r>
        <w:rPr>
          <w:sz w:val="21"/>
        </w:rPr>
        <w:t>, 必填一张, 需要带上文件后缀名</w:t>
      </w:r>
      <w:r>
        <w:rPr>
          <w:sz w:val="21"/>
        </w:rPr>
        <w:t>（</w:t>
      </w:r>
      <w:r>
        <w:rPr>
          <w:sz w:val="21"/>
        </w:rPr>
        <w:t>即</w:t>
      </w:r>
      <w:r>
        <w:rPr>
          <w:sz w:val="21"/>
        </w:rPr>
        <w:t>“</w:t>
      </w:r>
      <w:r>
        <w:rPr>
          <w:sz w:val="21"/>
          <w:b/>
        </w:rPr>
        <w:t>.jpg</w:t>
      </w:r>
      <w:r>
        <w:rPr>
          <w:sz w:val="21"/>
        </w:rPr>
        <w:t>”</w:t>
      </w:r>
      <w:r>
        <w:rPr>
          <w:sz w:val="21"/>
        </w:rPr>
        <w:t>）</w:t>
      </w:r>
    </w:p>
    <w:p>
      <w:pPr>
        <w:pStyle w:val="null3"/>
        <w:ind w:left="420"/>
        <w:jc w:val="center"/>
      </w:pPr>
      <w:r>
        <w:drawing>
          <wp:inline distT="0" distR="0" distB="0" distL="0">
            <wp:extent cx="3848100" cy="2514600"/>
            <wp:docPr id="7" name="Drawing 7" descr="img"/>
            <a:graphic xmlns:a="http://schemas.openxmlformats.org/drawingml/2006/main">
              <a:graphicData uri="http://schemas.openxmlformats.org/drawingml/2006/picture">
                <pic:pic xmlns:pic="http://schemas.openxmlformats.org/drawingml/2006/picture">
                  <pic:nvPicPr>
                    <pic:cNvPr id="0" name="Picture 7" descr="img"/>
                    <pic:cNvPicPr>
                      <a:picLocks noChangeAspect="true"/>
                    </pic:cNvPicPr>
                  </pic:nvPicPr>
                  <pic:blipFill>
                    <a:blip r:embed="rId11"/>
                    <a:stretch>
                      <a:fillRect/>
                    </a:stretch>
                  </pic:blipFill>
                  <pic:spPr>
                    <a:xfrm>
                      <a:off x="0" y="0"/>
                      <a:ext cx="3848100" cy="2514600"/>
                    </a:xfrm>
                    <a:prstGeom prst="rect">
                      <a:avLst/>
                    </a:prstGeom>
                  </pic:spPr>
                </pic:pic>
              </a:graphicData>
            </a:graphic>
          </wp:inline>
        </w:drawing>
      </w:r>
    </w:p>
    <w:p>
      <w:pPr>
        <w:pStyle w:val="null3"/>
      </w:pPr>
      <w:r>
        <w:rPr>
          <w:sz w:val="21"/>
          <w:b/>
        </w:rPr>
        <w:t>M.</w:t>
      </w:r>
      <w:r>
        <w:rPr>
          <w:sz w:val="21"/>
          <w:b/>
        </w:rPr>
        <w:t>特写照片</w:t>
      </w:r>
      <w:r>
        <w:rPr>
          <w:sz w:val="21"/>
          <w:b/>
        </w:rPr>
        <w:t>(tx)</w:t>
      </w:r>
    </w:p>
    <w:p>
      <w:pPr>
        <w:pStyle w:val="null3"/>
        <w:ind w:left="420"/>
      </w:pPr>
      <w:r>
        <w:rPr>
          <w:sz w:val="21"/>
        </w:rPr>
        <w:t>命名规则</w:t>
      </w:r>
      <w:r>
        <w:rPr>
          <w:sz w:val="21"/>
        </w:rPr>
        <w:t>:[井盖编号+tx+图片序号]</w:t>
      </w:r>
      <w:r>
        <w:rPr>
          <w:sz w:val="21"/>
        </w:rPr>
        <w:t>，</w:t>
      </w:r>
      <w:r>
        <w:rPr>
          <w:sz w:val="21"/>
        </w:rPr>
        <w:t>如下图所示</w:t>
      </w:r>
      <w:r>
        <w:rPr>
          <w:sz w:val="21"/>
        </w:rPr>
        <w:t>,  一</w:t>
      </w:r>
      <w:r>
        <w:rPr>
          <w:sz w:val="21"/>
        </w:rPr>
        <w:t>张图片</w:t>
      </w:r>
      <w:r>
        <w:rPr>
          <w:sz w:val="21"/>
        </w:rPr>
        <w:t>名填一个单元格</w:t>
      </w:r>
      <w:r>
        <w:rPr>
          <w:sz w:val="21"/>
        </w:rPr>
        <w:t xml:space="preserve">, </w:t>
      </w:r>
      <w:r>
        <w:rPr>
          <w:sz w:val="21"/>
        </w:rPr>
        <w:t>如只有一张特写照片，图片序号为</w:t>
      </w:r>
      <w:r>
        <w:rPr>
          <w:sz w:val="21"/>
        </w:rPr>
        <w:t>1；有两张特写照片，图片序号依次为1、2，以此类推。</w:t>
      </w:r>
      <w:r>
        <w:rPr>
          <w:sz w:val="21"/>
        </w:rPr>
        <w:t>文件名需要唯一</w:t>
      </w:r>
      <w:r>
        <w:rPr>
          <w:sz w:val="21"/>
        </w:rPr>
        <w:t>, 必填一张, 需要带上文件后缀名</w:t>
      </w:r>
      <w:r>
        <w:rPr>
          <w:sz w:val="21"/>
        </w:rPr>
        <w:t>（</w:t>
      </w:r>
      <w:r>
        <w:rPr>
          <w:sz w:val="21"/>
        </w:rPr>
        <w:t>即</w:t>
      </w:r>
      <w:r>
        <w:rPr>
          <w:sz w:val="21"/>
        </w:rPr>
        <w:t>“</w:t>
      </w:r>
      <w:r>
        <w:rPr>
          <w:sz w:val="21"/>
          <w:b/>
        </w:rPr>
        <w:t>.jpg</w:t>
      </w:r>
      <w:r>
        <w:rPr>
          <w:sz w:val="21"/>
        </w:rPr>
        <w:t>”</w:t>
      </w:r>
      <w:r>
        <w:rPr>
          <w:sz w:val="21"/>
        </w:rPr>
        <w:t>）</w:t>
      </w:r>
    </w:p>
    <w:p>
      <w:pPr>
        <w:pStyle w:val="null3"/>
        <w:ind w:left="420"/>
        <w:jc w:val="center"/>
      </w:pPr>
      <w:r>
        <w:drawing>
          <wp:inline distT="0" distR="0" distB="0" distL="0">
            <wp:extent cx="3438525" cy="2505075"/>
            <wp:docPr id="8" name="Drawing 8" descr="img"/>
            <a:graphic xmlns:a="http://schemas.openxmlformats.org/drawingml/2006/main">
              <a:graphicData uri="http://schemas.openxmlformats.org/drawingml/2006/picture">
                <pic:pic xmlns:pic="http://schemas.openxmlformats.org/drawingml/2006/picture">
                  <pic:nvPicPr>
                    <pic:cNvPr id="0" name="Picture 8" descr="img"/>
                    <pic:cNvPicPr>
                      <a:picLocks noChangeAspect="true"/>
                    </pic:cNvPicPr>
                  </pic:nvPicPr>
                  <pic:blipFill>
                    <a:blip r:embed="rId12"/>
                    <a:stretch>
                      <a:fillRect/>
                    </a:stretch>
                  </pic:blipFill>
                  <pic:spPr>
                    <a:xfrm>
                      <a:off x="0" y="0"/>
                      <a:ext cx="3438525" cy="2505075"/>
                    </a:xfrm>
                    <a:prstGeom prst="rect">
                      <a:avLst/>
                    </a:prstGeom>
                  </pic:spPr>
                </pic:pic>
              </a:graphicData>
            </a:graphic>
          </wp:inline>
        </w:drawing>
      </w:r>
    </w:p>
    <w:p>
      <w:pPr>
        <w:pStyle w:val="null3"/>
      </w:pPr>
      <w:r>
        <w:rPr>
          <w:sz w:val="21"/>
          <w:b/>
        </w:rPr>
        <w:t>N.</w:t>
      </w:r>
      <w:r>
        <w:rPr>
          <w:sz w:val="21"/>
          <w:b/>
        </w:rPr>
        <w:t>周边照片</w:t>
      </w:r>
      <w:r>
        <w:rPr>
          <w:sz w:val="21"/>
          <w:b/>
        </w:rPr>
        <w:t>(zb)</w:t>
      </w:r>
    </w:p>
    <w:p>
      <w:pPr>
        <w:pStyle w:val="null3"/>
        <w:ind w:left="420"/>
      </w:pPr>
      <w:r>
        <w:rPr>
          <w:sz w:val="21"/>
        </w:rPr>
        <w:t>命名规则</w:t>
      </w:r>
      <w:r>
        <w:rPr>
          <w:sz w:val="21"/>
        </w:rPr>
        <w:t>:[井盖编号+zb+图片序号]</w:t>
      </w:r>
      <w:r>
        <w:rPr>
          <w:sz w:val="21"/>
        </w:rPr>
        <w:t>，</w:t>
      </w:r>
      <w:r>
        <w:rPr>
          <w:sz w:val="21"/>
        </w:rPr>
        <w:t>如下图所示</w:t>
      </w:r>
      <w:r>
        <w:rPr>
          <w:sz w:val="21"/>
        </w:rPr>
        <w:t>, 一</w:t>
      </w:r>
      <w:r>
        <w:rPr>
          <w:sz w:val="21"/>
        </w:rPr>
        <w:t>张图片</w:t>
      </w:r>
      <w:r>
        <w:rPr>
          <w:sz w:val="21"/>
        </w:rPr>
        <w:t>名填一个单元格</w:t>
      </w:r>
      <w:r>
        <w:rPr>
          <w:sz w:val="21"/>
        </w:rPr>
        <w:t>，</w:t>
      </w:r>
      <w:r>
        <w:rPr>
          <w:sz w:val="21"/>
        </w:rPr>
        <w:t>如只有一张周边照片，图片序号为</w:t>
      </w:r>
      <w:r>
        <w:rPr>
          <w:sz w:val="21"/>
        </w:rPr>
        <w:t>1；有两张周边照片，图片序号依次为1、2，以此类推。</w:t>
      </w:r>
      <w:r>
        <w:rPr>
          <w:sz w:val="21"/>
        </w:rPr>
        <w:t>文件名需要唯一</w:t>
      </w:r>
      <w:r>
        <w:rPr>
          <w:sz w:val="21"/>
        </w:rPr>
        <w:t>, 必填一张, 需要带上文件后缀名</w:t>
      </w:r>
      <w:r>
        <w:rPr>
          <w:sz w:val="21"/>
        </w:rPr>
        <w:t>（</w:t>
      </w:r>
      <w:r>
        <w:rPr>
          <w:sz w:val="21"/>
        </w:rPr>
        <w:t>即</w:t>
      </w:r>
      <w:r>
        <w:rPr>
          <w:sz w:val="21"/>
        </w:rPr>
        <w:t>“</w:t>
      </w:r>
      <w:r>
        <w:rPr>
          <w:sz w:val="21"/>
          <w:b/>
        </w:rPr>
        <w:t>.jpg</w:t>
      </w:r>
      <w:r>
        <w:rPr>
          <w:sz w:val="21"/>
        </w:rPr>
        <w:t>”</w:t>
      </w:r>
      <w:r>
        <w:rPr>
          <w:sz w:val="21"/>
        </w:rPr>
        <w:t>）</w:t>
      </w:r>
    </w:p>
    <w:p>
      <w:pPr>
        <w:pStyle w:val="null3"/>
        <w:ind w:left="420"/>
        <w:jc w:val="center"/>
      </w:pPr>
      <w:r>
        <w:drawing>
          <wp:inline distT="0" distR="0" distB="0" distL="0">
            <wp:extent cx="3552825" cy="2343150"/>
            <wp:docPr id="9" name="Drawing 9" descr="img"/>
            <a:graphic xmlns:a="http://schemas.openxmlformats.org/drawingml/2006/main">
              <a:graphicData uri="http://schemas.openxmlformats.org/drawingml/2006/picture">
                <pic:pic xmlns:pic="http://schemas.openxmlformats.org/drawingml/2006/picture">
                  <pic:nvPicPr>
                    <pic:cNvPr id="0" name="Picture 9" descr="img"/>
                    <pic:cNvPicPr>
                      <a:picLocks noChangeAspect="true"/>
                    </pic:cNvPicPr>
                  </pic:nvPicPr>
                  <pic:blipFill>
                    <a:blip r:embed="rId13"/>
                    <a:stretch>
                      <a:fillRect/>
                    </a:stretch>
                  </pic:blipFill>
                  <pic:spPr>
                    <a:xfrm>
                      <a:off x="0" y="0"/>
                      <a:ext cx="3552825" cy="2343150"/>
                    </a:xfrm>
                    <a:prstGeom prst="rect">
                      <a:avLst/>
                    </a:prstGeom>
                  </pic:spPr>
                </pic:pic>
              </a:graphicData>
            </a:graphic>
          </wp:inline>
        </w:drawing>
      </w:r>
    </w:p>
    <w:p>
      <w:pPr>
        <w:pStyle w:val="null3"/>
        <w:ind w:left="990"/>
      </w:pPr>
      <w:r>
        <w:rPr>
          <w:sz w:val="21"/>
        </w:rPr>
        <w:t>说明：</w:t>
      </w:r>
      <w:r>
        <w:rPr>
          <w:sz w:val="21"/>
        </w:rPr>
        <w:t>表格里仅填照片的文字命名，照片按照规则命名后统一新建文件夹放置。</w:t>
      </w:r>
    </w:p>
    <w:p>
      <w:pPr>
        <w:pStyle w:val="null3"/>
      </w:pPr>
      <w:r>
        <w:rPr>
          <w:sz w:val="21"/>
          <w:b/>
        </w:rPr>
        <w:t>O.备注</w:t>
      </w:r>
      <w:r>
        <w:rPr>
          <w:sz w:val="21"/>
        </w:rPr>
        <w:t>。</w:t>
      </w:r>
    </w:p>
    <w:p>
      <w:pPr>
        <w:pStyle w:val="null3"/>
        <w:jc w:val="left"/>
      </w:pPr>
      <w:r>
        <w:rPr>
          <w:sz w:val="21"/>
          <w:b/>
        </w:rPr>
        <w:t>照片示例：</w:t>
      </w:r>
    </w:p>
    <w:p>
      <w:pPr>
        <w:pStyle w:val="null3"/>
        <w:jc w:val="left"/>
      </w:pPr>
      <w:r>
        <w:drawing>
          <wp:inline distT="0" distR="0" distB="0" distL="0">
            <wp:extent cx="5274310" cy="2465166"/>
            <wp:docPr id="10" name="Drawing 10" descr="img"/>
            <a:graphic xmlns:a="http://schemas.openxmlformats.org/drawingml/2006/main">
              <a:graphicData uri="http://schemas.openxmlformats.org/drawingml/2006/picture">
                <pic:pic xmlns:pic="http://schemas.openxmlformats.org/drawingml/2006/picture">
                  <pic:nvPicPr>
                    <pic:cNvPr id="0" name="Picture 10" descr="img"/>
                    <pic:cNvPicPr>
                      <a:picLocks noChangeAspect="true"/>
                    </pic:cNvPicPr>
                  </pic:nvPicPr>
                  <pic:blipFill>
                    <a:blip r:embed="rId14"/>
                    <a:stretch>
                      <a:fillRect/>
                    </a:stretch>
                  </pic:blipFill>
                  <pic:spPr>
                    <a:xfrm>
                      <a:off x="0" y="0"/>
                      <a:ext cx="5274310" cy="2465166"/>
                    </a:xfrm>
                    <a:prstGeom prst="rect">
                      <a:avLst/>
                    </a:prstGeom>
                  </pic:spPr>
                </pic:pic>
              </a:graphicData>
            </a:graphic>
          </wp:inline>
        </w:drawing>
      </w:r>
    </w:p>
    <w:p>
      <w:pPr>
        <w:pStyle w:val="null3"/>
        <w:jc w:val="center"/>
      </w:pPr>
      <w:r>
        <w:rPr>
          <w:sz w:val="21"/>
        </w:rPr>
        <w:t>（编号）</w:t>
      </w:r>
      <w:r>
        <w:rPr>
          <w:sz w:val="21"/>
        </w:rPr>
        <w:t>_yj_1.jpg</w:t>
      </w:r>
    </w:p>
    <w:p>
      <w:pPr>
        <w:pStyle w:val="null3"/>
        <w:jc w:val="center"/>
      </w:pPr>
      <w:r>
        <w:drawing>
          <wp:inline distT="0" distR="0" distB="0" distL="0">
            <wp:extent cx="5274310" cy="2467796"/>
            <wp:docPr id="11" name="Drawing 11" descr="img"/>
            <a:graphic xmlns:a="http://schemas.openxmlformats.org/drawingml/2006/main">
              <a:graphicData uri="http://schemas.openxmlformats.org/drawingml/2006/picture">
                <pic:pic xmlns:pic="http://schemas.openxmlformats.org/drawingml/2006/picture">
                  <pic:nvPicPr>
                    <pic:cNvPr id="0" name="Picture 11" descr="img"/>
                    <pic:cNvPicPr>
                      <a:picLocks noChangeAspect="true"/>
                    </pic:cNvPicPr>
                  </pic:nvPicPr>
                  <pic:blipFill>
                    <a:blip r:embed="rId15"/>
                    <a:stretch>
                      <a:fillRect/>
                    </a:stretch>
                  </pic:blipFill>
                  <pic:spPr>
                    <a:xfrm>
                      <a:off x="0" y="0"/>
                      <a:ext cx="5274310" cy="2467796"/>
                    </a:xfrm>
                    <a:prstGeom prst="rect">
                      <a:avLst/>
                    </a:prstGeom>
                  </pic:spPr>
                </pic:pic>
              </a:graphicData>
            </a:graphic>
          </wp:inline>
        </w:drawing>
      </w:r>
    </w:p>
    <w:p>
      <w:pPr>
        <w:pStyle w:val="null3"/>
        <w:jc w:val="center"/>
      </w:pPr>
      <w:r>
        <w:rPr>
          <w:sz w:val="21"/>
        </w:rPr>
        <w:t>（编号）</w:t>
      </w:r>
      <w:r>
        <w:rPr>
          <w:sz w:val="21"/>
        </w:rPr>
        <w:t>_tx_1.jpg</w:t>
      </w:r>
    </w:p>
    <w:p>
      <w:pPr>
        <w:pStyle w:val="null3"/>
        <w:jc w:val="center"/>
      </w:pPr>
      <w:r>
        <w:drawing>
          <wp:inline distT="0" distR="0" distB="0" distL="0">
            <wp:extent cx="5274310" cy="2426423"/>
            <wp:docPr id="12" name="Drawing 12" descr="img"/>
            <a:graphic xmlns:a="http://schemas.openxmlformats.org/drawingml/2006/main">
              <a:graphicData uri="http://schemas.openxmlformats.org/drawingml/2006/picture">
                <pic:pic xmlns:pic="http://schemas.openxmlformats.org/drawingml/2006/picture">
                  <pic:nvPicPr>
                    <pic:cNvPr id="0" name="Picture 12" descr="img"/>
                    <pic:cNvPicPr>
                      <a:picLocks noChangeAspect="true"/>
                    </pic:cNvPicPr>
                  </pic:nvPicPr>
                  <pic:blipFill>
                    <a:blip r:embed="rId16"/>
                    <a:stretch>
                      <a:fillRect/>
                    </a:stretch>
                  </pic:blipFill>
                  <pic:spPr>
                    <a:xfrm>
                      <a:off x="0" y="0"/>
                      <a:ext cx="5274310" cy="2426423"/>
                    </a:xfrm>
                    <a:prstGeom prst="rect">
                      <a:avLst/>
                    </a:prstGeom>
                  </pic:spPr>
                </pic:pic>
              </a:graphicData>
            </a:graphic>
          </wp:inline>
        </w:drawing>
      </w:r>
    </w:p>
    <w:p>
      <w:pPr>
        <w:pStyle w:val="null3"/>
        <w:jc w:val="center"/>
      </w:pPr>
      <w:r>
        <w:rPr>
          <w:sz w:val="21"/>
        </w:rPr>
        <w:t>（编号）</w:t>
      </w:r>
      <w:r>
        <w:rPr>
          <w:sz w:val="21"/>
        </w:rPr>
        <w:t>_zb_1.jpg</w:t>
      </w:r>
    </w:p>
    <w:p>
      <w:pPr>
        <w:pStyle w:val="null3"/>
        <w:jc w:val="both"/>
      </w:pPr>
      <w:r>
        <w:rPr/>
        <w:t xml:space="preserve"> </w:t>
      </w:r>
    </w:p>
    <w:p>
      <w:pPr>
        <w:pStyle w:val="null3"/>
        <w:jc w:val="both"/>
      </w:pPr>
      <w:r>
        <w:rPr>
          <w:sz w:val="21"/>
        </w:rPr>
        <w:t>附件</w:t>
      </w:r>
      <w:r>
        <w:rPr>
          <w:sz w:val="21"/>
        </w:rPr>
        <w:t>4</w:t>
      </w:r>
    </w:p>
    <w:p>
      <w:pPr>
        <w:pStyle w:val="null3"/>
        <w:jc w:val="center"/>
      </w:pPr>
      <w:r>
        <w:rPr>
          <w:sz w:val="21"/>
          <w:b/>
        </w:rPr>
        <w:t>问题井盖整改跟踪表</w:t>
      </w:r>
    </w:p>
    <w:p>
      <w:pPr>
        <w:pStyle w:val="null3"/>
        <w:jc w:val="both"/>
      </w:pPr>
      <w:r>
        <w:rPr>
          <w:sz w:val="21"/>
        </w:rPr>
        <w:t>填表时间：</w:t>
      </w:r>
    </w:p>
    <w:tbl>
      <w:tblPr>
        <w:tblW w:w="0" w:type="auto"/>
        <w:tblInd w:type="dxa" w:w="15"/>
        <w:tblBorders>
          <w:top w:val="none" w:color="000000" w:sz="4"/>
          <w:left w:val="none" w:color="000000" w:sz="4"/>
          <w:bottom w:val="none" w:color="000000" w:sz="4"/>
          <w:right w:val="none" w:color="000000" w:sz="4"/>
          <w:insideH w:val="none"/>
          <w:insideV w:val="none"/>
        </w:tblBorders>
      </w:tblPr>
      <w:tblGrid>
        <w:gridCol w:w="569"/>
        <w:gridCol w:w="689"/>
        <w:gridCol w:w="659"/>
        <w:gridCol w:w="689"/>
        <w:gridCol w:w="689"/>
        <w:gridCol w:w="734"/>
        <w:gridCol w:w="794"/>
        <w:gridCol w:w="944"/>
        <w:gridCol w:w="899"/>
        <w:gridCol w:w="884"/>
        <w:gridCol w:w="659"/>
      </w:tblGrid>
      <w:tr>
        <w:tc>
          <w:tcPr>
            <w:tcW w:type="dxa" w:w="56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序号</w:t>
            </w:r>
          </w:p>
        </w:tc>
        <w:tc>
          <w:tcPr>
            <w:tcW w:type="dxa" w:w="689"/>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权属</w:t>
            </w:r>
          </w:p>
          <w:p>
            <w:pPr>
              <w:pStyle w:val="null3"/>
              <w:jc w:val="center"/>
            </w:pPr>
            <w:r>
              <w:rPr>
                <w:sz w:val="21"/>
              </w:rPr>
              <w:t>单位</w:t>
            </w:r>
          </w:p>
        </w:tc>
        <w:tc>
          <w:tcPr>
            <w:tcW w:type="dxa" w:w="659"/>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详细</w:t>
            </w:r>
          </w:p>
          <w:p>
            <w:pPr>
              <w:pStyle w:val="null3"/>
              <w:jc w:val="center"/>
            </w:pPr>
            <w:r>
              <w:rPr>
                <w:sz w:val="21"/>
              </w:rPr>
              <w:t>地址</w:t>
            </w:r>
          </w:p>
        </w:tc>
        <w:tc>
          <w:tcPr>
            <w:tcW w:type="dxa" w:w="689"/>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巡查</w:t>
            </w:r>
          </w:p>
          <w:p>
            <w:pPr>
              <w:pStyle w:val="null3"/>
              <w:jc w:val="center"/>
            </w:pPr>
            <w:r>
              <w:rPr>
                <w:sz w:val="21"/>
              </w:rPr>
              <w:t>时间</w:t>
            </w:r>
          </w:p>
        </w:tc>
        <w:tc>
          <w:tcPr>
            <w:tcW w:type="dxa" w:w="689"/>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问题</w:t>
            </w:r>
          </w:p>
          <w:p>
            <w:pPr>
              <w:pStyle w:val="null3"/>
              <w:jc w:val="center"/>
            </w:pPr>
            <w:r>
              <w:rPr>
                <w:sz w:val="21"/>
              </w:rPr>
              <w:t>描述</w:t>
            </w:r>
          </w:p>
        </w:tc>
        <w:tc>
          <w:tcPr>
            <w:tcW w:type="dxa" w:w="734"/>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问题</w:t>
            </w:r>
          </w:p>
          <w:p>
            <w:pPr>
              <w:pStyle w:val="null3"/>
              <w:jc w:val="center"/>
            </w:pPr>
            <w:r>
              <w:rPr>
                <w:sz w:val="21"/>
              </w:rPr>
              <w:t>照片</w:t>
            </w:r>
          </w:p>
        </w:tc>
        <w:tc>
          <w:tcPr>
            <w:tcW w:type="dxa" w:w="794"/>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核实</w:t>
            </w:r>
          </w:p>
          <w:p>
            <w:pPr>
              <w:pStyle w:val="null3"/>
              <w:jc w:val="center"/>
            </w:pPr>
            <w:r>
              <w:rPr>
                <w:sz w:val="21"/>
              </w:rPr>
              <w:t>时间</w:t>
            </w:r>
          </w:p>
        </w:tc>
        <w:tc>
          <w:tcPr>
            <w:tcW w:type="dxa" w:w="944"/>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核实情况描述</w:t>
            </w:r>
          </w:p>
        </w:tc>
        <w:tc>
          <w:tcPr>
            <w:tcW w:type="dxa" w:w="899"/>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核实整改照片</w:t>
            </w:r>
          </w:p>
        </w:tc>
        <w:tc>
          <w:tcPr>
            <w:tcW w:type="dxa" w:w="884"/>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跟踪督办情况</w:t>
            </w:r>
          </w:p>
        </w:tc>
        <w:tc>
          <w:tcPr>
            <w:tcW w:type="dxa" w:w="659"/>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备注</w:t>
            </w:r>
          </w:p>
        </w:tc>
      </w:tr>
      <w:tr>
        <w:tc>
          <w:tcPr>
            <w:tcW w:type="dxa" w:w="56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19"/>
              </w:rPr>
              <w:t xml:space="preserve"> </w:t>
            </w:r>
          </w:p>
        </w:tc>
        <w:tc>
          <w:tcPr>
            <w:tcW w:type="dxa" w:w="6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19"/>
              </w:rPr>
              <w:t xml:space="preserve"> </w:t>
            </w:r>
          </w:p>
        </w:tc>
        <w:tc>
          <w:tcPr>
            <w:tcW w:type="dxa" w:w="65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19"/>
              </w:rPr>
              <w:t xml:space="preserve"> </w:t>
            </w:r>
          </w:p>
        </w:tc>
        <w:tc>
          <w:tcPr>
            <w:tcW w:type="dxa" w:w="6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19"/>
              </w:rPr>
              <w:t xml:space="preserve"> </w:t>
            </w:r>
          </w:p>
        </w:tc>
        <w:tc>
          <w:tcPr>
            <w:tcW w:type="dxa" w:w="6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19"/>
              </w:rPr>
              <w:t xml:space="preserve"> </w:t>
            </w:r>
          </w:p>
        </w:tc>
        <w:tc>
          <w:tcPr>
            <w:tcW w:type="dxa" w:w="73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19"/>
              </w:rPr>
              <w:t xml:space="preserve"> </w:t>
            </w:r>
          </w:p>
        </w:tc>
        <w:tc>
          <w:tcPr>
            <w:tcW w:type="dxa" w:w="79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19"/>
              </w:rPr>
              <w:t xml:space="preserve"> </w:t>
            </w:r>
          </w:p>
        </w:tc>
        <w:tc>
          <w:tcPr>
            <w:tcW w:type="dxa" w:w="94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19"/>
              </w:rPr>
              <w:t xml:space="preserve"> </w:t>
            </w:r>
          </w:p>
        </w:tc>
        <w:tc>
          <w:tcPr>
            <w:tcW w:type="dxa" w:w="89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19"/>
              </w:rPr>
              <w:t xml:space="preserve"> </w:t>
            </w:r>
          </w:p>
        </w:tc>
        <w:tc>
          <w:tcPr>
            <w:tcW w:type="dxa" w:w="88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19"/>
              </w:rPr>
              <w:t xml:space="preserve"> </w:t>
            </w:r>
          </w:p>
        </w:tc>
        <w:tc>
          <w:tcPr>
            <w:tcW w:type="dxa" w:w="65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19"/>
              </w:rPr>
              <w:t xml:space="preserve"> </w:t>
            </w:r>
          </w:p>
        </w:tc>
      </w:tr>
      <w:tr>
        <w:tc>
          <w:tcPr>
            <w:tcW w:type="dxa" w:w="56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19"/>
              </w:rPr>
              <w:t xml:space="preserve"> </w:t>
            </w:r>
          </w:p>
        </w:tc>
        <w:tc>
          <w:tcPr>
            <w:tcW w:type="dxa" w:w="6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19"/>
              </w:rPr>
              <w:t xml:space="preserve"> </w:t>
            </w:r>
          </w:p>
        </w:tc>
        <w:tc>
          <w:tcPr>
            <w:tcW w:type="dxa" w:w="65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19"/>
              </w:rPr>
              <w:t xml:space="preserve"> </w:t>
            </w:r>
          </w:p>
        </w:tc>
        <w:tc>
          <w:tcPr>
            <w:tcW w:type="dxa" w:w="6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19"/>
              </w:rPr>
              <w:t xml:space="preserve"> </w:t>
            </w:r>
          </w:p>
        </w:tc>
        <w:tc>
          <w:tcPr>
            <w:tcW w:type="dxa" w:w="6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19"/>
              </w:rPr>
              <w:t xml:space="preserve"> </w:t>
            </w:r>
          </w:p>
        </w:tc>
        <w:tc>
          <w:tcPr>
            <w:tcW w:type="dxa" w:w="73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19"/>
              </w:rPr>
              <w:t xml:space="preserve"> </w:t>
            </w:r>
          </w:p>
        </w:tc>
        <w:tc>
          <w:tcPr>
            <w:tcW w:type="dxa" w:w="79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19"/>
              </w:rPr>
              <w:t xml:space="preserve"> </w:t>
            </w:r>
          </w:p>
        </w:tc>
        <w:tc>
          <w:tcPr>
            <w:tcW w:type="dxa" w:w="94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19"/>
              </w:rPr>
              <w:t xml:space="preserve"> </w:t>
            </w:r>
          </w:p>
        </w:tc>
        <w:tc>
          <w:tcPr>
            <w:tcW w:type="dxa" w:w="89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19"/>
              </w:rPr>
              <w:t xml:space="preserve"> </w:t>
            </w:r>
          </w:p>
        </w:tc>
        <w:tc>
          <w:tcPr>
            <w:tcW w:type="dxa" w:w="88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19"/>
              </w:rPr>
              <w:t xml:space="preserve"> </w:t>
            </w:r>
          </w:p>
        </w:tc>
        <w:tc>
          <w:tcPr>
            <w:tcW w:type="dxa" w:w="65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19"/>
              </w:rPr>
              <w:t xml:space="preserve"> </w:t>
            </w:r>
          </w:p>
        </w:tc>
      </w:tr>
      <w:tr>
        <w:tc>
          <w:tcPr>
            <w:tcW w:type="dxa" w:w="56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19"/>
              </w:rPr>
              <w:t xml:space="preserve"> </w:t>
            </w:r>
          </w:p>
        </w:tc>
        <w:tc>
          <w:tcPr>
            <w:tcW w:type="dxa" w:w="6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19"/>
              </w:rPr>
              <w:t xml:space="preserve"> </w:t>
            </w:r>
          </w:p>
        </w:tc>
        <w:tc>
          <w:tcPr>
            <w:tcW w:type="dxa" w:w="65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19"/>
              </w:rPr>
              <w:t xml:space="preserve"> </w:t>
            </w:r>
          </w:p>
        </w:tc>
        <w:tc>
          <w:tcPr>
            <w:tcW w:type="dxa" w:w="6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19"/>
              </w:rPr>
              <w:t xml:space="preserve"> </w:t>
            </w:r>
          </w:p>
        </w:tc>
        <w:tc>
          <w:tcPr>
            <w:tcW w:type="dxa" w:w="6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19"/>
              </w:rPr>
              <w:t xml:space="preserve"> </w:t>
            </w:r>
          </w:p>
        </w:tc>
        <w:tc>
          <w:tcPr>
            <w:tcW w:type="dxa" w:w="73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19"/>
              </w:rPr>
              <w:t xml:space="preserve"> </w:t>
            </w:r>
          </w:p>
        </w:tc>
        <w:tc>
          <w:tcPr>
            <w:tcW w:type="dxa" w:w="79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19"/>
              </w:rPr>
              <w:t xml:space="preserve"> </w:t>
            </w:r>
          </w:p>
        </w:tc>
        <w:tc>
          <w:tcPr>
            <w:tcW w:type="dxa" w:w="94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19"/>
              </w:rPr>
              <w:t xml:space="preserve"> </w:t>
            </w:r>
          </w:p>
        </w:tc>
        <w:tc>
          <w:tcPr>
            <w:tcW w:type="dxa" w:w="89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19"/>
              </w:rPr>
              <w:t xml:space="preserve"> </w:t>
            </w:r>
          </w:p>
        </w:tc>
        <w:tc>
          <w:tcPr>
            <w:tcW w:type="dxa" w:w="88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19"/>
              </w:rPr>
              <w:t xml:space="preserve"> </w:t>
            </w:r>
          </w:p>
        </w:tc>
        <w:tc>
          <w:tcPr>
            <w:tcW w:type="dxa" w:w="65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19"/>
              </w:rPr>
              <w:t xml:space="preserve"> </w:t>
            </w:r>
          </w:p>
        </w:tc>
      </w:tr>
      <w:tr>
        <w:tc>
          <w:tcPr>
            <w:tcW w:type="dxa" w:w="56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c>
          <w:tcPr>
            <w:tcW w:type="dxa" w:w="6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tc>
        <w:tc>
          <w:tcPr>
            <w:tcW w:type="dxa" w:w="65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tc>
        <w:tc>
          <w:tcPr>
            <w:tcW w:type="dxa" w:w="6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tc>
        <w:tc>
          <w:tcPr>
            <w:tcW w:type="dxa" w:w="6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tc>
        <w:tc>
          <w:tcPr>
            <w:tcW w:type="dxa" w:w="73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tc>
        <w:tc>
          <w:tcPr>
            <w:tcW w:type="dxa" w:w="79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tc>
        <w:tc>
          <w:tcPr>
            <w:tcW w:type="dxa" w:w="94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tc>
        <w:tc>
          <w:tcPr>
            <w:tcW w:type="dxa" w:w="89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tc>
        <w:tc>
          <w:tcPr>
            <w:tcW w:type="dxa" w:w="88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tc>
        <w:tc>
          <w:tcPr>
            <w:tcW w:type="dxa" w:w="65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tc>
      </w:tr>
      <w:tr>
        <w:tc>
          <w:tcPr>
            <w:tcW w:type="dxa" w:w="56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c>
          <w:tcPr>
            <w:tcW w:type="dxa" w:w="6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tc>
        <w:tc>
          <w:tcPr>
            <w:tcW w:type="dxa" w:w="65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tc>
        <w:tc>
          <w:tcPr>
            <w:tcW w:type="dxa" w:w="6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tc>
        <w:tc>
          <w:tcPr>
            <w:tcW w:type="dxa" w:w="6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tc>
        <w:tc>
          <w:tcPr>
            <w:tcW w:type="dxa" w:w="73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tc>
        <w:tc>
          <w:tcPr>
            <w:tcW w:type="dxa" w:w="79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tc>
        <w:tc>
          <w:tcPr>
            <w:tcW w:type="dxa" w:w="94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tc>
        <w:tc>
          <w:tcPr>
            <w:tcW w:type="dxa" w:w="89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tc>
        <w:tc>
          <w:tcPr>
            <w:tcW w:type="dxa" w:w="88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tc>
        <w:tc>
          <w:tcPr>
            <w:tcW w:type="dxa" w:w="65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tc>
      </w:tr>
      <w:tr>
        <w:tc>
          <w:tcPr>
            <w:tcW w:type="dxa" w:w="56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c>
          <w:tcPr>
            <w:tcW w:type="dxa" w:w="6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tc>
        <w:tc>
          <w:tcPr>
            <w:tcW w:type="dxa" w:w="65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tc>
        <w:tc>
          <w:tcPr>
            <w:tcW w:type="dxa" w:w="6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tc>
        <w:tc>
          <w:tcPr>
            <w:tcW w:type="dxa" w:w="6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tc>
        <w:tc>
          <w:tcPr>
            <w:tcW w:type="dxa" w:w="73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tc>
        <w:tc>
          <w:tcPr>
            <w:tcW w:type="dxa" w:w="79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tc>
        <w:tc>
          <w:tcPr>
            <w:tcW w:type="dxa" w:w="94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tc>
        <w:tc>
          <w:tcPr>
            <w:tcW w:type="dxa" w:w="89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tc>
        <w:tc>
          <w:tcPr>
            <w:tcW w:type="dxa" w:w="88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tc>
        <w:tc>
          <w:tcPr>
            <w:tcW w:type="dxa" w:w="65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tc>
      </w:tr>
      <w:tr>
        <w:tc>
          <w:tcPr>
            <w:tcW w:type="dxa" w:w="56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c>
          <w:tcPr>
            <w:tcW w:type="dxa" w:w="6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tc>
        <w:tc>
          <w:tcPr>
            <w:tcW w:type="dxa" w:w="65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tc>
        <w:tc>
          <w:tcPr>
            <w:tcW w:type="dxa" w:w="6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tc>
        <w:tc>
          <w:tcPr>
            <w:tcW w:type="dxa" w:w="68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tc>
        <w:tc>
          <w:tcPr>
            <w:tcW w:type="dxa" w:w="73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tc>
        <w:tc>
          <w:tcPr>
            <w:tcW w:type="dxa" w:w="79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tc>
        <w:tc>
          <w:tcPr>
            <w:tcW w:type="dxa" w:w="94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tc>
        <w:tc>
          <w:tcPr>
            <w:tcW w:type="dxa" w:w="89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tc>
        <w:tc>
          <w:tcPr>
            <w:tcW w:type="dxa" w:w="88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tc>
        <w:tc>
          <w:tcPr>
            <w:tcW w:type="dxa" w:w="65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tc>
      </w:tr>
    </w:tbl>
    <w:p>
      <w:pPr>
        <w:pStyle w:val="null3"/>
        <w:jc w:val="both"/>
      </w:pPr>
      <w:r>
        <w:rPr>
          <w:sz w:val="21"/>
        </w:rPr>
        <w:t>填表人：</w:t>
      </w:r>
      <w:r>
        <w:rPr>
          <w:sz w:val="21"/>
        </w:rPr>
        <w:t xml:space="preserve">                                  </w:t>
      </w:r>
      <w:r>
        <w:rPr>
          <w:sz w:val="21"/>
        </w:rPr>
        <w:t>审核人：</w:t>
      </w:r>
      <w:r>
        <w:rPr>
          <w:sz w:val="21"/>
        </w:rPr>
        <w:t xml:space="preserve">                        </w:t>
      </w:r>
      <w:r>
        <w:rPr>
          <w:sz w:val="21"/>
        </w:rPr>
        <w:t>复核人：</w:t>
      </w:r>
    </w:p>
    <w:p>
      <w:pPr>
        <w:pStyle w:val="null3"/>
      </w:pPr>
      <w:r>
        <w:rPr/>
        <w:t xml:space="preserve">  </w:t>
      </w:r>
    </w:p>
    <w:p>
      <w:pPr>
        <w:pStyle w:val="null3"/>
        <w:jc w:val="both"/>
      </w:pPr>
      <w:r>
        <w:rPr>
          <w:sz w:val="21"/>
          <w:b/>
        </w:rPr>
        <w:t>附件</w:t>
      </w:r>
      <w:r>
        <w:rPr>
          <w:sz w:val="21"/>
          <w:b/>
        </w:rPr>
        <w:t>5</w:t>
      </w:r>
    </w:p>
    <w:p>
      <w:pPr>
        <w:pStyle w:val="null3"/>
      </w:pPr>
      <w:r>
        <w:rPr/>
        <w:t xml:space="preserve"> </w:t>
      </w:r>
    </w:p>
    <w:p>
      <w:pPr>
        <w:pStyle w:val="null3"/>
        <w:jc w:val="center"/>
      </w:pPr>
      <w:r>
        <w:rPr>
          <w:sz w:val="21"/>
          <w:b/>
        </w:rPr>
        <w:t>合同履约考核标准</w:t>
      </w:r>
    </w:p>
    <w:tbl>
      <w:tblPr>
        <w:tblW w:w="0" w:type="auto"/>
        <w:tblBorders>
          <w:top w:val="none" w:color="000000" w:sz="4"/>
          <w:left w:val="none" w:color="000000" w:sz="4"/>
          <w:bottom w:val="none" w:color="000000" w:sz="4"/>
          <w:right w:val="none" w:color="000000" w:sz="4"/>
          <w:insideH w:val="none"/>
          <w:insideV w:val="none"/>
        </w:tblBorders>
      </w:tblPr>
      <w:tblGrid>
        <w:gridCol w:w="1135"/>
        <w:gridCol w:w="1092"/>
        <w:gridCol w:w="2299"/>
        <w:gridCol w:w="459"/>
        <w:gridCol w:w="2155"/>
        <w:gridCol w:w="1120"/>
      </w:tblGrid>
      <w:tr>
        <w:tc>
          <w:tcPr>
            <w:tcW w:type="dxa" w:w="1135"/>
            <w:tcBorders>
              <w:top w:val="singl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b/>
              </w:rPr>
              <w:t>考核类别</w:t>
            </w:r>
          </w:p>
        </w:tc>
        <w:tc>
          <w:tcPr>
            <w:tcW w:type="dxa" w:w="1092"/>
            <w:tcBorders>
              <w:top w:val="singl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b/>
              </w:rPr>
              <w:t>考核指标</w:t>
            </w:r>
          </w:p>
        </w:tc>
        <w:tc>
          <w:tcPr>
            <w:tcW w:type="dxa" w:w="2299"/>
            <w:tcBorders>
              <w:top w:val="singl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b/>
              </w:rPr>
              <w:t>考核内容与要求</w:t>
            </w:r>
          </w:p>
        </w:tc>
        <w:tc>
          <w:tcPr>
            <w:tcW w:type="dxa" w:w="459"/>
            <w:tcBorders>
              <w:top w:val="singl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b/>
              </w:rPr>
              <w:t>分值</w:t>
            </w:r>
          </w:p>
        </w:tc>
        <w:tc>
          <w:tcPr>
            <w:tcW w:type="dxa" w:w="2155"/>
            <w:tcBorders>
              <w:top w:val="singl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b/>
              </w:rPr>
              <w:t>评分标准</w:t>
            </w:r>
          </w:p>
        </w:tc>
        <w:tc>
          <w:tcPr>
            <w:tcW w:type="dxa" w:w="1120"/>
            <w:tcBorders>
              <w:top w:val="singl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b/>
              </w:rPr>
              <w:t>考核方式</w:t>
            </w:r>
          </w:p>
        </w:tc>
      </w:tr>
      <w:tr>
        <w:tc>
          <w:tcPr>
            <w:tcW w:type="dxa" w:w="1135"/>
            <w:vMerge w:val="restart"/>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b/>
              </w:rPr>
              <w:t>一、项目人员配置与履职（</w:t>
            </w:r>
            <w:r>
              <w:rPr>
                <w:sz w:val="21"/>
                <w:b/>
              </w:rPr>
              <w:t>15</w:t>
            </w:r>
            <w:r>
              <w:rPr>
                <w:sz w:val="21"/>
                <w:b/>
              </w:rPr>
              <w:t>分）</w:t>
            </w:r>
          </w:p>
        </w:tc>
        <w:tc>
          <w:tcPr>
            <w:tcW w:type="dxa" w:w="1092"/>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1.人员足额到岗</w:t>
            </w:r>
          </w:p>
        </w:tc>
        <w:tc>
          <w:tcPr>
            <w:tcW w:type="dxa" w:w="2299"/>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按要求配置项目负责人</w:t>
            </w:r>
            <w:r>
              <w:rPr>
                <w:sz w:val="21"/>
              </w:rPr>
              <w:t>1人、专职驻场联络员1人、抽查人员不少于12人，合同签订后5个工作日内全部到岗。</w:t>
            </w:r>
          </w:p>
        </w:tc>
        <w:tc>
          <w:tcPr>
            <w:tcW w:type="dxa" w:w="459"/>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4</w:t>
            </w:r>
          </w:p>
        </w:tc>
        <w:tc>
          <w:tcPr>
            <w:tcW w:type="dxa" w:w="2155"/>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人员足额按时到岗得</w:t>
            </w:r>
            <w:r>
              <w:rPr>
                <w:sz w:val="21"/>
              </w:rPr>
              <w:t>4分；每缺1人扣1分，每延迟1个工作日扣0.5分，扣完为止。</w:t>
            </w:r>
          </w:p>
        </w:tc>
        <w:tc>
          <w:tcPr>
            <w:tcW w:type="dxa" w:w="1120"/>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到岗登记表、人员花名册、驻场记录</w:t>
            </w:r>
          </w:p>
        </w:tc>
      </w:tr>
      <w:tr>
        <w:tc>
          <w:tcPr>
            <w:tcW w:type="dxa" w:w="1135"/>
            <w:vMerge/>
            <w:tcBorders>
              <w:top w:val="none" w:color="000000" w:sz="4"/>
              <w:left w:val="single" w:color="000000" w:sz="4"/>
              <w:bottom w:val="single" w:color="000000" w:sz="4"/>
              <w:right w:val="single" w:color="000000" w:sz="4"/>
            </w:tcBorders>
          </w:tcPr>
          <w:p/>
        </w:tc>
        <w:tc>
          <w:tcPr>
            <w:tcW w:type="dxa" w:w="1092"/>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2.人员资质合规</w:t>
            </w:r>
          </w:p>
        </w:tc>
        <w:tc>
          <w:tcPr>
            <w:tcW w:type="dxa" w:w="2299"/>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项目负责人具备市政</w:t>
            </w:r>
            <w:r>
              <w:rPr>
                <w:sz w:val="21"/>
              </w:rPr>
              <w:t>/给排水等相关专业职称或资格证书；所有人员满足岗位履职要求。</w:t>
            </w:r>
          </w:p>
        </w:tc>
        <w:tc>
          <w:tcPr>
            <w:tcW w:type="dxa" w:w="459"/>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3</w:t>
            </w:r>
          </w:p>
        </w:tc>
        <w:tc>
          <w:tcPr>
            <w:tcW w:type="dxa" w:w="2155"/>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资质全部符合得</w:t>
            </w:r>
            <w:r>
              <w:rPr>
                <w:sz w:val="21"/>
              </w:rPr>
              <w:t>3</w:t>
            </w:r>
            <w:r>
              <w:rPr>
                <w:sz w:val="21"/>
              </w:rPr>
              <w:t>分；项目负责人资质不符扣</w:t>
            </w:r>
            <w:r>
              <w:rPr>
                <w:sz w:val="21"/>
              </w:rPr>
              <w:t>2</w:t>
            </w:r>
            <w:r>
              <w:rPr>
                <w:sz w:val="21"/>
              </w:rPr>
              <w:t>分，其他人员资质不符每人扣</w:t>
            </w:r>
            <w:r>
              <w:rPr>
                <w:sz w:val="21"/>
              </w:rPr>
              <w:t>1分，扣完为止。</w:t>
            </w:r>
          </w:p>
        </w:tc>
        <w:tc>
          <w:tcPr>
            <w:tcW w:type="dxa" w:w="1120"/>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职称证书、资格证明、人员简历</w:t>
            </w:r>
          </w:p>
        </w:tc>
      </w:tr>
      <w:tr>
        <w:tc>
          <w:tcPr>
            <w:tcW w:type="dxa" w:w="1135"/>
            <w:vMerge/>
            <w:tcBorders>
              <w:top w:val="none" w:color="000000" w:sz="4"/>
              <w:left w:val="single" w:color="000000" w:sz="4"/>
              <w:bottom w:val="single" w:color="000000" w:sz="4"/>
              <w:right w:val="single" w:color="000000" w:sz="4"/>
            </w:tcBorders>
          </w:tcPr>
          <w:p/>
        </w:tc>
        <w:tc>
          <w:tcPr>
            <w:tcW w:type="dxa" w:w="1092"/>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3.人员队伍稳定</w:t>
            </w:r>
          </w:p>
        </w:tc>
        <w:tc>
          <w:tcPr>
            <w:tcW w:type="dxa" w:w="2299"/>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未经甲方书面同意不得更换项目负责人及核心人员；经同意更换的，新人员资质不低于原人员。</w:t>
            </w:r>
          </w:p>
        </w:tc>
        <w:tc>
          <w:tcPr>
            <w:tcW w:type="dxa" w:w="459"/>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3</w:t>
            </w:r>
          </w:p>
        </w:tc>
        <w:tc>
          <w:tcPr>
            <w:tcW w:type="dxa" w:w="2155"/>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无擅自更换得</w:t>
            </w:r>
            <w:r>
              <w:rPr>
                <w:sz w:val="21"/>
              </w:rPr>
              <w:t>3</w:t>
            </w:r>
            <w:r>
              <w:rPr>
                <w:sz w:val="21"/>
              </w:rPr>
              <w:t>分；擅自更换项目负责人扣</w:t>
            </w:r>
            <w:r>
              <w:rPr>
                <w:sz w:val="21"/>
              </w:rPr>
              <w:t>3</w:t>
            </w:r>
            <w:r>
              <w:rPr>
                <w:sz w:val="21"/>
              </w:rPr>
              <w:t>分，擅自更换其他人员每人扣</w:t>
            </w:r>
            <w:r>
              <w:rPr>
                <w:sz w:val="21"/>
              </w:rPr>
              <w:t>1分，资质降级每人扣1分。</w:t>
            </w:r>
          </w:p>
        </w:tc>
        <w:tc>
          <w:tcPr>
            <w:tcW w:type="dxa" w:w="1120"/>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人员变更审批单、资质复核材料</w:t>
            </w:r>
          </w:p>
        </w:tc>
      </w:tr>
      <w:tr>
        <w:tc>
          <w:tcPr>
            <w:tcW w:type="dxa" w:w="1135"/>
            <w:vMerge/>
            <w:tcBorders>
              <w:top w:val="none" w:color="000000" w:sz="4"/>
              <w:left w:val="single" w:color="000000" w:sz="4"/>
              <w:bottom w:val="single" w:color="000000" w:sz="4"/>
              <w:right w:val="single" w:color="000000" w:sz="4"/>
            </w:tcBorders>
          </w:tcPr>
          <w:p/>
        </w:tc>
        <w:tc>
          <w:tcPr>
            <w:tcW w:type="dxa" w:w="1092"/>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4.日常履职管理</w:t>
            </w:r>
          </w:p>
        </w:tc>
        <w:tc>
          <w:tcPr>
            <w:tcW w:type="dxa" w:w="2299"/>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服从甲方管理，遵守工作纪律与保密要求，履职尽责，无推诿扯皮、工作失职情况。</w:t>
            </w:r>
          </w:p>
        </w:tc>
        <w:tc>
          <w:tcPr>
            <w:tcW w:type="dxa" w:w="459"/>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5</w:t>
            </w:r>
          </w:p>
        </w:tc>
        <w:tc>
          <w:tcPr>
            <w:tcW w:type="dxa" w:w="2155"/>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综合评价优秀</w:t>
            </w:r>
            <w:r>
              <w:rPr>
                <w:sz w:val="21"/>
              </w:rPr>
              <w:t>5</w:t>
            </w:r>
            <w:r>
              <w:rPr>
                <w:sz w:val="21"/>
              </w:rPr>
              <w:t>分、良好</w:t>
            </w:r>
            <w:r>
              <w:rPr>
                <w:sz w:val="21"/>
              </w:rPr>
              <w:t>3</w:t>
            </w:r>
            <w:r>
              <w:rPr>
                <w:sz w:val="21"/>
              </w:rPr>
              <w:t>分、合格</w:t>
            </w:r>
            <w:r>
              <w:rPr>
                <w:sz w:val="21"/>
              </w:rPr>
              <w:t>1</w:t>
            </w:r>
            <w:r>
              <w:rPr>
                <w:sz w:val="21"/>
              </w:rPr>
              <w:t>分</w:t>
            </w:r>
            <w:r>
              <w:rPr>
                <w:sz w:val="21"/>
              </w:rPr>
              <w:t>，不合格得</w:t>
            </w:r>
            <w:r>
              <w:rPr>
                <w:sz w:val="21"/>
              </w:rPr>
              <w:t>0分</w:t>
            </w:r>
            <w:r>
              <w:rPr>
                <w:sz w:val="21"/>
              </w:rPr>
              <w:t>。</w:t>
            </w:r>
          </w:p>
        </w:tc>
        <w:tc>
          <w:tcPr>
            <w:tcW w:type="dxa" w:w="1120"/>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甲方日常评价、工作记录台账</w:t>
            </w:r>
          </w:p>
        </w:tc>
      </w:tr>
      <w:tr>
        <w:tc>
          <w:tcPr>
            <w:tcW w:type="dxa" w:w="1135"/>
            <w:vMerge w:val="restart"/>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b/>
              </w:rPr>
              <w:t>二、抽查巡查与建档管理（</w:t>
            </w:r>
            <w:r>
              <w:rPr>
                <w:sz w:val="21"/>
                <w:b/>
              </w:rPr>
              <w:t>25</w:t>
            </w:r>
            <w:r>
              <w:rPr>
                <w:sz w:val="21"/>
                <w:b/>
              </w:rPr>
              <w:t>分）</w:t>
            </w:r>
          </w:p>
        </w:tc>
        <w:tc>
          <w:tcPr>
            <w:tcW w:type="dxa" w:w="1092"/>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5.</w:t>
            </w:r>
            <w:r>
              <w:rPr>
                <w:sz w:val="21"/>
              </w:rPr>
              <w:t>井盖全覆盖</w:t>
            </w:r>
            <w:r>
              <w:rPr>
                <w:sz w:val="21"/>
              </w:rPr>
              <w:t>巡查</w:t>
            </w:r>
          </w:p>
        </w:tc>
        <w:tc>
          <w:tcPr>
            <w:tcW w:type="dxa" w:w="2299"/>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每月抽查范围覆盖全市各区；按要求完成重点区域巡查，频次达标，无漏查、缺查。</w:t>
            </w:r>
          </w:p>
        </w:tc>
        <w:tc>
          <w:tcPr>
            <w:tcW w:type="dxa" w:w="459"/>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10</w:t>
            </w:r>
          </w:p>
        </w:tc>
        <w:tc>
          <w:tcPr>
            <w:tcW w:type="dxa" w:w="2155"/>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全覆盖完成得</w:t>
            </w:r>
            <w:r>
              <w:rPr>
                <w:sz w:val="21"/>
              </w:rPr>
              <w:t>10</w:t>
            </w:r>
            <w:r>
              <w:rPr>
                <w:sz w:val="21"/>
              </w:rPr>
              <w:t>分；每月缺</w:t>
            </w:r>
            <w:r>
              <w:rPr>
                <w:sz w:val="21"/>
              </w:rPr>
              <w:t>1个区扣1分，巡查频次不达标每次扣0.5分，扣完为止。</w:t>
            </w:r>
          </w:p>
        </w:tc>
        <w:tc>
          <w:tcPr>
            <w:tcW w:type="dxa" w:w="1120"/>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抽查巡查台账、系统记录、现场核查</w:t>
            </w:r>
          </w:p>
        </w:tc>
      </w:tr>
      <w:tr>
        <w:tc>
          <w:tcPr>
            <w:tcW w:type="dxa" w:w="1135"/>
            <w:vMerge/>
            <w:tcBorders>
              <w:top w:val="none" w:color="000000" w:sz="4"/>
              <w:left w:val="single" w:color="000000" w:sz="4"/>
              <w:bottom w:val="single" w:color="000000" w:sz="4"/>
              <w:right w:val="single" w:color="000000" w:sz="4"/>
            </w:tcBorders>
          </w:tcPr>
          <w:p/>
        </w:tc>
        <w:tc>
          <w:tcPr>
            <w:tcW w:type="dxa" w:w="1092"/>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6.井盖</w:t>
            </w:r>
            <w:r>
              <w:rPr>
                <w:sz w:val="21"/>
              </w:rPr>
              <w:t>抽查</w:t>
            </w:r>
            <w:r>
              <w:rPr>
                <w:sz w:val="21"/>
              </w:rPr>
              <w:t>建档</w:t>
            </w:r>
          </w:p>
        </w:tc>
        <w:tc>
          <w:tcPr>
            <w:tcW w:type="dxa" w:w="2299"/>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按要求</w:t>
            </w:r>
            <w:r>
              <w:rPr>
                <w:sz w:val="21"/>
              </w:rPr>
              <w:t>实行</w:t>
            </w:r>
            <w:r>
              <w:rPr>
                <w:sz w:val="21"/>
              </w:rPr>
              <w:t>“一井盖一编码”台账管理，格式符合规范。</w:t>
            </w:r>
          </w:p>
        </w:tc>
        <w:tc>
          <w:tcPr>
            <w:tcW w:type="dxa" w:w="459"/>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7</w:t>
            </w:r>
          </w:p>
        </w:tc>
        <w:tc>
          <w:tcPr>
            <w:tcW w:type="dxa" w:w="2155"/>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完成任务且规范得</w:t>
            </w:r>
            <w:r>
              <w:rPr>
                <w:sz w:val="21"/>
              </w:rPr>
              <w:t>7分；每少1000个扣1分，编码/格式不规范每</w:t>
            </w:r>
            <w:r>
              <w:rPr>
                <w:sz w:val="21"/>
              </w:rPr>
              <w:t>个</w:t>
            </w:r>
            <w:r>
              <w:rPr>
                <w:sz w:val="21"/>
              </w:rPr>
              <w:t>扣</w:t>
            </w:r>
            <w:r>
              <w:rPr>
                <w:sz w:val="21"/>
              </w:rPr>
              <w:t>0.</w:t>
            </w:r>
            <w:r>
              <w:rPr>
                <w:sz w:val="21"/>
              </w:rPr>
              <w:t>1</w:t>
            </w:r>
            <w:r>
              <w:rPr>
                <w:sz w:val="21"/>
              </w:rPr>
              <w:t>分，扣完为止。</w:t>
            </w:r>
          </w:p>
        </w:tc>
        <w:tc>
          <w:tcPr>
            <w:tcW w:type="dxa" w:w="1120"/>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建档台账、信息系统数据核查</w:t>
            </w:r>
          </w:p>
        </w:tc>
      </w:tr>
      <w:tr>
        <w:tc>
          <w:tcPr>
            <w:tcW w:type="dxa" w:w="1135"/>
            <w:vMerge/>
            <w:tcBorders>
              <w:top w:val="none" w:color="000000" w:sz="4"/>
              <w:left w:val="single" w:color="000000" w:sz="4"/>
              <w:bottom w:val="single" w:color="000000" w:sz="4"/>
              <w:right w:val="single" w:color="000000" w:sz="4"/>
            </w:tcBorders>
          </w:tcPr>
          <w:p/>
        </w:tc>
        <w:tc>
          <w:tcPr>
            <w:tcW w:type="dxa" w:w="1092"/>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7.电子标签安装</w:t>
            </w:r>
          </w:p>
        </w:tc>
        <w:tc>
          <w:tcPr>
            <w:tcW w:type="dxa" w:w="2299"/>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按要求加装</w:t>
            </w:r>
            <w:r>
              <w:rPr>
                <w:sz w:val="21"/>
              </w:rPr>
              <w:t>井盖电子标签加装，全部纳入信息系统监管，数据准确。</w:t>
            </w:r>
          </w:p>
        </w:tc>
        <w:tc>
          <w:tcPr>
            <w:tcW w:type="dxa" w:w="459"/>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3</w:t>
            </w:r>
          </w:p>
        </w:tc>
        <w:tc>
          <w:tcPr>
            <w:tcW w:type="dxa" w:w="2155"/>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完成任务得</w:t>
            </w:r>
            <w:r>
              <w:rPr>
                <w:sz w:val="21"/>
              </w:rPr>
              <w:t>3</w:t>
            </w:r>
            <w:r>
              <w:rPr>
                <w:sz w:val="21"/>
              </w:rPr>
              <w:t>分；每少</w:t>
            </w:r>
            <w:r>
              <w:rPr>
                <w:sz w:val="21"/>
              </w:rPr>
              <w:t>100</w:t>
            </w:r>
            <w:r>
              <w:rPr>
                <w:sz w:val="21"/>
              </w:rPr>
              <w:t>0</w:t>
            </w:r>
            <w:r>
              <w:rPr>
                <w:sz w:val="21"/>
              </w:rPr>
              <w:t>个扣</w:t>
            </w:r>
            <w:r>
              <w:rPr>
                <w:sz w:val="21"/>
              </w:rPr>
              <w:t>1</w:t>
            </w:r>
            <w:r>
              <w:rPr>
                <w:sz w:val="21"/>
              </w:rPr>
              <w:t>分，未录入系统或数据错误每个扣</w:t>
            </w:r>
            <w:r>
              <w:rPr>
                <w:sz w:val="21"/>
              </w:rPr>
              <w:t>0.1分，扣完为止。</w:t>
            </w:r>
          </w:p>
        </w:tc>
        <w:tc>
          <w:tcPr>
            <w:tcW w:type="dxa" w:w="1120"/>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安装台账、系统定位数据、现场抽检</w:t>
            </w:r>
          </w:p>
        </w:tc>
      </w:tr>
      <w:tr>
        <w:tc>
          <w:tcPr>
            <w:tcW w:type="dxa" w:w="1135"/>
            <w:vMerge/>
            <w:tcBorders>
              <w:top w:val="none" w:color="000000" w:sz="4"/>
              <w:left w:val="single" w:color="000000" w:sz="4"/>
              <w:bottom w:val="single" w:color="000000" w:sz="4"/>
              <w:right w:val="single" w:color="000000" w:sz="4"/>
            </w:tcBorders>
          </w:tcPr>
          <w:p/>
        </w:tc>
        <w:tc>
          <w:tcPr>
            <w:tcW w:type="dxa" w:w="1092"/>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8</w:t>
            </w:r>
            <w:r>
              <w:rPr>
                <w:sz w:val="21"/>
              </w:rPr>
              <w:t>.问题井盖闭环管理</w:t>
            </w:r>
          </w:p>
        </w:tc>
        <w:tc>
          <w:tcPr>
            <w:tcW w:type="dxa" w:w="2299"/>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问题井盖全部信息化台账管理，建立整改跟踪机制，按时核实整改情况，形成闭环。</w:t>
            </w:r>
          </w:p>
        </w:tc>
        <w:tc>
          <w:tcPr>
            <w:tcW w:type="dxa" w:w="459"/>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3</w:t>
            </w:r>
          </w:p>
        </w:tc>
        <w:tc>
          <w:tcPr>
            <w:tcW w:type="dxa" w:w="2155"/>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全闭环管理得</w:t>
            </w:r>
            <w:r>
              <w:rPr>
                <w:sz w:val="21"/>
              </w:rPr>
              <w:t>3</w:t>
            </w:r>
            <w:r>
              <w:rPr>
                <w:sz w:val="21"/>
              </w:rPr>
              <w:t>分；未建立台账每处扣</w:t>
            </w:r>
            <w:r>
              <w:rPr>
                <w:sz w:val="21"/>
              </w:rPr>
              <w:t>0.</w:t>
            </w:r>
            <w:r>
              <w:rPr>
                <w:sz w:val="21"/>
              </w:rPr>
              <w:t>1</w:t>
            </w:r>
            <w:r>
              <w:rPr>
                <w:sz w:val="21"/>
              </w:rPr>
              <w:t>分，扣完为止。</w:t>
            </w:r>
          </w:p>
        </w:tc>
        <w:tc>
          <w:tcPr>
            <w:tcW w:type="dxa" w:w="1120"/>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问题台账、整改跟踪表</w:t>
            </w:r>
          </w:p>
        </w:tc>
      </w:tr>
      <w:tr>
        <w:tc>
          <w:tcPr>
            <w:tcW w:type="dxa" w:w="1135"/>
            <w:vMerge/>
            <w:tcBorders>
              <w:top w:val="none" w:color="000000" w:sz="4"/>
              <w:left w:val="single" w:color="000000" w:sz="4"/>
              <w:bottom w:val="single" w:color="000000" w:sz="4"/>
              <w:right w:val="single" w:color="000000" w:sz="4"/>
            </w:tcBorders>
          </w:tcPr>
          <w:p/>
        </w:tc>
        <w:tc>
          <w:tcPr>
            <w:tcW w:type="dxa" w:w="1092"/>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9</w:t>
            </w:r>
            <w:r>
              <w:rPr>
                <w:sz w:val="21"/>
              </w:rPr>
              <w:t>.权属数据复核录入</w:t>
            </w:r>
          </w:p>
        </w:tc>
        <w:tc>
          <w:tcPr>
            <w:tcW w:type="dxa" w:w="2299"/>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按时完成权属单位井盖数据复核，准确录入信息系统，无错录、漏录。</w:t>
            </w:r>
          </w:p>
        </w:tc>
        <w:tc>
          <w:tcPr>
            <w:tcW w:type="dxa" w:w="459"/>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2</w:t>
            </w:r>
          </w:p>
        </w:tc>
        <w:tc>
          <w:tcPr>
            <w:tcW w:type="dxa" w:w="2155"/>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数据准确完整得</w:t>
            </w:r>
            <w:r>
              <w:rPr>
                <w:sz w:val="21"/>
              </w:rPr>
              <w:t>2</w:t>
            </w:r>
            <w:r>
              <w:rPr>
                <w:sz w:val="21"/>
              </w:rPr>
              <w:t>分；错录</w:t>
            </w:r>
            <w:r>
              <w:rPr>
                <w:sz w:val="21"/>
              </w:rPr>
              <w:t>/漏录每处扣0.</w:t>
            </w:r>
            <w:r>
              <w:rPr>
                <w:sz w:val="21"/>
              </w:rPr>
              <w:t>1</w:t>
            </w:r>
            <w:r>
              <w:rPr>
                <w:sz w:val="21"/>
              </w:rPr>
              <w:t>分</w:t>
            </w:r>
            <w:r>
              <w:rPr>
                <w:sz w:val="21"/>
              </w:rPr>
              <w:t>，</w:t>
            </w:r>
            <w:r>
              <w:rPr>
                <w:sz w:val="21"/>
              </w:rPr>
              <w:t>扣完为止。</w:t>
            </w:r>
          </w:p>
        </w:tc>
        <w:tc>
          <w:tcPr>
            <w:tcW w:type="dxa" w:w="1120"/>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系统数据、甲方抽查</w:t>
            </w:r>
          </w:p>
        </w:tc>
      </w:tr>
      <w:tr>
        <w:tc>
          <w:tcPr>
            <w:tcW w:type="dxa" w:w="1135"/>
            <w:vMerge w:val="restart"/>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b/>
              </w:rPr>
              <w:t>三、</w:t>
            </w:r>
            <w:r>
              <w:rPr>
                <w:sz w:val="21"/>
                <w:b/>
              </w:rPr>
              <w:t>问题处置与应急管理</w:t>
            </w:r>
            <w:r>
              <w:rPr>
                <w:sz w:val="21"/>
                <w:b/>
              </w:rPr>
              <w:t>（</w:t>
            </w:r>
            <w:r>
              <w:rPr>
                <w:sz w:val="21"/>
                <w:b/>
              </w:rPr>
              <w:t>35</w:t>
            </w:r>
            <w:r>
              <w:rPr>
                <w:sz w:val="21"/>
                <w:b/>
              </w:rPr>
              <w:t>分）</w:t>
            </w:r>
          </w:p>
        </w:tc>
        <w:tc>
          <w:tcPr>
            <w:tcW w:type="dxa" w:w="1092"/>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10.井盖质量送检</w:t>
            </w:r>
          </w:p>
        </w:tc>
        <w:tc>
          <w:tcPr>
            <w:tcW w:type="dxa" w:w="2299"/>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按要求</w:t>
            </w:r>
            <w:r>
              <w:rPr>
                <w:sz w:val="21"/>
              </w:rPr>
              <w:t>抽取疑似问题井盖送检，出具合法有效检测报告，相关费用自行承担。</w:t>
            </w:r>
          </w:p>
        </w:tc>
        <w:tc>
          <w:tcPr>
            <w:tcW w:type="dxa" w:w="459"/>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5</w:t>
            </w:r>
          </w:p>
        </w:tc>
        <w:tc>
          <w:tcPr>
            <w:tcW w:type="dxa" w:w="2155"/>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完成送检得</w:t>
            </w:r>
            <w:r>
              <w:rPr>
                <w:sz w:val="21"/>
              </w:rPr>
              <w:t>5分；每少1个扣0.5分，报告无效/缺失每份扣1分，扣完为止。</w:t>
            </w:r>
          </w:p>
        </w:tc>
        <w:tc>
          <w:tcPr>
            <w:tcW w:type="dxa" w:w="1120"/>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检测报告</w:t>
            </w:r>
          </w:p>
        </w:tc>
      </w:tr>
      <w:tr>
        <w:tc>
          <w:tcPr>
            <w:tcW w:type="dxa" w:w="1135"/>
            <w:vMerge/>
            <w:tcBorders>
              <w:top w:val="none" w:color="000000" w:sz="4"/>
              <w:left w:val="single" w:color="000000" w:sz="4"/>
              <w:bottom w:val="single" w:color="000000" w:sz="4"/>
              <w:right w:val="single" w:color="000000" w:sz="4"/>
            </w:tcBorders>
          </w:tcPr>
          <w:p/>
        </w:tc>
        <w:tc>
          <w:tcPr>
            <w:tcW w:type="dxa" w:w="1092"/>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11.12345工单</w:t>
            </w:r>
            <w:r>
              <w:rPr>
                <w:sz w:val="21"/>
              </w:rPr>
              <w:t>核查</w:t>
            </w:r>
          </w:p>
        </w:tc>
        <w:tc>
          <w:tcPr>
            <w:tcW w:type="dxa" w:w="2299"/>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按月分析</w:t>
            </w:r>
            <w:r>
              <w:rPr>
                <w:sz w:val="21"/>
              </w:rPr>
              <w:t>12345涉井盖工单，形成分析报告；核实不满意、重复投诉工单整改情况。</w:t>
            </w:r>
          </w:p>
        </w:tc>
        <w:tc>
          <w:tcPr>
            <w:tcW w:type="dxa" w:w="459"/>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5</w:t>
            </w:r>
          </w:p>
        </w:tc>
        <w:tc>
          <w:tcPr>
            <w:tcW w:type="dxa" w:w="2155"/>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按时保质完成得</w:t>
            </w:r>
            <w:r>
              <w:rPr>
                <w:sz w:val="21"/>
              </w:rPr>
              <w:t>5分；未提交报告每次扣1分，工单核实不到位每例扣0.5分，扣完为止。</w:t>
            </w:r>
          </w:p>
        </w:tc>
        <w:tc>
          <w:tcPr>
            <w:tcW w:type="dxa" w:w="1120"/>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分析报告、工单核实记录</w:t>
            </w:r>
          </w:p>
        </w:tc>
      </w:tr>
      <w:tr>
        <w:tc>
          <w:tcPr>
            <w:tcW w:type="dxa" w:w="1135"/>
            <w:vMerge/>
            <w:tcBorders>
              <w:top w:val="none" w:color="000000" w:sz="4"/>
              <w:left w:val="single" w:color="000000" w:sz="4"/>
              <w:bottom w:val="single" w:color="000000" w:sz="4"/>
              <w:right w:val="single" w:color="000000" w:sz="4"/>
            </w:tcBorders>
          </w:tcPr>
          <w:p/>
        </w:tc>
        <w:tc>
          <w:tcPr>
            <w:tcW w:type="dxa" w:w="1092"/>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1</w:t>
            </w:r>
            <w:r>
              <w:rPr>
                <w:sz w:val="21"/>
              </w:rPr>
              <w:t>2</w:t>
            </w:r>
            <w:r>
              <w:rPr>
                <w:sz w:val="21"/>
              </w:rPr>
              <w:t>.应急井盖处置</w:t>
            </w:r>
          </w:p>
        </w:tc>
        <w:tc>
          <w:tcPr>
            <w:tcW w:type="dxa" w:w="2299"/>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按要求</w:t>
            </w:r>
            <w:r>
              <w:rPr>
                <w:sz w:val="21"/>
              </w:rPr>
              <w:t>应急处置隐患井盖，同步加装电子标签，处置及时规范。</w:t>
            </w:r>
          </w:p>
        </w:tc>
        <w:tc>
          <w:tcPr>
            <w:tcW w:type="dxa" w:w="459"/>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5</w:t>
            </w:r>
          </w:p>
        </w:tc>
        <w:tc>
          <w:tcPr>
            <w:tcW w:type="dxa" w:w="2155"/>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完成任务得</w:t>
            </w:r>
            <w:r>
              <w:rPr>
                <w:sz w:val="21"/>
              </w:rPr>
              <w:t>5</w:t>
            </w:r>
            <w:r>
              <w:rPr>
                <w:sz w:val="21"/>
              </w:rPr>
              <w:t>分；每少</w:t>
            </w:r>
            <w:r>
              <w:rPr>
                <w:sz w:val="21"/>
              </w:rPr>
              <w:t>1个扣0.2分，处置不及时/不规范每例扣0.5分，扣完为止。</w:t>
            </w:r>
          </w:p>
        </w:tc>
        <w:tc>
          <w:tcPr>
            <w:tcW w:type="dxa" w:w="1120"/>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应急处置台账、现场照片</w:t>
            </w:r>
          </w:p>
        </w:tc>
      </w:tr>
      <w:tr>
        <w:tc>
          <w:tcPr>
            <w:tcW w:type="dxa" w:w="1135"/>
            <w:vMerge/>
            <w:tcBorders>
              <w:top w:val="none" w:color="000000" w:sz="4"/>
              <w:left w:val="single" w:color="000000" w:sz="4"/>
              <w:bottom w:val="single" w:color="000000" w:sz="4"/>
              <w:right w:val="single" w:color="000000" w:sz="4"/>
            </w:tcBorders>
          </w:tcPr>
          <w:p/>
        </w:tc>
        <w:tc>
          <w:tcPr>
            <w:tcW w:type="dxa" w:w="1092"/>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1</w:t>
            </w:r>
            <w:r>
              <w:rPr>
                <w:sz w:val="21"/>
              </w:rPr>
              <w:t>3</w:t>
            </w:r>
            <w:r>
              <w:rPr>
                <w:sz w:val="21"/>
              </w:rPr>
              <w:t>.应急物资储备</w:t>
            </w:r>
          </w:p>
        </w:tc>
        <w:tc>
          <w:tcPr>
            <w:tcW w:type="dxa" w:w="2299"/>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设立应急物资仓库，足额配备工程物资、机械设备，物资完好、随时可用。</w:t>
            </w:r>
          </w:p>
        </w:tc>
        <w:tc>
          <w:tcPr>
            <w:tcW w:type="dxa" w:w="459"/>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5</w:t>
            </w:r>
          </w:p>
        </w:tc>
        <w:tc>
          <w:tcPr>
            <w:tcW w:type="dxa" w:w="2155"/>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物资齐全达标得</w:t>
            </w:r>
            <w:r>
              <w:rPr>
                <w:sz w:val="21"/>
              </w:rPr>
              <w:t>5</w:t>
            </w:r>
            <w:r>
              <w:rPr>
                <w:sz w:val="21"/>
              </w:rPr>
              <w:t>分；缺关键物资每项扣</w:t>
            </w:r>
            <w:r>
              <w:rPr>
                <w:sz w:val="21"/>
              </w:rPr>
              <w:t>1分，设备无法使用每</w:t>
            </w:r>
            <w:r>
              <w:rPr>
                <w:sz w:val="21"/>
              </w:rPr>
              <w:t>项</w:t>
            </w:r>
            <w:r>
              <w:rPr>
                <w:sz w:val="21"/>
              </w:rPr>
              <w:t>扣</w:t>
            </w:r>
            <w:r>
              <w:rPr>
                <w:sz w:val="21"/>
              </w:rPr>
              <w:t>0.5分，扣完为止。</w:t>
            </w:r>
          </w:p>
        </w:tc>
        <w:tc>
          <w:tcPr>
            <w:tcW w:type="dxa" w:w="1120"/>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仓库现场核查、物资清单</w:t>
            </w:r>
          </w:p>
        </w:tc>
      </w:tr>
      <w:tr>
        <w:tc>
          <w:tcPr>
            <w:tcW w:type="dxa" w:w="1135"/>
            <w:vMerge/>
            <w:tcBorders>
              <w:top w:val="none" w:color="000000" w:sz="4"/>
              <w:left w:val="single" w:color="000000" w:sz="4"/>
              <w:bottom w:val="single" w:color="000000" w:sz="4"/>
              <w:right w:val="single" w:color="000000" w:sz="4"/>
            </w:tcBorders>
          </w:tcPr>
          <w:p/>
        </w:tc>
        <w:tc>
          <w:tcPr>
            <w:tcW w:type="dxa" w:w="1092"/>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1</w:t>
            </w:r>
            <w:r>
              <w:rPr>
                <w:sz w:val="21"/>
              </w:rPr>
              <w:t>4</w:t>
            </w:r>
            <w:r>
              <w:rPr>
                <w:sz w:val="21"/>
              </w:rPr>
              <w:t>.应急值守巡查</w:t>
            </w:r>
          </w:p>
        </w:tc>
        <w:tc>
          <w:tcPr>
            <w:tcW w:type="dxa" w:w="2299"/>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重大节日、活动、汛期、暴雨预警期间，按要求落实应急值守与道路巡查。</w:t>
            </w:r>
          </w:p>
        </w:tc>
        <w:tc>
          <w:tcPr>
            <w:tcW w:type="dxa" w:w="459"/>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5</w:t>
            </w:r>
          </w:p>
        </w:tc>
        <w:tc>
          <w:tcPr>
            <w:tcW w:type="dxa" w:w="2155"/>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值守巡查到位得</w:t>
            </w:r>
            <w:r>
              <w:rPr>
                <w:sz w:val="21"/>
              </w:rPr>
              <w:t>5</w:t>
            </w:r>
            <w:r>
              <w:rPr>
                <w:sz w:val="21"/>
              </w:rPr>
              <w:t>分；缺岗</w:t>
            </w:r>
            <w:r>
              <w:rPr>
                <w:sz w:val="21"/>
              </w:rPr>
              <w:t>/漏巡每次扣1分，响应不及时每次扣0.5分，扣完为止。</w:t>
            </w:r>
          </w:p>
        </w:tc>
        <w:tc>
          <w:tcPr>
            <w:tcW w:type="dxa" w:w="1120"/>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值守排班表、巡查记录、甲方抽查</w:t>
            </w:r>
          </w:p>
        </w:tc>
      </w:tr>
      <w:tr>
        <w:tc>
          <w:tcPr>
            <w:tcW w:type="dxa" w:w="1135"/>
            <w:vMerge/>
            <w:tcBorders>
              <w:top w:val="none" w:color="000000" w:sz="4"/>
              <w:left w:val="single" w:color="000000" w:sz="4"/>
              <w:bottom w:val="single" w:color="000000" w:sz="4"/>
              <w:right w:val="single" w:color="000000" w:sz="4"/>
            </w:tcBorders>
          </w:tcPr>
          <w:p/>
        </w:tc>
        <w:tc>
          <w:tcPr>
            <w:tcW w:type="dxa" w:w="1092"/>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1</w:t>
            </w:r>
            <w:r>
              <w:rPr>
                <w:sz w:val="21"/>
              </w:rPr>
              <w:t>5</w:t>
            </w:r>
            <w:r>
              <w:rPr>
                <w:sz w:val="21"/>
              </w:rPr>
              <w:t>.应急演练</w:t>
            </w:r>
          </w:p>
        </w:tc>
        <w:tc>
          <w:tcPr>
            <w:tcW w:type="dxa" w:w="2299"/>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组织井盖突发事件应急演练。</w:t>
            </w:r>
          </w:p>
        </w:tc>
        <w:tc>
          <w:tcPr>
            <w:tcW w:type="dxa" w:w="459"/>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5</w:t>
            </w:r>
          </w:p>
        </w:tc>
        <w:tc>
          <w:tcPr>
            <w:tcW w:type="dxa" w:w="2155"/>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完成</w:t>
            </w:r>
            <w:r>
              <w:rPr>
                <w:sz w:val="21"/>
              </w:rPr>
              <w:t>演练</w:t>
            </w:r>
            <w:r>
              <w:rPr>
                <w:sz w:val="21"/>
              </w:rPr>
              <w:t>得</w:t>
            </w:r>
            <w:r>
              <w:rPr>
                <w:sz w:val="21"/>
              </w:rPr>
              <w:t>5</w:t>
            </w:r>
            <w:r>
              <w:rPr>
                <w:sz w:val="21"/>
              </w:rPr>
              <w:t>分；未开展演练</w:t>
            </w:r>
            <w:r>
              <w:rPr>
                <w:sz w:val="21"/>
              </w:rPr>
              <w:t>不得分</w:t>
            </w:r>
            <w:r>
              <w:rPr>
                <w:sz w:val="21"/>
              </w:rPr>
              <w:t>。</w:t>
            </w:r>
          </w:p>
        </w:tc>
        <w:tc>
          <w:tcPr>
            <w:tcW w:type="dxa" w:w="1120"/>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演练方案及记录</w:t>
            </w:r>
          </w:p>
        </w:tc>
      </w:tr>
      <w:tr>
        <w:tc>
          <w:tcPr>
            <w:tcW w:type="dxa" w:w="1135"/>
            <w:vMerge/>
            <w:tcBorders>
              <w:top w:val="none" w:color="000000" w:sz="4"/>
              <w:left w:val="single" w:color="000000" w:sz="4"/>
              <w:bottom w:val="single" w:color="000000" w:sz="4"/>
              <w:right w:val="single" w:color="000000" w:sz="4"/>
            </w:tcBorders>
          </w:tcPr>
          <w:p/>
        </w:tc>
        <w:tc>
          <w:tcPr>
            <w:tcW w:type="dxa" w:w="1092"/>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16.完成</w:t>
            </w:r>
            <w:r>
              <w:rPr>
                <w:sz w:val="21"/>
              </w:rPr>
              <w:t>交办任务</w:t>
            </w:r>
          </w:p>
        </w:tc>
        <w:tc>
          <w:tcPr>
            <w:tcW w:type="dxa" w:w="2299"/>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按时完成甲方交办的应急、安保等各项工作任务</w:t>
            </w:r>
            <w:r>
              <w:rPr>
                <w:sz w:val="21"/>
              </w:rPr>
              <w:t>。</w:t>
            </w:r>
          </w:p>
        </w:tc>
        <w:tc>
          <w:tcPr>
            <w:tcW w:type="dxa" w:w="459"/>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5</w:t>
            </w:r>
          </w:p>
        </w:tc>
        <w:tc>
          <w:tcPr>
            <w:tcW w:type="dxa" w:w="2155"/>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完成全部</w:t>
            </w:r>
            <w:r>
              <w:rPr>
                <w:sz w:val="21"/>
              </w:rPr>
              <w:t>交办任务</w:t>
            </w:r>
            <w:r>
              <w:rPr>
                <w:sz w:val="21"/>
              </w:rPr>
              <w:t>得</w:t>
            </w:r>
            <w:r>
              <w:rPr>
                <w:sz w:val="21"/>
              </w:rPr>
              <w:t>5</w:t>
            </w:r>
            <w:r>
              <w:rPr>
                <w:sz w:val="21"/>
              </w:rPr>
              <w:t>分；交办任务未完成每次扣</w:t>
            </w:r>
            <w:r>
              <w:rPr>
                <w:sz w:val="21"/>
              </w:rPr>
              <w:t>1分，扣完为止。</w:t>
            </w:r>
          </w:p>
        </w:tc>
        <w:tc>
          <w:tcPr>
            <w:tcW w:type="dxa" w:w="1120"/>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工作台账记录</w:t>
            </w:r>
          </w:p>
        </w:tc>
      </w:tr>
      <w:tr>
        <w:tc>
          <w:tcPr>
            <w:tcW w:type="dxa" w:w="1135"/>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b/>
              </w:rPr>
              <w:t>四</w:t>
            </w:r>
            <w:r>
              <w:rPr>
                <w:sz w:val="21"/>
                <w:b/>
              </w:rPr>
              <w:t>、信息化系统（</w:t>
            </w:r>
            <w:r>
              <w:rPr>
                <w:sz w:val="21"/>
                <w:b/>
              </w:rPr>
              <w:t>15分）</w:t>
            </w:r>
          </w:p>
        </w:tc>
        <w:tc>
          <w:tcPr>
            <w:tcW w:type="dxa" w:w="1092"/>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17.信息系统服务</w:t>
            </w:r>
          </w:p>
        </w:tc>
        <w:tc>
          <w:tcPr>
            <w:tcW w:type="dxa" w:w="2299"/>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系统功能满足项目需求，支持流转办理、统计分析、档案管理；</w:t>
            </w:r>
            <w:r>
              <w:rPr>
                <w:sz w:val="21"/>
              </w:rPr>
              <w:t>根据需求，</w:t>
            </w:r>
            <w:r>
              <w:rPr>
                <w:sz w:val="21"/>
              </w:rPr>
              <w:t>30日内完成功能优化。</w:t>
            </w:r>
          </w:p>
        </w:tc>
        <w:tc>
          <w:tcPr>
            <w:tcW w:type="dxa" w:w="459"/>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1</w:t>
            </w:r>
            <w:r>
              <w:rPr>
                <w:sz w:val="21"/>
              </w:rPr>
              <w:t>5</w:t>
            </w:r>
          </w:p>
        </w:tc>
        <w:tc>
          <w:tcPr>
            <w:tcW w:type="dxa" w:w="2155"/>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系统</w:t>
            </w:r>
            <w:r>
              <w:rPr>
                <w:sz w:val="21"/>
              </w:rPr>
              <w:t>功能完善</w:t>
            </w:r>
            <w:r>
              <w:rPr>
                <w:sz w:val="21"/>
              </w:rPr>
              <w:t>得</w:t>
            </w:r>
            <w:r>
              <w:rPr>
                <w:sz w:val="21"/>
              </w:rPr>
              <w:t>1</w:t>
            </w:r>
            <w:r>
              <w:rPr>
                <w:sz w:val="21"/>
              </w:rPr>
              <w:t>5分；核心功能缺失每项扣</w:t>
            </w:r>
            <w:r>
              <w:rPr>
                <w:sz w:val="21"/>
              </w:rPr>
              <w:t>3</w:t>
            </w:r>
            <w:r>
              <w:rPr>
                <w:sz w:val="21"/>
              </w:rPr>
              <w:t>分，优化逾期每周扣</w:t>
            </w:r>
            <w:r>
              <w:rPr>
                <w:sz w:val="21"/>
              </w:rPr>
              <w:t>1分，扣完为止。</w:t>
            </w:r>
          </w:p>
        </w:tc>
        <w:tc>
          <w:tcPr>
            <w:tcW w:type="dxa" w:w="1120"/>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系统功能</w:t>
            </w:r>
            <w:r>
              <w:rPr>
                <w:sz w:val="21"/>
              </w:rPr>
              <w:t>展示</w:t>
            </w:r>
          </w:p>
        </w:tc>
      </w:tr>
      <w:tr>
        <w:tc>
          <w:tcPr>
            <w:tcW w:type="dxa" w:w="1135"/>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b/>
              </w:rPr>
              <w:t>五、成果文件交付（</w:t>
            </w:r>
            <w:r>
              <w:rPr>
                <w:sz w:val="21"/>
                <w:b/>
              </w:rPr>
              <w:t>5分）</w:t>
            </w:r>
          </w:p>
        </w:tc>
        <w:tc>
          <w:tcPr>
            <w:tcW w:type="dxa" w:w="1092"/>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18.月度</w:t>
            </w:r>
            <w:r>
              <w:rPr>
                <w:sz w:val="21"/>
              </w:rPr>
              <w:t>/季度/年度</w:t>
            </w:r>
            <w:r>
              <w:rPr>
                <w:sz w:val="21"/>
              </w:rPr>
              <w:t>成果报送</w:t>
            </w:r>
          </w:p>
        </w:tc>
        <w:tc>
          <w:tcPr>
            <w:tcW w:type="dxa" w:w="2299"/>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每</w:t>
            </w:r>
            <w:r>
              <w:rPr>
                <w:sz w:val="21"/>
              </w:rPr>
              <w:t>月度</w:t>
            </w:r>
            <w:r>
              <w:rPr>
                <w:sz w:val="21"/>
              </w:rPr>
              <w:t>/季度/年度</w:t>
            </w:r>
            <w:r>
              <w:rPr>
                <w:sz w:val="21"/>
              </w:rPr>
              <w:t>结束后</w:t>
            </w:r>
            <w:r>
              <w:rPr>
                <w:sz w:val="21"/>
              </w:rPr>
              <w:t>5个工作日内，提交抽查报告、质检报告，资料规范归档。</w:t>
            </w:r>
          </w:p>
        </w:tc>
        <w:tc>
          <w:tcPr>
            <w:tcW w:type="dxa" w:w="459"/>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5</w:t>
            </w:r>
          </w:p>
        </w:tc>
        <w:tc>
          <w:tcPr>
            <w:tcW w:type="dxa" w:w="2155"/>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全年按时合格得</w:t>
            </w:r>
            <w:r>
              <w:rPr>
                <w:sz w:val="21"/>
              </w:rPr>
              <w:t>5分；逾期/不合格每次扣0.5分，资料缺失每份扣0.5分，扣完为止。</w:t>
            </w:r>
          </w:p>
        </w:tc>
        <w:tc>
          <w:tcPr>
            <w:tcW w:type="dxa" w:w="1120"/>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报告台账、归档资料核查</w:t>
            </w:r>
          </w:p>
        </w:tc>
      </w:tr>
      <w:tr>
        <w:tc>
          <w:tcPr>
            <w:tcW w:type="dxa" w:w="1135"/>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b/>
              </w:rPr>
              <w:t>六、服务响应时效（</w:t>
            </w:r>
            <w:r>
              <w:rPr>
                <w:sz w:val="21"/>
                <w:b/>
              </w:rPr>
              <w:t>5分）</w:t>
            </w:r>
          </w:p>
        </w:tc>
        <w:tc>
          <w:tcPr>
            <w:tcW w:type="dxa" w:w="1092"/>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19</w:t>
            </w:r>
            <w:r>
              <w:rPr>
                <w:sz w:val="21"/>
              </w:rPr>
              <w:t>.即时响应要求</w:t>
            </w:r>
          </w:p>
        </w:tc>
        <w:tc>
          <w:tcPr>
            <w:tcW w:type="dxa" w:w="2299"/>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收到甲方电话</w:t>
            </w:r>
            <w:r>
              <w:rPr>
                <w:sz w:val="21"/>
              </w:rPr>
              <w:t>/书面通知后及时响应，按要求完成工作对接与任务处置。</w:t>
            </w:r>
          </w:p>
        </w:tc>
        <w:tc>
          <w:tcPr>
            <w:tcW w:type="dxa" w:w="459"/>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5</w:t>
            </w:r>
          </w:p>
        </w:tc>
        <w:tc>
          <w:tcPr>
            <w:tcW w:type="dxa" w:w="2155"/>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全程响应及时得</w:t>
            </w:r>
            <w:r>
              <w:rPr>
                <w:sz w:val="21"/>
              </w:rPr>
              <w:t>5分；超时响应每次扣1分，拒不响应本项0分。</w:t>
            </w:r>
          </w:p>
        </w:tc>
        <w:tc>
          <w:tcPr>
            <w:tcW w:type="dxa" w:w="1120"/>
            <w:tcBorders>
              <w:top w:val="none" w:color="000000" w:sz="4"/>
              <w:left w:val="single" w:color="000000" w:sz="4"/>
              <w:bottom w:val="single" w:color="000000" w:sz="4"/>
              <w:right w:val="single" w:color="000000" w:sz="4"/>
            </w:tcBorders>
            <w:tcMar>
              <w:top w:type="dxa" w:w="120"/>
              <w:left w:type="dxa" w:w="120"/>
              <w:bottom w:type="dxa" w:w="120"/>
              <w:right w:type="dxa" w:w="120"/>
            </w:tcMar>
            <w:vAlign w:val="top"/>
          </w:tcPr>
          <w:p>
            <w:pPr>
              <w:pStyle w:val="null3"/>
              <w:jc w:val="left"/>
            </w:pPr>
            <w:r>
              <w:rPr>
                <w:sz w:val="21"/>
              </w:rPr>
              <w:t>响应记录、甲方工作交办台账</w:t>
            </w:r>
          </w:p>
        </w:tc>
      </w:tr>
    </w:tbl>
    <w:p>
      <w:pPr>
        <w:pStyle w:val="null3"/>
        <w:jc w:val="both"/>
      </w:pPr>
      <w:r>
        <w:rPr>
          <w:sz w:val="21"/>
          <w:b/>
        </w:rPr>
        <w:t>考核结果应用</w:t>
      </w:r>
    </w:p>
    <w:p>
      <w:pPr>
        <w:pStyle w:val="null3"/>
        <w:jc w:val="both"/>
      </w:pPr>
      <w:r>
        <w:rPr>
          <w:sz w:val="21"/>
        </w:rPr>
        <w:t>考核总分</w:t>
      </w:r>
      <w:r>
        <w:rPr>
          <w:sz w:val="21"/>
        </w:rPr>
        <w:t>≥</w:t>
      </w:r>
      <w:r>
        <w:rPr>
          <w:sz w:val="21"/>
        </w:rPr>
        <w:t>85</w:t>
      </w:r>
      <w:r>
        <w:rPr>
          <w:sz w:val="21"/>
        </w:rPr>
        <w:t>分</w:t>
      </w:r>
      <w:r>
        <w:rPr>
          <w:sz w:val="21"/>
        </w:rPr>
        <w:t>，</w:t>
      </w:r>
      <w:r>
        <w:rPr>
          <w:sz w:val="21"/>
        </w:rPr>
        <w:t>优秀</w:t>
      </w:r>
      <w:r>
        <w:rPr>
          <w:sz w:val="21"/>
        </w:rPr>
        <w:t>；</w:t>
      </w:r>
    </w:p>
    <w:p>
      <w:pPr>
        <w:pStyle w:val="null3"/>
        <w:jc w:val="both"/>
      </w:pPr>
      <w:r>
        <w:rPr>
          <w:sz w:val="21"/>
        </w:rPr>
        <w:t>考核总分</w:t>
      </w:r>
      <w:r>
        <w:rPr>
          <w:sz w:val="21"/>
        </w:rPr>
        <w:t>在</w:t>
      </w:r>
      <w:r>
        <w:rPr>
          <w:sz w:val="21"/>
        </w:rPr>
        <w:t>75-8</w:t>
      </w:r>
      <w:r>
        <w:rPr>
          <w:sz w:val="21"/>
        </w:rPr>
        <w:t>4</w:t>
      </w:r>
      <w:r>
        <w:rPr>
          <w:sz w:val="21"/>
        </w:rPr>
        <w:t>分</w:t>
      </w:r>
      <w:r>
        <w:rPr>
          <w:sz w:val="21"/>
        </w:rPr>
        <w:t>之间，</w:t>
      </w:r>
      <w:r>
        <w:rPr>
          <w:sz w:val="21"/>
        </w:rPr>
        <w:t>合格</w:t>
      </w:r>
      <w:r>
        <w:rPr>
          <w:sz w:val="21"/>
        </w:rPr>
        <w:t>；</w:t>
      </w:r>
    </w:p>
    <w:p>
      <w:pPr>
        <w:pStyle w:val="null3"/>
        <w:jc w:val="both"/>
      </w:pPr>
      <w:r>
        <w:rPr>
          <w:sz w:val="21"/>
        </w:rPr>
        <w:t>考核总分</w:t>
      </w:r>
      <w:r>
        <w:rPr>
          <w:sz w:val="21"/>
        </w:rPr>
        <w:t>≤74</w:t>
      </w:r>
      <w:r>
        <w:rPr>
          <w:sz w:val="21"/>
        </w:rPr>
        <w:t>分</w:t>
      </w:r>
      <w:r>
        <w:rPr>
          <w:sz w:val="21"/>
        </w:rPr>
        <w:t>，</w:t>
      </w:r>
      <w:r>
        <w:rPr>
          <w:sz w:val="21"/>
        </w:rPr>
        <w:t>不</w:t>
      </w:r>
      <w:r>
        <w:rPr>
          <w:sz w:val="21"/>
        </w:rPr>
        <w:t>合格。</w:t>
      </w:r>
    </w:p>
    <w:p>
      <w:pPr>
        <w:pStyle w:val="null3"/>
        <w:jc w:val="both"/>
      </w:pPr>
      <w:r>
        <w:rPr>
          <w:sz w:val="21"/>
          <w:b/>
        </w:rPr>
        <w:t>考核组织：</w:t>
      </w:r>
      <w:r>
        <w:rPr>
          <w:sz w:val="21"/>
        </w:rPr>
        <w:t>考核按季度实施，由</w:t>
      </w:r>
      <w:r>
        <w:rPr>
          <w:sz w:val="21"/>
        </w:rPr>
        <w:t>甲方</w:t>
      </w:r>
      <w:r>
        <w:rPr>
          <w:sz w:val="21"/>
        </w:rPr>
        <w:t>每季度组织开展一次履约考核；第四季度同步开展年度续签考核。</w:t>
      </w:r>
      <w:r>
        <w:rPr>
          <w:sz w:val="21"/>
        </w:rPr>
        <w:t>①</w:t>
      </w:r>
      <w:r>
        <w:rPr>
          <w:sz w:val="21"/>
        </w:rPr>
        <w:t>合同续签应用</w:t>
      </w:r>
      <w:r>
        <w:rPr>
          <w:sz w:val="21"/>
        </w:rPr>
        <w:t>：</w:t>
      </w:r>
      <w:r>
        <w:rPr>
          <w:sz w:val="21"/>
        </w:rPr>
        <w:t>以前三季度考核结果平均分作为续签依据</w:t>
      </w:r>
      <w:r>
        <w:rPr>
          <w:sz w:val="21"/>
        </w:rPr>
        <w:t>。</w:t>
      </w:r>
      <w:r>
        <w:rPr>
          <w:sz w:val="21"/>
        </w:rPr>
        <w:t>前三季度平均分</w:t>
      </w:r>
      <w:r>
        <w:rPr>
          <w:sz w:val="21"/>
        </w:rPr>
        <w:t>≥85分，</w:t>
      </w:r>
      <w:r>
        <w:rPr>
          <w:sz w:val="21"/>
        </w:rPr>
        <w:t>且当年财政预算保障的</w:t>
      </w:r>
      <w:r>
        <w:rPr>
          <w:sz w:val="21"/>
        </w:rPr>
        <w:t>，可续签下一年度合同；前三季度平均分＜</w:t>
      </w:r>
      <w:r>
        <w:rPr>
          <w:sz w:val="21"/>
        </w:rPr>
        <w:t>85分，</w:t>
      </w:r>
      <w:r>
        <w:rPr>
          <w:sz w:val="21"/>
        </w:rPr>
        <w:t>甲方</w:t>
      </w:r>
      <w:r>
        <w:rPr>
          <w:sz w:val="21"/>
        </w:rPr>
        <w:t>不予续签，合同到期自动终止。</w:t>
      </w:r>
      <w:r>
        <w:rPr>
          <w:sz w:val="21"/>
        </w:rPr>
        <w:t>②</w:t>
      </w:r>
      <w:r>
        <w:rPr>
          <w:sz w:val="21"/>
        </w:rPr>
        <w:t>项目验收应用</w:t>
      </w:r>
      <w:r>
        <w:rPr>
          <w:sz w:val="21"/>
        </w:rPr>
        <w:t>：</w:t>
      </w:r>
      <w:r>
        <w:rPr>
          <w:sz w:val="21"/>
        </w:rPr>
        <w:t>以全年四个季度考核结果平均分作为验收依据</w:t>
      </w:r>
      <w:r>
        <w:rPr>
          <w:sz w:val="21"/>
        </w:rPr>
        <w:t>。</w:t>
      </w:r>
      <w:r>
        <w:rPr>
          <w:sz w:val="21"/>
        </w:rPr>
        <w:t>全年平均分</w:t>
      </w:r>
      <w:r>
        <w:rPr>
          <w:sz w:val="21"/>
        </w:rPr>
        <w:t>≥</w:t>
      </w:r>
      <w:r>
        <w:rPr>
          <w:sz w:val="21"/>
        </w:rPr>
        <w:t>75分，</w:t>
      </w:r>
      <w:r>
        <w:rPr>
          <w:sz w:val="21"/>
        </w:rPr>
        <w:t>可邀</w:t>
      </w:r>
      <w:r>
        <w:rPr>
          <w:sz w:val="21"/>
        </w:rPr>
        <w:t>请专家开展项目验收；全年平均分</w:t>
      </w:r>
      <w:r>
        <w:rPr>
          <w:sz w:val="21"/>
        </w:rPr>
        <w:t>＜</w:t>
      </w:r>
      <w:r>
        <w:rPr>
          <w:sz w:val="21"/>
        </w:rPr>
        <w:t>75</w:t>
      </w:r>
      <w:r>
        <w:rPr>
          <w:sz w:val="21"/>
        </w:rPr>
        <w:t>分，</w:t>
      </w:r>
      <w:r>
        <w:rPr>
          <w:sz w:val="21"/>
        </w:rPr>
        <w:t>由乙方按甲方要求限期整改到位，整改完成并经甲方确认合格后，再邀请专家开展项目验收</w:t>
      </w:r>
      <w:r>
        <w:rPr>
          <w:sz w:val="21"/>
        </w:rPr>
        <w:t>。</w:t>
      </w:r>
    </w:p>
    <w:p>
      <w:pPr>
        <w:pStyle w:val="null3"/>
        <w:jc w:val="both"/>
      </w:pPr>
      <w:r>
        <w:rPr>
          <w:sz w:val="21"/>
          <w:b/>
        </w:rPr>
        <w:t>一票否决项：</w:t>
      </w:r>
      <w:r>
        <w:rPr>
          <w:sz w:val="21"/>
        </w:rPr>
        <w:t>发生以下情形之一的，当年考核直接评定为不合格，不予续签：</w:t>
      </w:r>
    </w:p>
    <w:p>
      <w:pPr>
        <w:pStyle w:val="null3"/>
        <w:jc w:val="both"/>
      </w:pPr>
      <w:r>
        <w:rPr>
          <w:sz w:val="21"/>
        </w:rPr>
        <w:t>服务期间</w:t>
      </w:r>
      <w:r>
        <w:rPr>
          <w:sz w:val="21"/>
        </w:rPr>
        <w:t>因乙方原因发生</w:t>
      </w:r>
      <w:r>
        <w:rPr>
          <w:sz w:val="21"/>
        </w:rPr>
        <w:t>重大事故；</w:t>
      </w:r>
    </w:p>
    <w:p>
      <w:pPr>
        <w:pStyle w:val="null3"/>
        <w:jc w:val="both"/>
      </w:pPr>
      <w:r>
        <w:rPr>
          <w:sz w:val="21"/>
        </w:rPr>
        <w:t>擅自转包或分包项目服务内容；</w:t>
      </w:r>
    </w:p>
    <w:p>
      <w:pPr>
        <w:pStyle w:val="null3"/>
        <w:jc w:val="both"/>
      </w:pPr>
      <w:r>
        <w:rPr>
          <w:sz w:val="21"/>
        </w:rPr>
        <w:t>提供的成果文件侵犯第三方知识产权导致</w:t>
      </w:r>
      <w:r>
        <w:rPr>
          <w:sz w:val="21"/>
        </w:rPr>
        <w:t>甲方</w:t>
      </w:r>
      <w:r>
        <w:rPr>
          <w:sz w:val="21"/>
        </w:rPr>
        <w:t>承担赔偿责任。</w:t>
      </w:r>
    </w:p>
    <w:p>
      <w:pPr>
        <w:pStyle w:val="null3"/>
        <w:jc w:val="both"/>
      </w:pPr>
      <w:r>
        <w:rPr>
          <w:sz w:val="21"/>
          <w:b/>
        </w:rPr>
        <w:t>记录保存：</w:t>
      </w:r>
      <w:r>
        <w:rPr>
          <w:sz w:val="21"/>
        </w:rPr>
        <w:t>所有考核过程记录、评分表、佐证材料由</w:t>
      </w:r>
      <w:r>
        <w:rPr>
          <w:sz w:val="21"/>
        </w:rPr>
        <w:t>甲方</w:t>
      </w:r>
      <w:r>
        <w:rPr>
          <w:sz w:val="21"/>
        </w:rPr>
        <w:t>归档保存，作为合同续签及可能发生争议的证据。</w:t>
      </w:r>
    </w:p>
    <w:p>
      <w:pPr>
        <w:pStyle w:val="null3"/>
        <w:spacing w:before="0" w:after="0"/>
        <w:ind w:left="0" w:right="0"/>
        <w:jc w:val="center"/>
      </w:pPr>
      <w:r>
        <w:rPr>
          <w:b/>
        </w:rPr>
        <w:t xml:space="preserve"> </w:t>
      </w:r>
    </w:p>
    <w:p>
      <w:pPr>
        <w:pStyle w:val="null3"/>
        <w:spacing w:before="0" w:after="0"/>
        <w:ind w:left="0" w:right="0"/>
        <w:jc w:val="center"/>
      </w:pPr>
      <w:r>
        <w:rPr/>
        <w:t xml:space="preserve"> </w:t>
      </w:r>
    </w:p>
    <w:p>
      <w:pPr>
        <w:pStyle w:val="null3"/>
      </w:pPr>
      <w:r>
        <w:rPr/>
        <w:t xml:space="preserve">  </w:t>
      </w:r>
    </w:p>
    <w:p>
      <w:pPr>
        <w:pStyle w:val="null3"/>
        <w:jc w:val="center"/>
        <w:outlineLvl w:val="1"/>
      </w:pPr>
      <w:r>
        <w:rPr>
          <w:sz w:val="36"/>
          <w:b/>
        </w:rPr>
        <w:t>第六章 投标文件格式与要求</w:t>
      </w:r>
    </w:p>
    <w:p>
      <w:pPr>
        <w:pStyle w:val="null3"/>
        <w:ind w:firstLine="480"/>
      </w:pPr>
      <w:r>
        <w:rPr/>
        <w:t>投标人应提交证明其有资格参加投标和中标后有能力履行合同的相关文件，并作为其投标文件的一部分，所有文件必须真实可靠、不得伪造，否则将按相关规定予以处罚。</w:t>
      </w:r>
    </w:p>
    <w:p>
      <w:pPr>
        <w:pStyle w:val="null3"/>
        <w:ind w:firstLine="480"/>
      </w:pPr>
      <w:r>
        <w:rPr/>
        <w:t xml:space="preserve">  </w:t>
      </w:r>
      <w:r>
        <w:br/>
      </w:r>
    </w:p>
    <w:p>
      <w:pPr>
        <w:pStyle w:val="null3"/>
        <w:jc w:val="center"/>
        <w:outlineLvl w:val="0"/>
      </w:pPr>
      <w:r>
        <w:rPr>
          <w:sz w:val="48"/>
          <w:b/>
        </w:rPr>
        <w:t>投标文件封面</w:t>
      </w:r>
    </w:p>
    <w:p>
      <w:pPr>
        <w:pStyle w:val="null3"/>
        <w:outlineLvl w:val="0"/>
      </w:pPr>
      <w:r>
        <w:rPr>
          <w:sz w:val="48"/>
          <w:b/>
        </w:rPr>
        <w:t>（项目名称）</w:t>
      </w:r>
    </w:p>
    <w:p>
      <w:pPr>
        <w:pStyle w:val="null3"/>
        <w:jc w:val="center"/>
        <w:outlineLvl w:val="0"/>
      </w:pPr>
      <w:r>
        <w:rPr>
          <w:sz w:val="48"/>
          <w:b/>
        </w:rPr>
        <w:t>投标文件封面</w:t>
      </w:r>
    </w:p>
    <w:p>
      <w:pPr>
        <w:pStyle w:val="null3"/>
        <w:jc w:val="center"/>
        <w:outlineLvl w:val="0"/>
      </w:pPr>
      <w:r>
        <w:rPr>
          <w:sz w:val="48"/>
          <w:b/>
        </w:rPr>
        <w:t>（正本/副本）</w:t>
      </w:r>
      <w:r>
        <w:br/>
      </w:r>
      <w:r>
        <w:br/>
      </w:r>
      <w:r>
        <w:br/>
      </w:r>
      <w:r>
        <w:br/>
      </w:r>
      <w:r>
        <w:br/>
      </w:r>
      <w:r>
        <w:br/>
      </w:r>
      <w:r>
        <w:br/>
      </w:r>
      <w:r>
        <w:br/>
      </w:r>
      <w:r>
        <w:br/>
      </w:r>
      <w:r>
        <w:br/>
      </w:r>
      <w:r>
        <w:br/>
      </w:r>
      <w:r>
        <w:br/>
      </w:r>
      <w:r>
        <w:br/>
      </w:r>
      <w:r>
        <w:br/>
      </w:r>
      <w:r>
        <w:br/>
      </w:r>
      <w:r>
        <w:br/>
      </w:r>
      <w:r>
        <w:br/>
      </w:r>
      <w:r>
        <w:br/>
      </w:r>
      <w:r>
        <w:br/>
      </w:r>
      <w:r>
        <w:br/>
      </w:r>
      <w:r>
        <w:br/>
      </w:r>
    </w:p>
    <w:p>
      <w:pPr>
        <w:pStyle w:val="null3"/>
        <w:jc w:val="center"/>
        <w:outlineLvl w:val="3"/>
      </w:pPr>
      <w:r>
        <w:rPr>
          <w:sz w:val="24"/>
          <w:b/>
        </w:rPr>
        <w:t>采购计划编号：</w:t>
      </w:r>
      <w:r>
        <w:rPr>
          <w:sz w:val="24"/>
          <w:b/>
        </w:rPr>
        <w:t>440101-2026-06155</w:t>
      </w:r>
    </w:p>
    <w:p>
      <w:pPr>
        <w:pStyle w:val="null3"/>
        <w:jc w:val="center"/>
        <w:outlineLvl w:val="3"/>
      </w:pPr>
      <w:r>
        <w:rPr>
          <w:sz w:val="24"/>
          <w:b/>
        </w:rPr>
        <w:t>采购项目编号：</w:t>
      </w:r>
      <w:r>
        <w:rPr>
          <w:sz w:val="24"/>
          <w:b/>
        </w:rPr>
        <w:t>0724-2631Z2892081</w:t>
      </w:r>
    </w:p>
    <w:p>
      <w:pPr>
        <w:pStyle w:val="null3"/>
        <w:jc w:val="center"/>
        <w:outlineLvl w:val="3"/>
      </w:pPr>
      <w:r>
        <w:rPr>
          <w:sz w:val="24"/>
          <w:b/>
        </w:rPr>
        <w:t>所投采购包：第 包</w:t>
      </w:r>
    </w:p>
    <w:p>
      <w:pPr>
        <w:pStyle w:val="null3"/>
        <w:outlineLvl w:val="3"/>
      </w:pPr>
      <w:r>
        <w:rPr>
          <w:sz w:val="24"/>
          <w:b/>
        </w:rPr>
        <w:t>（投标人名称）</w:t>
      </w:r>
    </w:p>
    <w:p>
      <w:pPr>
        <w:pStyle w:val="null3"/>
        <w:jc w:val="center"/>
        <w:outlineLvl w:val="3"/>
      </w:pPr>
      <w:r>
        <w:rPr>
          <w:sz w:val="24"/>
          <w:b/>
        </w:rPr>
        <w:t xml:space="preserve"> 年 月 日</w:t>
      </w:r>
    </w:p>
    <w:p>
      <w:pPr>
        <w:pStyle w:val="null3"/>
        <w:ind w:firstLine="480"/>
      </w:pPr>
      <w:r>
        <w:rPr/>
        <w:t xml:space="preserve">  </w:t>
      </w:r>
    </w:p>
    <w:p>
      <w:pPr>
        <w:pStyle w:val="null3"/>
        <w:jc w:val="center"/>
        <w:outlineLvl w:val="3"/>
      </w:pPr>
      <w:r>
        <w:rPr>
          <w:sz w:val="24"/>
          <w:b/>
        </w:rPr>
        <w:t>投标文件目录</w:t>
      </w:r>
    </w:p>
    <w:p>
      <w:pPr>
        <w:pStyle w:val="null3"/>
        <w:ind w:firstLine="480"/>
      </w:pPr>
      <w:r>
        <w:rPr/>
        <w:t>一、投标函</w:t>
      </w:r>
    </w:p>
    <w:p>
      <w:pPr>
        <w:pStyle w:val="null3"/>
        <w:ind w:firstLine="480"/>
      </w:pPr>
      <w:r>
        <w:rPr/>
        <w:t>二、开标一览表</w:t>
      </w:r>
    </w:p>
    <w:p>
      <w:pPr>
        <w:pStyle w:val="null3"/>
        <w:ind w:firstLine="480"/>
      </w:pPr>
      <w:r>
        <w:rPr/>
        <w:t>三、分项报价表</w:t>
      </w:r>
    </w:p>
    <w:p>
      <w:pPr>
        <w:pStyle w:val="null3"/>
        <w:ind w:firstLine="480"/>
      </w:pPr>
      <w:r>
        <w:rPr/>
        <w:t>四、政策适用性说明</w:t>
      </w:r>
    </w:p>
    <w:p>
      <w:pPr>
        <w:pStyle w:val="null3"/>
        <w:ind w:firstLine="480"/>
      </w:pPr>
      <w:r>
        <w:rPr/>
        <w:t>五、关于符合本国产品标准的声明函等有关证明文件</w:t>
      </w:r>
    </w:p>
    <w:p>
      <w:pPr>
        <w:pStyle w:val="null3"/>
        <w:ind w:firstLine="480"/>
      </w:pPr>
      <w:r>
        <w:rPr/>
        <w:t>六、实质性响应一览表</w:t>
      </w:r>
    </w:p>
    <w:p>
      <w:pPr>
        <w:pStyle w:val="null3"/>
        <w:ind w:firstLine="480"/>
      </w:pPr>
      <w:r>
        <w:rPr/>
        <w:t>七、法定代表人证明书</w:t>
      </w:r>
    </w:p>
    <w:p>
      <w:pPr>
        <w:pStyle w:val="null3"/>
        <w:ind w:firstLine="480"/>
      </w:pPr>
      <w:r>
        <w:rPr/>
        <w:t>八、法定代表人授权书</w:t>
      </w:r>
    </w:p>
    <w:p>
      <w:pPr>
        <w:pStyle w:val="null3"/>
        <w:ind w:firstLine="480"/>
      </w:pPr>
      <w:r>
        <w:rPr/>
        <w:t>九、提供具有独立承担民事责任的能力的证明材料</w:t>
      </w:r>
    </w:p>
    <w:p>
      <w:pPr>
        <w:pStyle w:val="null3"/>
        <w:ind w:firstLine="480"/>
      </w:pPr>
      <w:r>
        <w:rPr/>
        <w:t>十、承诺函</w:t>
      </w:r>
    </w:p>
    <w:p>
      <w:pPr>
        <w:pStyle w:val="null3"/>
        <w:ind w:firstLine="480"/>
      </w:pPr>
      <w:r>
        <w:rPr/>
        <w:t>十一、中小企业声明函</w:t>
      </w:r>
    </w:p>
    <w:p>
      <w:pPr>
        <w:pStyle w:val="null3"/>
        <w:ind w:firstLine="480"/>
      </w:pPr>
      <w:r>
        <w:rPr/>
        <w:t>十二、监狱企业</w:t>
      </w:r>
    </w:p>
    <w:p>
      <w:pPr>
        <w:pStyle w:val="null3"/>
        <w:ind w:firstLine="480"/>
      </w:pPr>
      <w:r>
        <w:rPr/>
        <w:t>十三、残疾人福利性单位声明函</w:t>
      </w:r>
    </w:p>
    <w:p>
      <w:pPr>
        <w:pStyle w:val="null3"/>
        <w:ind w:firstLine="480"/>
      </w:pPr>
      <w:r>
        <w:rPr/>
        <w:t>十四、联合体共同投标协议书</w:t>
      </w:r>
    </w:p>
    <w:p>
      <w:pPr>
        <w:pStyle w:val="null3"/>
        <w:ind w:firstLine="480"/>
      </w:pPr>
      <w:r>
        <w:rPr/>
        <w:t>十五、投标人业绩情况表</w:t>
      </w:r>
    </w:p>
    <w:p>
      <w:pPr>
        <w:pStyle w:val="null3"/>
        <w:ind w:firstLine="480"/>
      </w:pPr>
      <w:r>
        <w:rPr/>
        <w:t>十六、技术和服务要求响应表</w:t>
      </w:r>
    </w:p>
    <w:p>
      <w:pPr>
        <w:pStyle w:val="null3"/>
        <w:ind w:firstLine="480"/>
      </w:pPr>
      <w:r>
        <w:rPr/>
        <w:t>十七、商务条件响应表</w:t>
      </w:r>
    </w:p>
    <w:p>
      <w:pPr>
        <w:pStyle w:val="null3"/>
        <w:ind w:firstLine="480"/>
      </w:pPr>
      <w:r>
        <w:rPr/>
        <w:t>十八、履约进度计划表</w:t>
      </w:r>
    </w:p>
    <w:p>
      <w:pPr>
        <w:pStyle w:val="null3"/>
        <w:ind w:firstLine="480"/>
      </w:pPr>
      <w:r>
        <w:rPr/>
        <w:t>十九、各类证明材料</w:t>
      </w:r>
    </w:p>
    <w:p>
      <w:pPr>
        <w:pStyle w:val="null3"/>
        <w:ind w:firstLine="480"/>
      </w:pPr>
      <w:r>
        <w:rPr/>
        <w:t>二十、采购代理服务费支付承诺书</w:t>
      </w:r>
    </w:p>
    <w:p>
      <w:pPr>
        <w:pStyle w:val="null3"/>
        <w:ind w:firstLine="480"/>
      </w:pPr>
      <w:r>
        <w:rPr/>
        <w:t>二十一、需要采购人提供的附加条件</w:t>
      </w:r>
    </w:p>
    <w:p>
      <w:pPr>
        <w:pStyle w:val="null3"/>
        <w:ind w:firstLine="480"/>
      </w:pPr>
      <w:r>
        <w:rPr/>
        <w:t>二十二、项目实施方案、质量保证及售后服务承诺等</w:t>
      </w:r>
    </w:p>
    <w:p>
      <w:pPr>
        <w:pStyle w:val="null3"/>
        <w:ind w:firstLine="480"/>
      </w:pPr>
      <w:r>
        <w:rPr/>
        <w:t>二十三、附件</w:t>
      </w:r>
    </w:p>
    <w:p>
      <w:pPr>
        <w:pStyle w:val="null3"/>
        <w:ind w:firstLine="480"/>
      </w:pPr>
      <w:r>
        <w:rPr/>
        <w:t>二十四、政府采购履约担保函、采购合同履约保险凭证</w:t>
      </w:r>
    </w:p>
    <w:p>
      <w:pPr>
        <w:pStyle w:val="null3"/>
        <w:ind w:firstLine="480"/>
      </w:pPr>
      <w:r>
        <w:rPr/>
        <w:t xml:space="preserve">  </w:t>
      </w:r>
    </w:p>
    <w:p>
      <w:pPr>
        <w:pStyle w:val="null3"/>
        <w:outlineLvl w:val="2"/>
      </w:pPr>
      <w:r>
        <w:rPr>
          <w:sz w:val="28"/>
          <w:b/>
        </w:rPr>
        <w:t>格式一：</w:t>
      </w:r>
    </w:p>
    <w:p>
      <w:pPr>
        <w:pStyle w:val="null3"/>
        <w:outlineLvl w:val="3"/>
      </w:pPr>
      <w:r>
        <w:rPr>
          <w:sz w:val="24"/>
          <w:b/>
        </w:rPr>
        <w:t>投标函</w:t>
      </w:r>
    </w:p>
    <w:p>
      <w:pPr>
        <w:pStyle w:val="null3"/>
        <w:ind w:firstLine="480"/>
      </w:pPr>
      <w:r>
        <w:rPr/>
        <w:t xml:space="preserve"> 致：</w:t>
      </w:r>
      <w:r>
        <w:rPr>
          <w:u w:val="single"/>
        </w:rPr>
        <w:t>国义招标股份有限公司</w:t>
      </w:r>
    </w:p>
    <w:p>
      <w:pPr>
        <w:pStyle w:val="null3"/>
        <w:ind w:firstLine="480"/>
      </w:pPr>
      <w:r>
        <w:rPr/>
        <w:t xml:space="preserve"> 你方组织的</w:t>
      </w:r>
      <w:r>
        <w:rPr>
          <w:u w:val="single"/>
        </w:rPr>
        <w:t>“</w:t>
      </w:r>
      <w:r>
        <w:rPr>
          <w:u w:val="single"/>
        </w:rPr>
        <w:t>广州市城市管理和综合执法局全市井盖设施管理监督、抽查、应急处置项目</w:t>
      </w:r>
      <w:r>
        <w:rPr>
          <w:u w:val="single"/>
        </w:rPr>
        <w:t>”</w:t>
      </w:r>
      <w:r>
        <w:rPr/>
        <w:t>项目的招标[采购项目编号为：</w:t>
      </w:r>
      <w:r>
        <w:rPr>
          <w:u w:val="single"/>
        </w:rPr>
        <w:t>0724-2631Z2892081</w:t>
      </w:r>
      <w:r>
        <w:rPr/>
        <w:t>]，我方愿参与投标。</w:t>
      </w:r>
    </w:p>
    <w:p>
      <w:pPr>
        <w:pStyle w:val="null3"/>
        <w:ind w:firstLine="480"/>
      </w:pPr>
      <w:r>
        <w:rPr/>
        <w:t>我方确认收到贵方提供的</w:t>
      </w:r>
      <w:r>
        <w:rPr>
          <w:u w:val="single"/>
        </w:rPr>
        <w:t>“</w:t>
      </w:r>
      <w:r>
        <w:rPr>
          <w:u w:val="single"/>
        </w:rPr>
        <w:t>广州市城市管理和综合执法局全市井盖设施管理监督、抽查、应急处置项目</w:t>
      </w:r>
      <w:r>
        <w:rPr>
          <w:u w:val="single"/>
        </w:rPr>
        <w:t>”</w:t>
      </w:r>
      <w:r>
        <w:rPr/>
        <w:t>项目的招标文件的全部内容。</w:t>
      </w:r>
    </w:p>
    <w:p>
      <w:pPr>
        <w:pStyle w:val="null3"/>
        <w:ind w:firstLine="480"/>
      </w:pPr>
      <w:r>
        <w:rPr/>
        <w:t xml:space="preserve"> 我方在参与投标前已详细研究了招标文件的所有内容，包括澄清、修改文件（如果有）和所有已提供的参考资料以及有关附件，我方完全明白并认为此招标文件没有倾向性，也不存在排斥潜在投标人的内容，我方同意招标文件的相关条款，放弃对招标文件提出误解和质疑的一切权利。</w:t>
      </w:r>
    </w:p>
    <w:p>
      <w:pPr>
        <w:pStyle w:val="null3"/>
        <w:ind w:firstLine="480"/>
      </w:pPr>
      <w:r>
        <w:rPr>
          <w:u w:val="single"/>
        </w:rPr>
        <w:t>(投标人名称)</w:t>
      </w:r>
      <w:r>
        <w:rPr/>
        <w:t>作为投标人正式授权</w:t>
      </w:r>
      <w:r>
        <w:rPr>
          <w:u w:val="single"/>
        </w:rPr>
        <w:t>(授权代表全名,职务)</w:t>
      </w:r>
      <w:r>
        <w:rPr/>
        <w:t>代表我方全权处理有关本投标的一切事宜。</w:t>
      </w:r>
    </w:p>
    <w:p>
      <w:pPr>
        <w:pStyle w:val="null3"/>
        <w:ind w:firstLine="480"/>
      </w:pPr>
      <w:r>
        <w:rPr/>
        <w:t>我方已完全明白招标文件的所有条款要求，并申明如下：</w:t>
      </w:r>
    </w:p>
    <w:p>
      <w:pPr>
        <w:pStyle w:val="null3"/>
        <w:ind w:firstLine="480"/>
      </w:pPr>
      <w:r>
        <w:rPr/>
        <w:t xml:space="preserve"> （一）按招标文件提供的全部货物与相关服务的投标总价详见《开标一览表》。</w:t>
      </w:r>
    </w:p>
    <w:p>
      <w:pPr>
        <w:pStyle w:val="null3"/>
        <w:ind w:firstLine="480"/>
      </w:pPr>
      <w:r>
        <w:rPr/>
        <w:t xml:space="preserve"> （二）本投标文件的有效期为</w:t>
      </w:r>
      <w:r>
        <w:rPr/>
        <w:t>从提交投标（响应）文件的截止之日起90日历天</w:t>
      </w:r>
      <w:r>
        <w:rPr/>
        <w:t>。如中标，有效期将延至合同终止日为止。在此提交的资格证明文件均至投标截止日有效，如有在投标有效期内失效的，我方承诺在中标后补齐一切手续，保证所有资格证明文件能在签订采购合同时直至采购合同终止日有效。</w:t>
      </w:r>
    </w:p>
    <w:p>
      <w:pPr>
        <w:pStyle w:val="null3"/>
        <w:ind w:firstLine="480"/>
      </w:pPr>
      <w:r>
        <w:rPr/>
        <w:t xml:space="preserve"> （三）我方愿意向贵方提供任何与本项报价有关的数据、情况和技术资料。若贵方需要，我方愿意提供我方作出的一切承诺的证明材料。</w:t>
      </w:r>
    </w:p>
    <w:p>
      <w:pPr>
        <w:pStyle w:val="null3"/>
        <w:ind w:firstLine="480"/>
      </w:pPr>
      <w:r>
        <w:rPr/>
        <w:t xml:space="preserve"> （四）我方理解贵方不一定接受最低投标价或任何贵方可能收到的投标。</w:t>
      </w:r>
    </w:p>
    <w:p>
      <w:pPr>
        <w:pStyle w:val="null3"/>
        <w:ind w:firstLine="480"/>
      </w:pPr>
      <w:r>
        <w:rPr/>
        <w:t xml:space="preserve"> （五）我方如果中标，将保证履行招标文件及其澄清、修改文件（如果有）中的全部责任和义务，按质、按量、按期完成《采购需求》及《合同书》中的全部任务。</w:t>
      </w:r>
    </w:p>
    <w:p>
      <w:pPr>
        <w:pStyle w:val="null3"/>
        <w:ind w:firstLine="480"/>
      </w:pPr>
      <w:r>
        <w:rPr/>
        <w:t xml:space="preserve"> （六）我方作为法律、财务和运作上独立于采购人、采购代理机构的投标人，在此保证所提交的所有文件和全部说明是真实的和正确的。</w:t>
      </w:r>
    </w:p>
    <w:p>
      <w:pPr>
        <w:pStyle w:val="null3"/>
        <w:ind w:firstLine="480"/>
      </w:pPr>
      <w:r>
        <w:rPr/>
        <w:t xml:space="preserve"> （七）我方投标报价已包含应向知识产权所有权人支付的所有相关税费，并保证采购人在中国使用我方提供的货物或服务时，如有第三方提出侵犯其知识产权主张的，责任由我方承担。</w:t>
      </w:r>
    </w:p>
    <w:p>
      <w:pPr>
        <w:pStyle w:val="null3"/>
        <w:ind w:firstLine="480"/>
      </w:pPr>
      <w:r>
        <w:rPr/>
        <w:t xml:space="preserve"> （八）我方接受采购人委托向贵方支付代理服务费，项目总报价已包含代理服务费，如果被确定为中标供应商，承诺向贵方足额支付。（若采购人支付代理服务费，则此条不适用）</w:t>
      </w:r>
    </w:p>
    <w:p>
      <w:pPr>
        <w:pStyle w:val="null3"/>
        <w:ind w:firstLine="480"/>
      </w:pPr>
      <w:r>
        <w:rPr/>
        <w:t xml:space="preserve"> （九）我方与其他投标人不存在法定代表人或单位负责人为同一人或者存在直接控股、管理关系。</w:t>
      </w:r>
    </w:p>
    <w:p>
      <w:pPr>
        <w:pStyle w:val="null3"/>
        <w:ind w:firstLine="480"/>
      </w:pPr>
      <w:r>
        <w:rPr/>
        <w:t xml:space="preserve"> （十）我方承诺未为本项目提供整体设计、规范编制或者项目管理、监理、检测等服务。</w:t>
      </w:r>
    </w:p>
    <w:p>
      <w:pPr>
        <w:pStyle w:val="null3"/>
        <w:ind w:firstLine="480"/>
      </w:pPr>
      <w:r>
        <w:rPr/>
        <w:t>（十一）我方未被列入法院失信被执行人名单中。</w:t>
      </w:r>
    </w:p>
    <w:p>
      <w:pPr>
        <w:pStyle w:val="null3"/>
        <w:ind w:firstLine="480"/>
      </w:pPr>
      <w:r>
        <w:rPr/>
        <w:t>（十二）我方承诺遵守《中华人民共和国民法典》有关规定和《中华人民共和国妇女权益保障法》中关于“劳动和社会保障权益”的有关要求。</w:t>
      </w:r>
    </w:p>
    <w:p>
      <w:pPr>
        <w:pStyle w:val="null3"/>
        <w:ind w:firstLine="480"/>
      </w:pPr>
      <w:r>
        <w:rPr/>
        <w:t xml:space="preserve"> （十三）我方具备《中华人民共和国政府采购法》第二十二条规定的条件，承诺如下：</w:t>
      </w:r>
    </w:p>
    <w:p>
      <w:pPr>
        <w:pStyle w:val="null3"/>
        <w:ind w:firstLine="480"/>
      </w:pPr>
      <w:r>
        <w:rPr/>
        <w:t xml:space="preserve"> （1）我方参加本项目政府采购活动前3年内在经营活动中没有以下违法记录，或因违法经营被禁止参加政府采购活动的期限已届满：因违法经营受到刑事处罚或者责令停产停业、吊销许可证或者执照、较大数额罚款等行政处罚。</w:t>
      </w:r>
    </w:p>
    <w:p>
      <w:pPr>
        <w:pStyle w:val="null3"/>
        <w:ind w:firstLine="480"/>
      </w:pPr>
      <w:r>
        <w:rPr/>
        <w:t xml:space="preserve"> （2）我方符合法律、行政法规规定的其他条件。</w:t>
      </w:r>
    </w:p>
    <w:p>
      <w:pPr>
        <w:pStyle w:val="null3"/>
        <w:ind w:firstLine="480"/>
      </w:pPr>
      <w:r>
        <w:rPr/>
        <w:t>以上内容如有虚假或与事实不符的，评标委员会可将我方做无效投标处理，我方愿意承担相应的法律责任。</w:t>
      </w:r>
    </w:p>
    <w:p>
      <w:pPr>
        <w:pStyle w:val="null3"/>
        <w:ind w:firstLine="480"/>
      </w:pPr>
      <w:r>
        <w:rPr/>
        <w:t xml:space="preserve"> （十四）我方对在本函及投标文件中所作的所有承诺承担法律责任。</w:t>
      </w:r>
    </w:p>
    <w:p>
      <w:pPr>
        <w:pStyle w:val="null3"/>
        <w:ind w:firstLine="480"/>
      </w:pPr>
      <w:r>
        <w:rPr/>
        <w:t xml:space="preserve"> （十五）所有与本招标有关的函件请发往下列地址：</w:t>
      </w:r>
    </w:p>
    <w:p>
      <w:pPr>
        <w:pStyle w:val="null3"/>
        <w:ind w:firstLine="480"/>
      </w:pPr>
      <w:r>
        <w:rPr/>
        <w:t xml:space="preserve"> 地 址：__________________邮政编码：__________________</w:t>
      </w:r>
    </w:p>
    <w:p>
      <w:pPr>
        <w:pStyle w:val="null3"/>
        <w:ind w:firstLine="480"/>
      </w:pPr>
      <w:r>
        <w:rPr/>
        <w:t xml:space="preserve"> 电 话：__________________</w:t>
      </w:r>
    </w:p>
    <w:p>
      <w:pPr>
        <w:pStyle w:val="null3"/>
        <w:ind w:firstLine="480"/>
      </w:pPr>
      <w:r>
        <w:rPr/>
        <w:t xml:space="preserve"> 传 真：__________________</w:t>
      </w:r>
    </w:p>
    <w:p>
      <w:pPr>
        <w:pStyle w:val="null3"/>
        <w:ind w:firstLine="480"/>
      </w:pPr>
      <w:r>
        <w:rPr/>
        <w:t xml:space="preserve"> 代表姓名：__________________职 务：__________________</w:t>
      </w:r>
    </w:p>
    <w:p>
      <w:pPr>
        <w:pStyle w:val="null3"/>
        <w:ind w:firstLine="480"/>
      </w:pPr>
      <w:r>
        <w:rPr/>
        <w:t xml:space="preserve"> 投标人法定代表人（或法定代表人授权代表）签字或盖章：__________________</w:t>
      </w:r>
    </w:p>
    <w:p>
      <w:pPr>
        <w:pStyle w:val="null3"/>
      </w:pPr>
      <w:r>
        <w:rPr/>
        <w:t xml:space="preserve"> 投标人名称（盖章）：__________________</w:t>
      </w:r>
    </w:p>
    <w:p>
      <w:pPr>
        <w:pStyle w:val="null3"/>
      </w:pPr>
      <w:r>
        <w:rPr/>
        <w:t xml:space="preserve"> 日期： 年 月 日</w:t>
      </w:r>
    </w:p>
    <w:p>
      <w:pPr>
        <w:pStyle w:val="null3"/>
        <w:ind w:firstLine="480"/>
      </w:pPr>
      <w:r>
        <w:rPr/>
        <w:t xml:space="preserve">  </w:t>
      </w:r>
    </w:p>
    <w:p>
      <w:pPr>
        <w:pStyle w:val="null3"/>
        <w:outlineLvl w:val="2"/>
      </w:pPr>
      <w:r>
        <w:rPr>
          <w:sz w:val="28"/>
          <w:b/>
        </w:rPr>
        <w:t>格式二：</w:t>
      </w:r>
    </w:p>
    <w:p>
      <w:pPr>
        <w:pStyle w:val="null3"/>
        <w:jc w:val="center"/>
        <w:outlineLvl w:val="3"/>
      </w:pPr>
      <w:r>
        <w:rPr>
          <w:sz w:val="24"/>
          <w:b/>
        </w:rPr>
        <w:t>开标一览表</w:t>
      </w:r>
    </w:p>
    <w:p>
      <w:pPr>
        <w:pStyle w:val="null3"/>
        <w:ind w:firstLine="480"/>
      </w:pPr>
      <w:r>
        <w:rPr/>
        <w:t xml:space="preserve"> 注：投标供应商应在投标客户端【报价部分】进行填写，投标客户端软件将自动根据供应商填写信息在线生成开标一览表，若在投标文件中出现非系统生成的开标一览表，且与投标客户端生成的开标一览表信息内容不一致，以投标客户端在线填写报价并生成的内容为准。（下列表样仅供参考）</w:t>
      </w:r>
      <w:r>
        <w:br/>
      </w:r>
    </w:p>
    <w:p>
      <w:pPr>
        <w:pStyle w:val="null3"/>
        <w:ind w:firstLine="480"/>
      </w:pPr>
      <w:r>
        <w:rPr/>
        <w:t>采购项目编号：</w:t>
      </w:r>
    </w:p>
    <w:p>
      <w:pPr>
        <w:pStyle w:val="null3"/>
        <w:ind w:firstLine="480"/>
      </w:pPr>
      <w:r>
        <w:rPr/>
        <w:t>项目名称：</w:t>
      </w:r>
    </w:p>
    <w:p>
      <w:pPr>
        <w:pStyle w:val="null3"/>
        <w:ind w:firstLine="480"/>
      </w:pPr>
      <w:r>
        <w:rPr/>
        <w:t>投标人名称：</w:t>
      </w:r>
    </w:p>
    <w:tbl>
      <w:tblPr>
        <w:tblW w:w="0" w:type="auto"/>
        <w:tblBorders>
          <w:top w:val="single"/>
          <w:left w:val="single"/>
          <w:bottom w:val="single"/>
          <w:right w:val="single"/>
          <w:insideH w:val="single"/>
          <w:insideV w:val="single"/>
        </w:tblBorders>
      </w:tblPr>
      <w:tblGrid>
        <w:gridCol w:w="1661"/>
        <w:gridCol w:w="1661"/>
        <w:gridCol w:w="1661"/>
        <w:gridCol w:w="1661"/>
        <w:gridCol w:w="1661"/>
      </w:tblGrid>
      <w:tr>
        <w:tc>
          <w:tcPr>
            <w:tcW w:type="dxa" w:w="1661"/>
          </w:tcPr>
          <w:p>
            <w:pPr>
              <w:pStyle w:val="null3"/>
            </w:pPr>
            <w:r>
              <w:rPr/>
              <w:t xml:space="preserve"> 序号</w:t>
            </w:r>
          </w:p>
        </w:tc>
        <w:tc>
          <w:tcPr>
            <w:tcW w:type="dxa" w:w="1661"/>
          </w:tcPr>
          <w:p>
            <w:pPr>
              <w:pStyle w:val="null3"/>
            </w:pPr>
            <w:r>
              <w:rPr/>
              <w:t xml:space="preserve"> 采购项目名称/采购包名称</w:t>
            </w:r>
          </w:p>
        </w:tc>
        <w:tc>
          <w:tcPr>
            <w:tcW w:type="dxa" w:w="1661"/>
          </w:tcPr>
          <w:p>
            <w:pPr>
              <w:pStyle w:val="null3"/>
            </w:pPr>
            <w:r>
              <w:rPr/>
              <w:t xml:space="preserve"> 投标报价（元/%）</w:t>
            </w:r>
          </w:p>
        </w:tc>
        <w:tc>
          <w:tcPr>
            <w:tcW w:type="dxa" w:w="1661"/>
          </w:tcPr>
          <w:p>
            <w:pPr>
              <w:pStyle w:val="null3"/>
            </w:pPr>
            <w:r>
              <w:rPr/>
              <w:t xml:space="preserve"> 交货或服务期</w:t>
            </w:r>
          </w:p>
        </w:tc>
        <w:tc>
          <w:tcPr>
            <w:tcW w:type="dxa" w:w="1661"/>
          </w:tcPr>
          <w:p>
            <w:pPr>
              <w:pStyle w:val="null3"/>
            </w:pPr>
            <w:r>
              <w:rPr/>
              <w:t xml:space="preserve"> 交货或服务地点</w:t>
            </w:r>
          </w:p>
        </w:tc>
      </w:tr>
      <w:tr>
        <w:tc>
          <w:tcPr>
            <w:tcW w:type="dxa" w:w="1661"/>
          </w:tcPr>
          <w:p>
            <w:pPr>
              <w:pStyle w:val="null3"/>
            </w:pPr>
            <w:r>
              <w:rPr/>
              <w:t xml:space="preserve"> 1</w:t>
            </w:r>
          </w:p>
        </w:tc>
        <w:tc>
          <w:tcPr>
            <w:tcW w:type="dxa" w:w="1661"/>
          </w:tcPr>
          <w:p/>
        </w:tc>
        <w:tc>
          <w:tcPr>
            <w:tcW w:type="dxa" w:w="1661"/>
          </w:tcPr>
          <w:p/>
        </w:tc>
        <w:tc>
          <w:tcPr>
            <w:tcW w:type="dxa" w:w="1661"/>
          </w:tcPr>
          <w:p/>
        </w:tc>
        <w:tc>
          <w:tcPr>
            <w:tcW w:type="dxa" w:w="1661"/>
          </w:tcPr>
          <w:p/>
        </w:tc>
      </w:tr>
    </w:tbl>
    <w:p>
      <w:pPr>
        <w:pStyle w:val="null3"/>
      </w:pPr>
      <w:r>
        <w:rPr/>
        <w:t xml:space="preserve"> 投标人签章：__________________</w:t>
      </w:r>
    </w:p>
    <w:p>
      <w:pPr>
        <w:pStyle w:val="null3"/>
      </w:pPr>
      <w:r>
        <w:rPr/>
        <w:t>日期： 年 月 日</w:t>
      </w:r>
    </w:p>
    <w:p>
      <w:pPr>
        <w:pStyle w:val="null3"/>
        <w:ind w:firstLine="480"/>
      </w:pPr>
      <w:r>
        <w:rPr/>
        <w:t xml:space="preserve">  </w:t>
      </w:r>
    </w:p>
    <w:p>
      <w:pPr>
        <w:pStyle w:val="null3"/>
        <w:outlineLvl w:val="2"/>
      </w:pPr>
      <w:r>
        <w:rPr>
          <w:sz w:val="28"/>
          <w:b/>
        </w:rPr>
        <w:t>格式三：</w:t>
      </w:r>
    </w:p>
    <w:p>
      <w:pPr>
        <w:pStyle w:val="null3"/>
        <w:jc w:val="center"/>
        <w:outlineLvl w:val="3"/>
      </w:pPr>
      <w:r>
        <w:rPr>
          <w:sz w:val="24"/>
          <w:b/>
        </w:rPr>
        <w:t>分项报价表</w:t>
      </w:r>
    </w:p>
    <w:p>
      <w:pPr>
        <w:pStyle w:val="null3"/>
        <w:ind w:firstLine="480"/>
      </w:pPr>
      <w:r>
        <w:rPr/>
        <w:t xml:space="preserve"> 注：投标供应商应在投标客户端【报价部分】进行填写，投标客户端软件将自动根据供应商填写信息在线生成分项报价表，若在投标文件中出现非系统生成的分项报价表，且与投标客户端生成的分项报价表信息内容不一致，以投标客户端在线填写报价并生成的内容为准。（下列表样仅供参考）</w:t>
      </w:r>
      <w:r>
        <w:br/>
      </w:r>
    </w:p>
    <w:p>
      <w:pPr>
        <w:pStyle w:val="null3"/>
        <w:ind w:firstLine="480"/>
      </w:pPr>
      <w:r>
        <w:rPr/>
        <w:t>采购项目编号：</w:t>
      </w:r>
    </w:p>
    <w:p>
      <w:pPr>
        <w:pStyle w:val="null3"/>
        <w:ind w:firstLine="480"/>
      </w:pPr>
      <w:r>
        <w:rPr/>
        <w:t>项目名称：</w:t>
      </w:r>
    </w:p>
    <w:p>
      <w:pPr>
        <w:pStyle w:val="null3"/>
        <w:ind w:firstLine="480"/>
      </w:pPr>
      <w:r>
        <w:rPr/>
        <w:t>投标人名称：</w:t>
      </w:r>
    </w:p>
    <w:p>
      <w:pPr>
        <w:pStyle w:val="null3"/>
        <w:ind w:firstLine="480"/>
      </w:pPr>
      <w:r>
        <w:rPr/>
        <w:t>采购包：</w:t>
      </w:r>
    </w:p>
    <w:p>
      <w:pPr>
        <w:pStyle w:val="null3"/>
      </w:pPr>
      <w:r>
        <w:rPr/>
        <w:t xml:space="preserve"> 货币及单位：人民币/元</w:t>
      </w:r>
    </w:p>
    <w:tbl>
      <w:tblPr>
        <w:tblW w:w="0" w:type="auto"/>
        <w:tblBorders>
          <w:top w:val="single"/>
          <w:left w:val="single"/>
          <w:bottom w:val="single"/>
          <w:right w:val="single"/>
          <w:insideH w:val="single"/>
          <w:insideV w:val="single"/>
        </w:tblBorders>
      </w:tblPr>
      <w:tblGrid>
        <w:gridCol w:w="831"/>
        <w:gridCol w:w="831"/>
        <w:gridCol w:w="831"/>
        <w:gridCol w:w="831"/>
        <w:gridCol w:w="831"/>
        <w:gridCol w:w="831"/>
        <w:gridCol w:w="831"/>
        <w:gridCol w:w="831"/>
        <w:gridCol w:w="831"/>
        <w:gridCol w:w="831"/>
      </w:tblGrid>
      <w:tr>
        <w:tc>
          <w:tcPr>
            <w:tcW w:type="dxa" w:w="831"/>
          </w:tcPr>
          <w:p>
            <w:pPr>
              <w:pStyle w:val="null3"/>
            </w:pPr>
            <w:r>
              <w:rPr/>
              <w:t xml:space="preserve"> 品目号</w:t>
            </w:r>
          </w:p>
        </w:tc>
        <w:tc>
          <w:tcPr>
            <w:tcW w:type="dxa" w:w="831"/>
          </w:tcPr>
          <w:p>
            <w:pPr>
              <w:pStyle w:val="null3"/>
            </w:pPr>
            <w:r>
              <w:rPr/>
              <w:t xml:space="preserve"> 序号</w:t>
            </w:r>
          </w:p>
        </w:tc>
        <w:tc>
          <w:tcPr>
            <w:tcW w:type="dxa" w:w="831"/>
          </w:tcPr>
          <w:p>
            <w:pPr>
              <w:pStyle w:val="null3"/>
            </w:pPr>
            <w:r>
              <w:rPr/>
              <w:t xml:space="preserve"> 货物名称</w:t>
            </w:r>
          </w:p>
        </w:tc>
        <w:tc>
          <w:tcPr>
            <w:tcW w:type="dxa" w:w="831"/>
          </w:tcPr>
          <w:p>
            <w:pPr>
              <w:pStyle w:val="null3"/>
            </w:pPr>
            <w:r>
              <w:rPr/>
              <w:t xml:space="preserve"> 规格型号</w:t>
            </w:r>
          </w:p>
        </w:tc>
        <w:tc>
          <w:tcPr>
            <w:tcW w:type="dxa" w:w="831"/>
          </w:tcPr>
          <w:p>
            <w:pPr>
              <w:pStyle w:val="null3"/>
            </w:pPr>
            <w:r>
              <w:rPr/>
              <w:t xml:space="preserve"> 品牌</w:t>
            </w:r>
          </w:p>
        </w:tc>
        <w:tc>
          <w:tcPr>
            <w:tcW w:type="dxa" w:w="831"/>
          </w:tcPr>
          <w:p>
            <w:pPr>
              <w:pStyle w:val="null3"/>
            </w:pPr>
            <w:r>
              <w:rPr/>
              <w:t xml:space="preserve"> 产地</w:t>
            </w:r>
          </w:p>
        </w:tc>
        <w:tc>
          <w:tcPr>
            <w:tcW w:type="dxa" w:w="831"/>
          </w:tcPr>
          <w:p>
            <w:pPr>
              <w:pStyle w:val="null3"/>
            </w:pPr>
            <w:r>
              <w:rPr/>
              <w:t xml:space="preserve"> 制造商名称</w:t>
            </w:r>
          </w:p>
        </w:tc>
        <w:tc>
          <w:tcPr>
            <w:tcW w:type="dxa" w:w="831"/>
          </w:tcPr>
          <w:p>
            <w:pPr>
              <w:pStyle w:val="null3"/>
            </w:pPr>
            <w:r>
              <w:rPr/>
              <w:t xml:space="preserve"> 单价</w:t>
            </w:r>
          </w:p>
        </w:tc>
        <w:tc>
          <w:tcPr>
            <w:tcW w:type="dxa" w:w="831"/>
          </w:tcPr>
          <w:p>
            <w:pPr>
              <w:pStyle w:val="null3"/>
            </w:pPr>
            <w:r>
              <w:rPr/>
              <w:t xml:space="preserve"> 数量</w:t>
            </w:r>
          </w:p>
        </w:tc>
        <w:tc>
          <w:tcPr>
            <w:tcW w:type="dxa" w:w="831"/>
          </w:tcPr>
          <w:p>
            <w:pPr>
              <w:pStyle w:val="null3"/>
            </w:pPr>
            <w:r>
              <w:rPr/>
              <w:t xml:space="preserve"> 总价</w:t>
            </w:r>
          </w:p>
        </w:tc>
      </w:tr>
      <w:tr>
        <w:tc>
          <w:tcPr>
            <w:tcW w:type="dxa" w:w="831"/>
          </w:tcPr>
          <w:p>
            <w:pPr>
              <w:pStyle w:val="null3"/>
            </w:pPr>
            <w:r>
              <w:rPr/>
              <w:t xml:space="preserve"> 1</w:t>
            </w: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r>
    </w:tbl>
    <w:p>
      <w:pPr>
        <w:pStyle w:val="null3"/>
      </w:pPr>
      <w:r>
        <w:br/>
      </w:r>
    </w:p>
    <w:tbl>
      <w:tblPr>
        <w:tblW w:w="0" w:type="auto"/>
        <w:tblBorders>
          <w:top w:val="single"/>
          <w:left w:val="single"/>
          <w:bottom w:val="single"/>
          <w:right w:val="single"/>
          <w:insideH w:val="single"/>
          <w:insideV w:val="single"/>
        </w:tblBorders>
      </w:tblPr>
      <w:tblGrid>
        <w:gridCol w:w="831"/>
        <w:gridCol w:w="831"/>
        <w:gridCol w:w="831"/>
        <w:gridCol w:w="831"/>
        <w:gridCol w:w="831"/>
        <w:gridCol w:w="831"/>
        <w:gridCol w:w="831"/>
        <w:gridCol w:w="831"/>
        <w:gridCol w:w="831"/>
        <w:gridCol w:w="831"/>
      </w:tblGrid>
      <w:tr>
        <w:tc>
          <w:tcPr>
            <w:tcW w:type="dxa" w:w="831"/>
          </w:tcPr>
          <w:p>
            <w:pPr>
              <w:pStyle w:val="null3"/>
            </w:pPr>
            <w:r>
              <w:rPr/>
              <w:t xml:space="preserve"> 品目号</w:t>
            </w:r>
          </w:p>
        </w:tc>
        <w:tc>
          <w:tcPr>
            <w:tcW w:type="dxa" w:w="831"/>
          </w:tcPr>
          <w:p>
            <w:pPr>
              <w:pStyle w:val="null3"/>
            </w:pPr>
            <w:r>
              <w:rPr/>
              <w:t xml:space="preserve"> 序号</w:t>
            </w:r>
          </w:p>
        </w:tc>
        <w:tc>
          <w:tcPr>
            <w:tcW w:type="dxa" w:w="831"/>
          </w:tcPr>
          <w:p>
            <w:pPr>
              <w:pStyle w:val="null3"/>
            </w:pPr>
            <w:r>
              <w:rPr/>
              <w:t xml:space="preserve"> 服务名称</w:t>
            </w:r>
          </w:p>
        </w:tc>
        <w:tc>
          <w:tcPr>
            <w:tcW w:type="dxa" w:w="831"/>
          </w:tcPr>
          <w:p>
            <w:pPr>
              <w:pStyle w:val="null3"/>
            </w:pPr>
            <w:r>
              <w:rPr/>
              <w:t xml:space="preserve"> 服务范围</w:t>
            </w:r>
          </w:p>
        </w:tc>
        <w:tc>
          <w:tcPr>
            <w:tcW w:type="dxa" w:w="831"/>
          </w:tcPr>
          <w:p>
            <w:pPr>
              <w:pStyle w:val="null3"/>
            </w:pPr>
            <w:r>
              <w:rPr/>
              <w:t xml:space="preserve"> 服务要求</w:t>
            </w:r>
          </w:p>
        </w:tc>
        <w:tc>
          <w:tcPr>
            <w:tcW w:type="dxa" w:w="831"/>
          </w:tcPr>
          <w:p>
            <w:pPr>
              <w:pStyle w:val="null3"/>
            </w:pPr>
            <w:r>
              <w:rPr/>
              <w:t xml:space="preserve"> 服务时间</w:t>
            </w:r>
          </w:p>
        </w:tc>
        <w:tc>
          <w:tcPr>
            <w:tcW w:type="dxa" w:w="831"/>
          </w:tcPr>
          <w:p>
            <w:pPr>
              <w:pStyle w:val="null3"/>
            </w:pPr>
            <w:r>
              <w:rPr/>
              <w:t xml:space="preserve"> 服务标准</w:t>
            </w:r>
          </w:p>
        </w:tc>
        <w:tc>
          <w:tcPr>
            <w:tcW w:type="dxa" w:w="831"/>
          </w:tcPr>
          <w:p>
            <w:pPr>
              <w:pStyle w:val="null3"/>
            </w:pPr>
            <w:r>
              <w:rPr/>
              <w:t xml:space="preserve"> 单价</w:t>
            </w:r>
          </w:p>
        </w:tc>
        <w:tc>
          <w:tcPr>
            <w:tcW w:type="dxa" w:w="831"/>
          </w:tcPr>
          <w:p>
            <w:pPr>
              <w:pStyle w:val="null3"/>
            </w:pPr>
            <w:r>
              <w:rPr/>
              <w:t xml:space="preserve"> 数量</w:t>
            </w:r>
          </w:p>
        </w:tc>
        <w:tc>
          <w:tcPr>
            <w:tcW w:type="dxa" w:w="831"/>
          </w:tcPr>
          <w:p>
            <w:pPr>
              <w:pStyle w:val="null3"/>
            </w:pPr>
            <w:r>
              <w:rPr/>
              <w:t xml:space="preserve"> 总价</w:t>
            </w:r>
          </w:p>
        </w:tc>
      </w:tr>
      <w:tr>
        <w:tc>
          <w:tcPr>
            <w:tcW w:type="dxa" w:w="831"/>
          </w:tcPr>
          <w:p>
            <w:pPr>
              <w:pStyle w:val="null3"/>
            </w:pPr>
            <w:r>
              <w:rPr/>
              <w:t xml:space="preserve"> 1</w:t>
            </w: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r>
    </w:tbl>
    <w:p>
      <w:pPr>
        <w:pStyle w:val="null3"/>
      </w:pPr>
      <w:r>
        <w:rPr/>
        <w:t xml:space="preserve"> 投标人签章：__________________</w:t>
      </w:r>
    </w:p>
    <w:p>
      <w:pPr>
        <w:pStyle w:val="null3"/>
      </w:pPr>
      <w:r>
        <w:rPr/>
        <w:t>日期： 年 月 日</w:t>
      </w:r>
    </w:p>
    <w:p>
      <w:pPr>
        <w:pStyle w:val="null3"/>
        <w:ind w:firstLine="480"/>
      </w:pPr>
      <w:r>
        <w:rPr/>
        <w:t xml:space="preserve">  </w:t>
      </w:r>
    </w:p>
    <w:p>
      <w:pPr>
        <w:pStyle w:val="null3"/>
        <w:outlineLvl w:val="2"/>
      </w:pPr>
      <w:r>
        <w:rPr>
          <w:sz w:val="28"/>
          <w:b/>
        </w:rPr>
        <w:t>格式四：</w:t>
      </w:r>
    </w:p>
    <w:p>
      <w:pPr>
        <w:pStyle w:val="null3"/>
        <w:jc w:val="center"/>
        <w:outlineLvl w:val="3"/>
      </w:pPr>
      <w:r>
        <w:rPr>
          <w:sz w:val="24"/>
          <w:b/>
        </w:rPr>
        <w:t>政策适用性说明</w:t>
      </w:r>
    </w:p>
    <w:p>
      <w:pPr>
        <w:pStyle w:val="null3"/>
        <w:ind w:firstLine="480"/>
      </w:pPr>
      <w:r>
        <w:rPr/>
        <w:t>按照政府采购有关政策的要求，在本次的技术方案中，采用符合政策的小型或微型企业产品、节能产品、环境标志产品，主要产品与核心技术介绍说明如下：</w:t>
      </w:r>
    </w:p>
    <w:tbl>
      <w:tblPr>
        <w:tblW w:w="0" w:type="auto"/>
        <w:tblBorders>
          <w:top w:val="single"/>
          <w:left w:val="single"/>
          <w:bottom w:val="single"/>
          <w:right w:val="single"/>
          <w:insideH w:val="single"/>
          <w:insideV w:val="single"/>
        </w:tblBorders>
      </w:tblPr>
      <w:tblGrid>
        <w:gridCol w:w="1038"/>
        <w:gridCol w:w="1038"/>
        <w:gridCol w:w="1038"/>
        <w:gridCol w:w="1038"/>
        <w:gridCol w:w="1038"/>
        <w:gridCol w:w="1038"/>
        <w:gridCol w:w="1038"/>
        <w:gridCol w:w="1038"/>
      </w:tblGrid>
      <w:tr>
        <w:tc>
          <w:tcPr>
            <w:tcW w:type="dxa" w:w="1038"/>
          </w:tcPr>
          <w:p>
            <w:pPr>
              <w:pStyle w:val="null3"/>
            </w:pPr>
            <w:r>
              <w:rPr/>
              <w:t xml:space="preserve"> 序号</w:t>
            </w:r>
          </w:p>
        </w:tc>
        <w:tc>
          <w:tcPr>
            <w:tcW w:type="dxa" w:w="1038"/>
          </w:tcPr>
          <w:p>
            <w:pPr>
              <w:pStyle w:val="null3"/>
            </w:pPr>
            <w:r>
              <w:rPr/>
              <w:t xml:space="preserve"> 主要产品/技术名称（规格型号、注册商标）</w:t>
            </w:r>
          </w:p>
        </w:tc>
        <w:tc>
          <w:tcPr>
            <w:tcW w:type="dxa" w:w="1038"/>
          </w:tcPr>
          <w:p>
            <w:pPr>
              <w:pStyle w:val="null3"/>
            </w:pPr>
            <w:r>
              <w:rPr/>
              <w:t xml:space="preserve"> 制造商(开发商)</w:t>
            </w:r>
          </w:p>
        </w:tc>
        <w:tc>
          <w:tcPr>
            <w:tcW w:type="dxa" w:w="1038"/>
          </w:tcPr>
          <w:p>
            <w:pPr>
              <w:pStyle w:val="null3"/>
            </w:pPr>
            <w:r>
              <w:rPr/>
              <w:t xml:space="preserve"> 制造商企业类型</w:t>
            </w:r>
          </w:p>
        </w:tc>
        <w:tc>
          <w:tcPr>
            <w:tcW w:type="dxa" w:w="1038"/>
          </w:tcPr>
          <w:p>
            <w:pPr>
              <w:pStyle w:val="null3"/>
            </w:pPr>
            <w:r>
              <w:rPr/>
              <w:t xml:space="preserve"> 节能产品</w:t>
            </w:r>
          </w:p>
        </w:tc>
        <w:tc>
          <w:tcPr>
            <w:tcW w:type="dxa" w:w="1038"/>
          </w:tcPr>
          <w:p>
            <w:pPr>
              <w:pStyle w:val="null3"/>
            </w:pPr>
            <w:r>
              <w:rPr/>
              <w:t xml:space="preserve"> 环境标志产品</w:t>
            </w:r>
          </w:p>
        </w:tc>
        <w:tc>
          <w:tcPr>
            <w:tcW w:type="dxa" w:w="1038"/>
          </w:tcPr>
          <w:p>
            <w:pPr>
              <w:pStyle w:val="null3"/>
            </w:pPr>
            <w:r>
              <w:rPr/>
              <w:t xml:space="preserve"> 认证证书编号</w:t>
            </w:r>
          </w:p>
        </w:tc>
        <w:tc>
          <w:tcPr>
            <w:tcW w:type="dxa" w:w="1038"/>
          </w:tcPr>
          <w:p>
            <w:pPr>
              <w:pStyle w:val="null3"/>
            </w:pPr>
            <w:r>
              <w:rPr/>
              <w:t xml:space="preserve"> 该产品报价在总报价中占比（%）</w:t>
            </w:r>
          </w:p>
        </w:tc>
      </w:tr>
      <w:tr>
        <w:tc>
          <w:tcPr>
            <w:tcW w:type="dxa" w:w="1038"/>
          </w:tcPr>
          <w:p>
            <w:pPr>
              <w:pStyle w:val="null3"/>
            </w:pPr>
            <w:r>
              <w:rPr/>
              <w:t xml:space="preserve"> 1</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pPr>
            <w:r>
              <w:rPr/>
              <w:t xml:space="preserve"> 2</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pPr>
            <w:r>
              <w:rPr/>
              <w:t xml:space="preserve"> 3</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pPr>
            <w:r>
              <w:rPr/>
              <w:t xml:space="preserve"> 4</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pPr>
            <w:r>
              <w:rPr/>
              <w:t xml:space="preserve"> 5</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pPr>
            <w:r>
              <w:rPr/>
              <w:t xml:space="preserve"> ...</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bl>
    <w:p>
      <w:pPr>
        <w:pStyle w:val="null3"/>
        <w:ind w:firstLine="480"/>
      </w:pPr>
      <w:r>
        <w:rPr/>
        <w:t>注：1.制造商为小型或微型企业时才需要填“制造商企业类型”栏,填写内容为“小型”或“微型”；</w:t>
      </w:r>
    </w:p>
    <w:p>
      <w:pPr>
        <w:pStyle w:val="null3"/>
        <w:ind w:firstLine="480"/>
      </w:pPr>
      <w:r>
        <w:rPr/>
        <w:t>2.“节能产品、环境标志产品”须填写认证证书编号，并在对应“节能产品”、“环境标志产品”栏中勾选，同时提供有效期内的证书复印件（加盖投标人公章）</w:t>
      </w:r>
    </w:p>
    <w:p>
      <w:pPr>
        <w:pStyle w:val="null3"/>
      </w:pPr>
      <w:r>
        <w:rPr/>
        <w:t xml:space="preserve"> 投标人名称（盖章）：__________________</w:t>
      </w:r>
    </w:p>
    <w:p>
      <w:pPr>
        <w:pStyle w:val="null3"/>
      </w:pPr>
      <w:r>
        <w:rPr/>
        <w:t>日期： 年 月 日</w:t>
      </w:r>
    </w:p>
    <w:p>
      <w:pPr>
        <w:pStyle w:val="null3"/>
        <w:ind w:firstLine="480"/>
      </w:pPr>
      <w:r>
        <w:rPr/>
        <w:t xml:space="preserve">  </w:t>
      </w:r>
    </w:p>
    <w:p>
      <w:pPr>
        <w:pStyle w:val="null3"/>
        <w:outlineLvl w:val="2"/>
      </w:pPr>
      <w:r>
        <w:rPr>
          <w:sz w:val="28"/>
          <w:b/>
        </w:rPr>
        <w:t>格式五：关于符合本国产品标准的声明函等有关证明文件（如适用）</w:t>
      </w:r>
    </w:p>
    <w:p>
      <w:pPr>
        <w:pStyle w:val="null3"/>
        <w:ind w:firstLine="480"/>
      </w:pPr>
      <w:r>
        <w:rPr>
          <w:b/>
        </w:rPr>
        <w:t>注：</w:t>
      </w:r>
    </w:p>
    <w:p>
      <w:pPr>
        <w:pStyle w:val="null3"/>
        <w:spacing w:before="120" w:after="120"/>
        <w:ind w:firstLine="960"/>
      </w:pPr>
      <w:r>
        <w:rPr/>
        <w:t>1. 供应商提供本国产品应符合《国务院办公厅关于在政府采购中实施本国产品标准及相关政策的通知》（国办发〔2025〕34号），在投标文件中出具《关于符合本国产品标准的声明函》或财政部会同有关部门规定的有关证明文件；当采购项目或者采购包中含有多种产品的，供应商还应当提供《关于本国产品比例的声明函》。</w:t>
      </w:r>
    </w:p>
    <w:p>
      <w:pPr>
        <w:pStyle w:val="null3"/>
        <w:spacing w:before="120" w:after="120"/>
        <w:ind w:firstLine="960"/>
      </w:pPr>
      <w:r>
        <w:rPr/>
        <w:t>2. 供应商提供虚假《声明函》、虚假证明文件谋取中标、成交的，依照政府采购法律法规规定追究相应责任。</w:t>
      </w:r>
    </w:p>
    <w:p>
      <w:pPr>
        <w:pStyle w:val="null3"/>
        <w:ind w:firstLine="480"/>
      </w:pPr>
      <w:r>
        <w:rPr>
          <w:b/>
        </w:rPr>
        <w:t xml:space="preserve"> 温馨提示：评审委员会应对《关于符合本国产品标准的声明函》的完整性、准确性进行审查，评审中发现《关于符合本国产品标准的声明函》内容含义不明确、同类事项与投标（响应）文件表述不一致或者有明显文字错误等情况的，应当以书面形式要求供应商作出必要的澄清、说明或者补正。经澄清、说明或者补正后的《关于符合本国产品标准的声明函》仍然不符合规定要求的，供应商提供的相关产品视为不符合本国产品标准。</w:t>
      </w:r>
    </w:p>
    <w:p>
      <w:pPr>
        <w:pStyle w:val="null3"/>
      </w:pPr>
      <w:r>
        <w:rPr>
          <w:sz w:val="28"/>
          <w:b/>
        </w:rPr>
        <w:t>附件1</w:t>
      </w:r>
    </w:p>
    <w:p>
      <w:pPr>
        <w:pStyle w:val="null3"/>
        <w:spacing w:before="120" w:after="240"/>
        <w:jc w:val="center"/>
        <w:outlineLvl w:val="3"/>
      </w:pPr>
      <w:r>
        <w:rPr>
          <w:sz w:val="24"/>
          <w:b/>
        </w:rPr>
        <w:t>中国境内生产的组件成本核算基本规则</w:t>
      </w:r>
    </w:p>
    <w:p>
      <w:pPr>
        <w:pStyle w:val="null3"/>
        <w:ind w:firstLine="480"/>
      </w:pPr>
      <w:r>
        <w:rPr/>
        <w:t>产品在中国境内生产的组件成本，一般按照其二级组件的相关成本进行核算。按照产品的一级组件进行成本核算能够满足中国境内生产的组件成本判定需求的，可以按照一级组件的相关成本进行核算。</w:t>
      </w:r>
    </w:p>
    <w:p>
      <w:pPr>
        <w:pStyle w:val="null3"/>
        <w:spacing w:before="120" w:after="120"/>
        <w:ind w:firstLine="480"/>
      </w:pPr>
      <w:r>
        <w:rPr/>
        <w:t>1. 产品的一级组件是指直接组成产品的组件。产品的二级组件是指直接组成产品一级组件的组件。一级组件不可分解的，视同二级组件。</w:t>
      </w:r>
    </w:p>
    <w:p>
      <w:pPr>
        <w:pStyle w:val="null3"/>
        <w:spacing w:before="120" w:after="120"/>
        <w:ind w:firstLine="480"/>
      </w:pPr>
      <w:r>
        <w:rPr/>
        <w:t>2. 二级组件在中国境内生产的，其全部成本计入中国境内生产的组件成本；二级组件不在中国境内生产的，其成本不计入中国境内生产的组件成本。</w:t>
      </w:r>
    </w:p>
    <w:p>
      <w:pPr>
        <w:pStyle w:val="null3"/>
        <w:spacing w:before="120" w:after="120"/>
        <w:ind w:firstLine="480"/>
      </w:pPr>
      <w:r>
        <w:rPr/>
        <w:t>3. 产品总成本和组件成本以相关会计核算数据、采购合同、进货记录等为基础进行计算。</w:t>
      </w:r>
    </w:p>
    <w:p>
      <w:pPr>
        <w:pStyle w:val="null3"/>
        <w:spacing w:before="120" w:after="120"/>
        <w:ind w:firstLine="480"/>
      </w:pPr>
      <w:r>
        <w:rPr/>
        <w:t>4. 需要对成本核算规则予以进一步明确的其他有关事项，由财政部会同有关部门另行规定。</w:t>
      </w:r>
    </w:p>
    <w:p>
      <w:pPr>
        <w:pStyle w:val="null3"/>
      </w:pPr>
      <w:r>
        <w:rPr>
          <w:sz w:val="28"/>
          <w:b/>
        </w:rPr>
        <w:t>附件2</w:t>
      </w:r>
    </w:p>
    <w:p>
      <w:pPr>
        <w:pStyle w:val="null3"/>
        <w:spacing w:before="120" w:after="240"/>
        <w:jc w:val="center"/>
        <w:outlineLvl w:val="3"/>
      </w:pPr>
      <w:r>
        <w:rPr>
          <w:sz w:val="24"/>
          <w:b/>
        </w:rPr>
        <w:t>关于符合本国产品标准的声明函</w:t>
      </w:r>
    </w:p>
    <w:p>
      <w:pPr>
        <w:pStyle w:val="null3"/>
        <w:ind w:firstLine="480"/>
      </w:pPr>
      <w:r>
        <w:rPr/>
        <w:t>本公司（单位）郑重声明，根据《国务院办公厅关于在政府采购中实施本国产品标准及相关政策的通知》（国办发〔2025〕34号）的规定，本公司（单位）提供的以下产品属于本国产品。具体情况如下：</w:t>
      </w:r>
    </w:p>
    <w:p>
      <w:pPr>
        <w:pStyle w:val="null3"/>
        <w:spacing w:before="240" w:after="240"/>
        <w:ind w:firstLine="960"/>
      </w:pPr>
      <w:r>
        <w:rPr/>
        <w:t xml:space="preserve"> 1. </w:t>
      </w:r>
      <w:r>
        <w:rPr>
          <w:u w:val="single"/>
        </w:rPr>
        <w:t>（产品名称1）</w:t>
      </w:r>
      <w:r>
        <w:rPr/>
        <w:t>，生产厂为</w:t>
      </w:r>
      <w:r>
        <w:rPr>
          <w:u w:val="single"/>
        </w:rPr>
        <w:t>（厂名）</w:t>
      </w:r>
      <w:r>
        <w:rPr/>
        <w:t>，厂址为</w:t>
      </w:r>
      <w:r>
        <w:rPr>
          <w:u w:val="single"/>
        </w:rPr>
        <w:t>（生产厂址）</w:t>
      </w:r>
      <w:r>
        <w:rPr/>
        <w:t xml:space="preserve">。 </w:t>
      </w:r>
      <w:r>
        <w:rPr>
          <w:u w:val="single"/>
        </w:rPr>
        <w:t>（产品名称1）</w:t>
      </w:r>
      <w:r>
        <w:rPr/>
        <w:t>的中国境内生产的组件成本占比≥</w:t>
      </w:r>
      <w:r>
        <w:rPr>
          <w:u w:val="single"/>
        </w:rPr>
        <w:t>（规定比例）</w:t>
      </w:r>
      <w:r>
        <w:rPr/>
        <w:t xml:space="preserve">。 </w:t>
      </w:r>
      <w:r>
        <w:rPr>
          <w:u w:val="single"/>
        </w:rPr>
        <w:t>（产品名称1）</w:t>
      </w:r>
      <w:r>
        <w:rPr/>
        <w:t>的</w:t>
      </w:r>
      <w:r>
        <w:rPr>
          <w:u w:val="single"/>
        </w:rPr>
        <w:t>（关键组件）</w:t>
      </w:r>
      <w:r>
        <w:rPr/>
        <w:t xml:space="preserve">在中国境内生产。 </w:t>
      </w:r>
      <w:r>
        <w:rPr>
          <w:u w:val="single"/>
        </w:rPr>
        <w:t>（产品名称1）</w:t>
      </w:r>
      <w:r>
        <w:rPr/>
        <w:t>的</w:t>
      </w:r>
      <w:r>
        <w:rPr>
          <w:u w:val="single"/>
        </w:rPr>
        <w:t>（关键工序）</w:t>
      </w:r>
      <w:r>
        <w:rPr/>
        <w:t>在中国境内完成。</w:t>
      </w:r>
    </w:p>
    <w:p>
      <w:pPr>
        <w:pStyle w:val="null3"/>
        <w:spacing w:before="240" w:after="240"/>
        <w:ind w:firstLine="960"/>
      </w:pPr>
      <w:r>
        <w:rPr/>
        <w:t xml:space="preserve"> 2. </w:t>
      </w:r>
      <w:r>
        <w:rPr>
          <w:u w:val="single"/>
        </w:rPr>
        <w:t>（产品名称2）</w:t>
      </w:r>
      <w:r>
        <w:rPr/>
        <w:t>，生产厂为</w:t>
      </w:r>
      <w:r>
        <w:rPr>
          <w:u w:val="single"/>
        </w:rPr>
        <w:t>（厂名）</w:t>
      </w:r>
      <w:r>
        <w:rPr/>
        <w:t>，厂址为</w:t>
      </w:r>
      <w:r>
        <w:rPr>
          <w:u w:val="single"/>
        </w:rPr>
        <w:t>（生产厂址）</w:t>
      </w:r>
      <w:r>
        <w:rPr/>
        <w:t xml:space="preserve">。 </w:t>
      </w:r>
      <w:r>
        <w:rPr>
          <w:u w:val="single"/>
        </w:rPr>
        <w:t>（产品名称2）</w:t>
      </w:r>
      <w:r>
        <w:rPr/>
        <w:t>的中国境内生产的组件成本占比≥</w:t>
      </w:r>
      <w:r>
        <w:rPr>
          <w:u w:val="single"/>
        </w:rPr>
        <w:t>（规定比例）</w:t>
      </w:r>
      <w:r>
        <w:rPr/>
        <w:t xml:space="preserve">。 </w:t>
      </w:r>
      <w:r>
        <w:rPr>
          <w:u w:val="single"/>
        </w:rPr>
        <w:t>（产品名称2）</w:t>
      </w:r>
      <w:r>
        <w:rPr/>
        <w:t>的</w:t>
      </w:r>
      <w:r>
        <w:rPr>
          <w:u w:val="single"/>
        </w:rPr>
        <w:t>（关键组件）</w:t>
      </w:r>
      <w:r>
        <w:rPr/>
        <w:t xml:space="preserve">在中国境内生产。 </w:t>
      </w:r>
      <w:r>
        <w:rPr>
          <w:u w:val="single"/>
        </w:rPr>
        <w:t>（产品名称2）</w:t>
      </w:r>
      <w:r>
        <w:rPr/>
        <w:t>的</w:t>
      </w:r>
      <w:r>
        <w:rPr>
          <w:u w:val="single"/>
        </w:rPr>
        <w:t>（关键工序）</w:t>
      </w:r>
      <w:r>
        <w:rPr/>
        <w:t>在中国境内完成。</w:t>
      </w:r>
    </w:p>
    <w:p>
      <w:pPr>
        <w:pStyle w:val="null3"/>
        <w:spacing w:before="240" w:after="240"/>
        <w:ind w:firstLine="960"/>
      </w:pPr>
      <w:r>
        <w:rPr/>
        <w:t>3. ……</w:t>
      </w:r>
    </w:p>
    <w:p>
      <w:pPr>
        <w:pStyle w:val="null3"/>
        <w:ind w:firstLine="480"/>
      </w:pPr>
      <w:r>
        <w:rPr/>
        <w:t>本公司（单位）对上述声明内容的真实性负责。如有虚假，愿承担相应法律责任。</w:t>
      </w:r>
    </w:p>
    <w:p>
      <w:pPr>
        <w:pStyle w:val="null3"/>
        <w:spacing w:before="720"/>
        <w:jc w:val="right"/>
      </w:pPr>
      <w:r>
        <w:rPr>
          <w:b/>
        </w:rPr>
        <w:t>公司（单位）名称（盖章）：</w:t>
      </w:r>
      <w:r>
        <w:rPr/>
        <w:t xml:space="preserve"> __________________</w:t>
      </w:r>
    </w:p>
    <w:p>
      <w:pPr>
        <w:pStyle w:val="null3"/>
        <w:jc w:val="right"/>
      </w:pPr>
      <w:r>
        <w:rPr>
          <w:b/>
        </w:rPr>
        <w:t>日期：</w:t>
      </w:r>
      <w:r>
        <w:rPr/>
        <w:t xml:space="preserve"> ______ 年 ______ 月 ______ 日</w:t>
      </w:r>
    </w:p>
    <w:p>
      <w:pPr>
        <w:pStyle w:val="null3"/>
        <w:ind w:firstLine="480"/>
      </w:pPr>
      <w:r>
        <w:rPr>
          <w:b/>
        </w:rPr>
        <w:t>注：</w:t>
      </w:r>
    </w:p>
    <w:p>
      <w:pPr>
        <w:pStyle w:val="null3"/>
        <w:spacing w:before="120" w:after="120"/>
        <w:ind w:firstLine="960"/>
      </w:pPr>
      <w:r>
        <w:rPr/>
        <w:t>1. 产品如有型号，请在“产品名称”栏一并填写。</w:t>
      </w:r>
    </w:p>
    <w:p>
      <w:pPr>
        <w:pStyle w:val="null3"/>
        <w:spacing w:before="120" w:after="120"/>
        <w:ind w:firstLine="960"/>
      </w:pPr>
      <w:r>
        <w:rPr/>
        <w:t>2. 生产厂名与厂址应与生产厂营业执照载明的相关信息保持一致。</w:t>
      </w:r>
    </w:p>
    <w:p>
      <w:pPr>
        <w:pStyle w:val="null3"/>
        <w:spacing w:before="120" w:after="120"/>
        <w:ind w:firstLine="960"/>
      </w:pPr>
      <w:r>
        <w:rPr/>
        <w:t>3. 该产品的中国境内生产的组件成本占比相关要求实施前，"规定比例"栏可不填，下同。</w:t>
      </w:r>
    </w:p>
    <w:p>
      <w:pPr>
        <w:pStyle w:val="null3"/>
        <w:spacing w:before="120" w:after="120"/>
        <w:ind w:firstLine="960"/>
      </w:pPr>
      <w:r>
        <w:rPr/>
        <w:t>4. 该产品的关键组件要求实施前，"关键组件"栏可不填，下同。</w:t>
      </w:r>
    </w:p>
    <w:p>
      <w:pPr>
        <w:pStyle w:val="null3"/>
        <w:spacing w:before="120" w:after="120"/>
        <w:ind w:firstLine="960"/>
      </w:pPr>
      <w:r>
        <w:rPr/>
        <w:t>5. 该产品的关键工序要求实施前，"关键工序"栏可不填，下同。</w:t>
      </w:r>
    </w:p>
    <w:p>
      <w:pPr>
        <w:pStyle w:val="null3"/>
      </w:pPr>
      <w:r>
        <w:rPr>
          <w:sz w:val="28"/>
          <w:b/>
        </w:rPr>
        <w:t>附件3</w:t>
      </w:r>
    </w:p>
    <w:p>
      <w:pPr>
        <w:pStyle w:val="null3"/>
        <w:spacing w:before="120" w:after="240"/>
        <w:jc w:val="center"/>
        <w:outlineLvl w:val="3"/>
      </w:pPr>
      <w:r>
        <w:rPr>
          <w:sz w:val="24"/>
          <w:b/>
        </w:rPr>
        <w:t>关于本国产品比例的声明函（如适用）</w:t>
      </w:r>
    </w:p>
    <w:p>
      <w:pPr>
        <w:pStyle w:val="null3"/>
        <w:ind w:firstLine="480"/>
      </w:pPr>
      <w:r>
        <w:rPr/>
        <w:t>本公司（单位）郑重承诺，根据《国务院办公厅关于在政府采购中实施本国产品标准及相关政策的通知》（国办发〔2025〕34号）的规定，本公司（单位）提供的符合本国产品标准的产品成本之和占提供的全部产品成本之和的比例达到80%。</w:t>
      </w:r>
    </w:p>
    <w:p>
      <w:pPr>
        <w:pStyle w:val="null3"/>
      </w:pPr>
      <w:r>
        <w:rPr/>
        <w:t>本公司（单位）对上述声明内容的真实性负责。如有虚假，愿承担相应法律责任。</w:t>
      </w:r>
    </w:p>
    <w:p>
      <w:pPr>
        <w:pStyle w:val="null3"/>
        <w:spacing w:before="720"/>
        <w:jc w:val="right"/>
      </w:pPr>
      <w:r>
        <w:rPr>
          <w:b/>
        </w:rPr>
        <w:t>公司（单位）名称（盖章）：</w:t>
      </w:r>
      <w:r>
        <w:rPr/>
        <w:t>__________________</w:t>
      </w:r>
    </w:p>
    <w:p>
      <w:pPr>
        <w:pStyle w:val="null3"/>
        <w:jc w:val="right"/>
      </w:pPr>
      <w:r>
        <w:rPr>
          <w:b/>
        </w:rPr>
        <w:t>日期：</w:t>
      </w:r>
      <w:r>
        <w:rPr/>
        <w:t>______</w:t>
      </w:r>
      <w:r>
        <w:rPr/>
        <w:t xml:space="preserve"> 年 </w:t>
      </w:r>
      <w:r>
        <w:rPr/>
        <w:t>______</w:t>
      </w:r>
      <w:r>
        <w:rPr/>
        <w:t xml:space="preserve"> 月 </w:t>
      </w:r>
      <w:r>
        <w:rPr/>
        <w:t>______</w:t>
      </w:r>
      <w:r>
        <w:rPr/>
        <w:t xml:space="preserve"> 日</w:t>
      </w:r>
    </w:p>
    <w:p>
      <w:pPr>
        <w:pStyle w:val="null3"/>
      </w:pPr>
      <w:r>
        <w:rPr>
          <w:sz w:val="28"/>
          <w:b/>
        </w:rPr>
        <w:t>附件4</w:t>
      </w:r>
    </w:p>
    <w:p>
      <w:pPr>
        <w:pStyle w:val="null3"/>
        <w:spacing w:before="120" w:after="240"/>
        <w:jc w:val="center"/>
        <w:outlineLvl w:val="3"/>
      </w:pPr>
      <w:r>
        <w:rPr>
          <w:sz w:val="24"/>
          <w:b/>
        </w:rPr>
        <w:t>本国产品标准有关证明材料（如适用）</w:t>
      </w:r>
    </w:p>
    <w:p>
      <w:pPr>
        <w:pStyle w:val="null3"/>
        <w:spacing w:before="120" w:after="120"/>
        <w:ind w:firstLine="960"/>
      </w:pPr>
      <w:r>
        <w:rPr/>
        <w:t>1. 供应商认为需提供的其他资料。</w:t>
      </w:r>
    </w:p>
    <w:p>
      <w:pPr>
        <w:pStyle w:val="null3"/>
        <w:spacing w:before="120" w:after="120"/>
        <w:ind w:firstLine="960"/>
      </w:pPr>
      <w:r>
        <w:rPr/>
        <w:t>2. 财政部会同有关部门规定的有关证明文件。</w:t>
      </w:r>
    </w:p>
    <w:p>
      <w:pPr>
        <w:pStyle w:val="null3"/>
        <w:ind w:firstLine="480"/>
        <w:outlineLvl w:val="2"/>
      </w:pPr>
      <w:r>
        <w:rPr>
          <w:sz w:val="28"/>
          <w:b/>
        </w:rPr>
        <w:t>格式六：</w:t>
      </w:r>
    </w:p>
    <w:p>
      <w:pPr>
        <w:pStyle w:val="null3"/>
        <w:jc w:val="center"/>
        <w:outlineLvl w:val="3"/>
      </w:pPr>
      <w:r>
        <w:rPr>
          <w:sz w:val="24"/>
          <w:b/>
        </w:rPr>
        <w:t>实质性响应一览表</w:t>
      </w:r>
    </w:p>
    <w:tbl>
      <w:tblPr>
        <w:tblW w:w="0" w:type="auto"/>
        <w:tblBorders>
          <w:top w:val="single"/>
          <w:left w:val="single"/>
          <w:bottom w:val="single"/>
          <w:right w:val="single"/>
          <w:insideH w:val="single"/>
          <w:insideV w:val="single"/>
        </w:tblBorders>
      </w:tblPr>
      <w:tblGrid>
        <w:gridCol w:w="2076"/>
        <w:gridCol w:w="2076"/>
        <w:gridCol w:w="2076"/>
        <w:gridCol w:w="2076"/>
      </w:tblGrid>
      <w:tr>
        <w:tc>
          <w:tcPr>
            <w:tcW w:type="dxa" w:w="2076"/>
          </w:tcPr>
          <w:p>
            <w:pPr>
              <w:pStyle w:val="null3"/>
            </w:pPr>
            <w:r>
              <w:rPr/>
              <w:t>序号</w:t>
            </w:r>
          </w:p>
        </w:tc>
        <w:tc>
          <w:tcPr>
            <w:tcW w:type="dxa" w:w="2076"/>
          </w:tcPr>
          <w:p>
            <w:pPr>
              <w:pStyle w:val="null3"/>
            </w:pPr>
            <w:r>
              <w:rPr/>
              <w:t>实质性响应条款</w:t>
            </w:r>
          </w:p>
        </w:tc>
        <w:tc>
          <w:tcPr>
            <w:tcW w:type="dxa" w:w="2076"/>
          </w:tcPr>
          <w:p>
            <w:pPr>
              <w:pStyle w:val="null3"/>
            </w:pPr>
            <w:r>
              <w:rPr/>
              <w:t>投标人响应情况</w:t>
            </w:r>
          </w:p>
        </w:tc>
        <w:tc>
          <w:tcPr>
            <w:tcW w:type="dxa" w:w="2076"/>
          </w:tcPr>
          <w:p>
            <w:pPr>
              <w:pStyle w:val="null3"/>
            </w:pPr>
            <w:r>
              <w:rPr/>
              <w:t>差异</w:t>
            </w:r>
          </w:p>
        </w:tc>
      </w:tr>
      <w:tr>
        <w:tc>
          <w:tcPr>
            <w:tcW w:type="dxa" w:w="2076"/>
          </w:tcPr>
          <w:p>
            <w:pPr>
              <w:pStyle w:val="null3"/>
            </w:pPr>
            <w:r>
              <w:rPr/>
              <w:t>1</w:t>
            </w:r>
          </w:p>
        </w:tc>
        <w:tc>
          <w:tcPr>
            <w:tcW w:type="dxa" w:w="2076"/>
          </w:tcPr>
          <w:p/>
        </w:tc>
        <w:tc>
          <w:tcPr>
            <w:tcW w:type="dxa" w:w="2076"/>
          </w:tcPr>
          <w:p/>
        </w:tc>
        <w:tc>
          <w:tcPr>
            <w:tcW w:type="dxa" w:w="2076"/>
          </w:tcPr>
          <w:p/>
        </w:tc>
      </w:tr>
      <w:tr>
        <w:tc>
          <w:tcPr>
            <w:tcW w:type="dxa" w:w="2076"/>
          </w:tcPr>
          <w:p>
            <w:pPr>
              <w:pStyle w:val="null3"/>
            </w:pPr>
            <w:r>
              <w:rPr/>
              <w:t xml:space="preserve"> 2</w:t>
            </w:r>
          </w:p>
        </w:tc>
        <w:tc>
          <w:tcPr>
            <w:tcW w:type="dxa" w:w="2076"/>
          </w:tcPr>
          <w:p/>
        </w:tc>
        <w:tc>
          <w:tcPr>
            <w:tcW w:type="dxa" w:w="2076"/>
          </w:tcPr>
          <w:p/>
        </w:tc>
        <w:tc>
          <w:tcPr>
            <w:tcW w:type="dxa" w:w="2076"/>
          </w:tcPr>
          <w:p/>
        </w:tc>
      </w:tr>
      <w:tr>
        <w:tc>
          <w:tcPr>
            <w:tcW w:type="dxa" w:w="2076"/>
          </w:tcPr>
          <w:p>
            <w:pPr>
              <w:pStyle w:val="null3"/>
            </w:pPr>
            <w:r>
              <w:rPr/>
              <w:t xml:space="preserve"> 3</w:t>
            </w:r>
          </w:p>
        </w:tc>
        <w:tc>
          <w:tcPr>
            <w:tcW w:type="dxa" w:w="2076"/>
          </w:tcPr>
          <w:p/>
        </w:tc>
        <w:tc>
          <w:tcPr>
            <w:tcW w:type="dxa" w:w="2076"/>
          </w:tcPr>
          <w:p/>
        </w:tc>
        <w:tc>
          <w:tcPr>
            <w:tcW w:type="dxa" w:w="2076"/>
          </w:tcPr>
          <w:p/>
        </w:tc>
      </w:tr>
      <w:tr>
        <w:tc>
          <w:tcPr>
            <w:tcW w:type="dxa" w:w="2076"/>
          </w:tcPr>
          <w:p>
            <w:pPr>
              <w:pStyle w:val="null3"/>
            </w:pPr>
            <w:r>
              <w:rPr/>
              <w:t xml:space="preserve"> 4</w:t>
            </w:r>
          </w:p>
        </w:tc>
        <w:tc>
          <w:tcPr>
            <w:tcW w:type="dxa" w:w="2076"/>
          </w:tcPr>
          <w:p/>
        </w:tc>
        <w:tc>
          <w:tcPr>
            <w:tcW w:type="dxa" w:w="2076"/>
          </w:tcPr>
          <w:p/>
        </w:tc>
        <w:tc>
          <w:tcPr>
            <w:tcW w:type="dxa" w:w="2076"/>
          </w:tcPr>
          <w:p/>
        </w:tc>
      </w:tr>
      <w:tr>
        <w:tc>
          <w:tcPr>
            <w:tcW w:type="dxa" w:w="2076"/>
          </w:tcPr>
          <w:p>
            <w:pPr>
              <w:pStyle w:val="null3"/>
            </w:pPr>
            <w:r>
              <w:rPr/>
              <w:t xml:space="preserve"> …</w:t>
            </w:r>
          </w:p>
        </w:tc>
        <w:tc>
          <w:tcPr>
            <w:tcW w:type="dxa" w:w="2076"/>
          </w:tcPr>
          <w:p/>
        </w:tc>
        <w:tc>
          <w:tcPr>
            <w:tcW w:type="dxa" w:w="2076"/>
          </w:tcPr>
          <w:p/>
        </w:tc>
        <w:tc>
          <w:tcPr>
            <w:tcW w:type="dxa" w:w="2076"/>
          </w:tcPr>
          <w:p/>
        </w:tc>
      </w:tr>
      <w:tr>
        <w:tc>
          <w:tcPr>
            <w:tcW w:type="dxa" w:w="2076"/>
          </w:tcPr>
          <w:p>
            <w:pPr>
              <w:pStyle w:val="null3"/>
            </w:pPr>
            <w:r>
              <w:rPr/>
              <w:t xml:space="preserve"> …</w:t>
            </w:r>
          </w:p>
        </w:tc>
        <w:tc>
          <w:tcPr>
            <w:tcW w:type="dxa" w:w="2076"/>
          </w:tcPr>
          <w:p/>
        </w:tc>
        <w:tc>
          <w:tcPr>
            <w:tcW w:type="dxa" w:w="2076"/>
          </w:tcPr>
          <w:p/>
        </w:tc>
        <w:tc>
          <w:tcPr>
            <w:tcW w:type="dxa" w:w="2076"/>
          </w:tcPr>
          <w:p/>
        </w:tc>
      </w:tr>
    </w:tbl>
    <w:p>
      <w:pPr>
        <w:pStyle w:val="null3"/>
        <w:ind w:firstLine="480"/>
      </w:pPr>
      <w:r>
        <w:rPr/>
        <w:t>说明：</w:t>
      </w:r>
    </w:p>
    <w:p>
      <w:pPr>
        <w:pStyle w:val="null3"/>
        <w:ind w:firstLine="480"/>
      </w:pPr>
      <w:r>
        <w:rPr/>
        <w:t>1.实质性响应条款一览表后续内容请根据第二章采购需求★号条款详细列举</w:t>
      </w:r>
    </w:p>
    <w:p>
      <w:pPr>
        <w:pStyle w:val="null3"/>
        <w:ind w:firstLine="480"/>
      </w:pPr>
      <w:r>
        <w:rPr/>
        <w:t xml:space="preserve"> 2.本表所列条款必须一一予以响应，“投标人响应情况”一栏应填写具体的响应内容，有差异的要具体说明。</w:t>
      </w:r>
    </w:p>
    <w:p>
      <w:pPr>
        <w:pStyle w:val="null3"/>
        <w:ind w:firstLine="480"/>
      </w:pPr>
      <w:r>
        <w:rPr/>
        <w:t>3.请投标人认真填写本表内容，如填写错误将可能导致投标无效。</w:t>
      </w:r>
    </w:p>
    <w:p>
      <w:pPr>
        <w:pStyle w:val="null3"/>
        <w:ind w:firstLine="480"/>
      </w:pPr>
      <w:r>
        <w:rPr/>
        <w:t xml:space="preserve">  </w:t>
      </w:r>
    </w:p>
    <w:p>
      <w:pPr>
        <w:pStyle w:val="null3"/>
        <w:outlineLvl w:val="2"/>
      </w:pPr>
      <w:r>
        <w:rPr>
          <w:sz w:val="28"/>
          <w:b/>
        </w:rPr>
        <w:t>格式七：</w:t>
      </w:r>
    </w:p>
    <w:p>
      <w:pPr>
        <w:pStyle w:val="null3"/>
        <w:ind w:firstLine="480"/>
      </w:pPr>
      <w:r>
        <w:rPr/>
        <w:t>（投标人可使用下述格式，也可使用广东省工商行政管理局统一印制的法定代表人证明书格式）</w:t>
      </w:r>
    </w:p>
    <w:p>
      <w:pPr>
        <w:pStyle w:val="null3"/>
        <w:jc w:val="center"/>
        <w:outlineLvl w:val="3"/>
      </w:pPr>
      <w:r>
        <w:rPr>
          <w:sz w:val="24"/>
          <w:b/>
        </w:rPr>
        <w:t>法定代表人证明书</w:t>
      </w:r>
    </w:p>
    <w:p>
      <w:pPr>
        <w:pStyle w:val="null3"/>
        <w:ind w:firstLine="480"/>
      </w:pPr>
      <w:r>
        <w:rPr/>
        <w:t>_____________现任我单位_____________职务，为法定代表人，特此证明。</w:t>
      </w:r>
    </w:p>
    <w:p>
      <w:pPr>
        <w:pStyle w:val="null3"/>
        <w:ind w:firstLine="480"/>
      </w:pPr>
      <w:r>
        <w:rPr/>
        <w:t>有效期限：__________________</w:t>
      </w:r>
    </w:p>
    <w:p>
      <w:pPr>
        <w:pStyle w:val="null3"/>
        <w:ind w:firstLine="480"/>
      </w:pPr>
      <w:r>
        <w:rPr/>
        <w:t>附：代表人性别：_____年龄：_________ 身份证号码：__________________</w:t>
      </w:r>
    </w:p>
    <w:p>
      <w:pPr>
        <w:pStyle w:val="null3"/>
        <w:ind w:firstLine="480"/>
      </w:pPr>
      <w:r>
        <w:rPr/>
        <w:t>注册号码：____________________企业类型：____________________________</w:t>
      </w:r>
    </w:p>
    <w:p>
      <w:pPr>
        <w:pStyle w:val="null3"/>
        <w:ind w:firstLine="480"/>
      </w:pPr>
      <w:r>
        <w:rPr/>
        <w:t>经营范围：__________________________</w:t>
      </w:r>
    </w:p>
    <w:p>
      <w:pPr>
        <w:pStyle w:val="null3"/>
      </w:pPr>
      <w:r>
        <w:rPr/>
        <w:t xml:space="preserve"> 投标人名称（盖章）：__________________</w:t>
      </w:r>
    </w:p>
    <w:p>
      <w:pPr>
        <w:pStyle w:val="null3"/>
      </w:pPr>
      <w:r>
        <w:rPr/>
        <w:t xml:space="preserve"> 地址：__________________</w:t>
      </w:r>
    </w:p>
    <w:p>
      <w:pPr>
        <w:pStyle w:val="null3"/>
      </w:pPr>
      <w:r>
        <w:rPr/>
        <w:t xml:space="preserve"> 法定代表人（签字或盖章）：__________________</w:t>
      </w:r>
    </w:p>
    <w:p>
      <w:pPr>
        <w:pStyle w:val="null3"/>
      </w:pPr>
      <w:r>
        <w:rPr/>
        <w:t xml:space="preserve"> 职务：__________________</w:t>
      </w:r>
    </w:p>
    <w:p>
      <w:pPr>
        <w:pStyle w:val="null3"/>
      </w:pPr>
      <w:r>
        <w:rPr/>
        <w:t xml:space="preserve"> 日期： 年 月 日</w:t>
      </w:r>
    </w:p>
    <w:p>
      <w:pPr>
        <w:pStyle w:val="null3"/>
        <w:ind w:firstLine="480"/>
      </w:pPr>
      <w:r>
        <w:rPr/>
        <w:t xml:space="preserve">  </w:t>
      </w:r>
    </w:p>
    <w:p>
      <w:pPr>
        <w:pStyle w:val="null3"/>
        <w:outlineLvl w:val="2"/>
      </w:pPr>
      <w:r>
        <w:rPr>
          <w:sz w:val="28"/>
          <w:b/>
        </w:rPr>
        <w:t>格式八：</w:t>
      </w:r>
    </w:p>
    <w:p>
      <w:pPr>
        <w:pStyle w:val="null3"/>
        <w:jc w:val="center"/>
        <w:outlineLvl w:val="3"/>
      </w:pPr>
      <w:r>
        <w:rPr>
          <w:sz w:val="24"/>
          <w:b/>
        </w:rPr>
        <w:t>法定代表人授权书格式</w:t>
      </w:r>
    </w:p>
    <w:p>
      <w:pPr>
        <w:pStyle w:val="null3"/>
        <w:ind w:firstLine="480"/>
      </w:pPr>
      <w:r>
        <w:rPr/>
        <w:t>（对于银行、保险、电信、邮政、铁路等行业以及获得总公司投标授权的分公司，可以提供投标分支机构负责人授权书）</w:t>
      </w:r>
    </w:p>
    <w:p>
      <w:pPr>
        <w:pStyle w:val="null3"/>
        <w:jc w:val="center"/>
        <w:outlineLvl w:val="3"/>
      </w:pPr>
      <w:r>
        <w:rPr>
          <w:sz w:val="24"/>
          <w:b/>
        </w:rPr>
        <w:t>法定代表人授权书</w:t>
      </w:r>
    </w:p>
    <w:p>
      <w:pPr>
        <w:pStyle w:val="null3"/>
        <w:ind w:firstLine="480"/>
      </w:pPr>
      <w:r>
        <w:rPr/>
        <w:t>致：</w:t>
      </w:r>
      <w:r>
        <w:rPr/>
        <w:t>国义招标股份有限公司</w:t>
      </w:r>
    </w:p>
    <w:p>
      <w:pPr>
        <w:pStyle w:val="null3"/>
        <w:ind w:firstLine="480"/>
      </w:pPr>
      <w:r>
        <w:rPr/>
        <w:t xml:space="preserve">本授权书声明：________是注册于 </w:t>
      </w:r>
      <w:r>
        <w:rPr>
          <w:u w:val="single"/>
        </w:rPr>
        <w:t>（国家或地区）</w:t>
      </w:r>
      <w:r>
        <w:rPr/>
        <w:t>的</w:t>
      </w:r>
      <w:r>
        <w:rPr>
          <w:u w:val="single"/>
        </w:rPr>
        <w:t>（投标人名称）</w:t>
      </w:r>
      <w:r>
        <w:rPr/>
        <w:t xml:space="preserve">的法定代表人，现任________职务，有效证件号码：________________。现授权 </w:t>
      </w:r>
      <w:r>
        <w:rPr>
          <w:u w:val="single"/>
        </w:rPr>
        <w:t>（姓名、职务）</w:t>
      </w:r>
      <w:r>
        <w:rPr/>
        <w:t xml:space="preserve"> 作为我公司的全权代理人，就“</w:t>
      </w:r>
      <w:r>
        <w:rPr/>
        <w:t>广州市城市管理和综合执法局全市井盖设施管理监督、抽查、应急处置项目</w:t>
      </w:r>
      <w:r>
        <w:rPr/>
        <w:t>”项目采购[采购项目编号为</w:t>
      </w:r>
      <w:r>
        <w:rPr/>
        <w:t>0724-2631Z2892081</w:t>
      </w:r>
      <w:r>
        <w:rPr/>
        <w:t>]的投标和合同执行，以我方的名义处理一切与之有关的事宜。</w:t>
      </w:r>
    </w:p>
    <w:p>
      <w:pPr>
        <w:pStyle w:val="null3"/>
        <w:ind w:firstLine="480"/>
      </w:pPr>
      <w:r>
        <w:rPr/>
        <w:t>本授权书于________年________月________日签字生效，特此声明。</w:t>
      </w:r>
    </w:p>
    <w:p>
      <w:pPr>
        <w:pStyle w:val="null3"/>
      </w:pPr>
      <w:r>
        <w:rPr/>
        <w:t xml:space="preserve"> 投标人（盖章）：__________________</w:t>
      </w:r>
    </w:p>
    <w:p>
      <w:pPr>
        <w:pStyle w:val="null3"/>
      </w:pPr>
      <w:r>
        <w:rPr/>
        <w:t xml:space="preserve"> 地址：__________________</w:t>
      </w:r>
    </w:p>
    <w:p>
      <w:pPr>
        <w:pStyle w:val="null3"/>
      </w:pPr>
      <w:r>
        <w:rPr/>
        <w:t xml:space="preserve"> 法定代表人（签字或盖章）：__________________</w:t>
      </w:r>
    </w:p>
    <w:p>
      <w:pPr>
        <w:pStyle w:val="null3"/>
      </w:pPr>
      <w:r>
        <w:rPr/>
        <w:t xml:space="preserve"> 职务：__________________</w:t>
      </w:r>
    </w:p>
    <w:p>
      <w:pPr>
        <w:pStyle w:val="null3"/>
      </w:pPr>
      <w:r>
        <w:rPr/>
        <w:t xml:space="preserve"> 被授权人（签字或盖章）：__________________</w:t>
      </w:r>
    </w:p>
    <w:p>
      <w:pPr>
        <w:pStyle w:val="null3"/>
      </w:pPr>
      <w:r>
        <w:rPr/>
        <w:t xml:space="preserve"> 职务：__________________</w:t>
      </w:r>
    </w:p>
    <w:p>
      <w:pPr>
        <w:pStyle w:val="null3"/>
      </w:pPr>
      <w:r>
        <w:rPr/>
        <w:t xml:space="preserve"> 日期： 年 月 日</w:t>
      </w:r>
    </w:p>
    <w:p>
      <w:pPr>
        <w:pStyle w:val="null3"/>
        <w:ind w:firstLine="480"/>
      </w:pPr>
      <w:r>
        <w:rPr/>
        <w:t xml:space="preserve">  </w:t>
      </w:r>
    </w:p>
    <w:p>
      <w:pPr>
        <w:pStyle w:val="null3"/>
        <w:outlineLvl w:val="2"/>
      </w:pPr>
      <w:r>
        <w:rPr>
          <w:sz w:val="28"/>
          <w:b/>
        </w:rPr>
        <w:t>格式九：</w:t>
      </w:r>
    </w:p>
    <w:p>
      <w:pPr>
        <w:pStyle w:val="null3"/>
        <w:jc w:val="center"/>
        <w:outlineLvl w:val="3"/>
      </w:pPr>
      <w:r>
        <w:rPr>
          <w:sz w:val="24"/>
          <w:b/>
        </w:rPr>
        <w:t>提供具有独立承担民事责任的能力的证明材料</w:t>
      </w:r>
    </w:p>
    <w:p>
      <w:pPr>
        <w:pStyle w:val="null3"/>
        <w:ind w:firstLine="480"/>
      </w:pPr>
      <w:r>
        <w:rPr/>
        <w:t>提供以下相关证照的扫描件之一：1.企业法人提供企业法人营业执照；2.事业法人提供事业法人登记证；3.其他组织提供其他组织的营业执照或执业许可证；4.自然人提供居民身份证等；</w:t>
      </w:r>
    </w:p>
    <w:p>
      <w:pPr>
        <w:pStyle w:val="null3"/>
        <w:ind w:firstLine="480"/>
      </w:pPr>
      <w:r>
        <w:rPr/>
        <w:t xml:space="preserve">  </w:t>
      </w:r>
    </w:p>
    <w:p>
      <w:pPr>
        <w:pStyle w:val="null3"/>
        <w:outlineLvl w:val="2"/>
      </w:pPr>
      <w:r>
        <w:rPr>
          <w:sz w:val="28"/>
          <w:b/>
        </w:rPr>
        <w:t>格式十：</w:t>
      </w:r>
    </w:p>
    <w:p>
      <w:pPr>
        <w:pStyle w:val="null3"/>
        <w:ind w:firstLine="480"/>
      </w:pPr>
      <w:r>
        <w:rPr/>
        <w:t>（对于采购需求写明“提供承诺”的条款，供应商可参照以下格式提供承诺）</w:t>
      </w:r>
    </w:p>
    <w:p>
      <w:pPr>
        <w:pStyle w:val="null3"/>
        <w:jc w:val="center"/>
        <w:outlineLvl w:val="3"/>
      </w:pPr>
      <w:r>
        <w:rPr>
          <w:sz w:val="24"/>
          <w:b/>
        </w:rPr>
        <w:t>承诺函</w:t>
      </w:r>
    </w:p>
    <w:p>
      <w:pPr>
        <w:pStyle w:val="null3"/>
        <w:ind w:firstLine="480"/>
      </w:pPr>
      <w:r>
        <w:rPr/>
        <w:t>致：</w:t>
      </w:r>
      <w:r>
        <w:rPr/>
        <w:t>广州市城市管理和综合执法局</w:t>
      </w:r>
    </w:p>
    <w:p>
      <w:pPr>
        <w:pStyle w:val="null3"/>
        <w:rPr>
          <w:rFonts w:hint="eastAsia"/>
          <w:lang w:val="en-US" w:eastAsia="zh-Hans"/>
        </w:rPr>
      </w:pPr>
      <w:r>
        <w:br/>
      </w:r>
    </w:p>
    <w:p>
      <w:pPr>
        <w:pStyle w:val="null3"/>
        <w:ind w:firstLine="480"/>
      </w:pPr>
      <w:r>
        <w:rPr/>
        <w:t>对于__________________项目（项目编号：__________________），我方郑重承诺如下：</w:t>
      </w:r>
    </w:p>
    <w:p>
      <w:pPr>
        <w:pStyle w:val="null3"/>
        <w:ind w:firstLine="480"/>
      </w:pPr>
      <w:r>
        <w:rPr/>
        <w:t>如中标/成交，我方承诺严格落实采购文件以下条款：(建议逐条复制采购文件相关条款原文)</w:t>
      </w:r>
    </w:p>
    <w:p>
      <w:pPr>
        <w:pStyle w:val="null3"/>
        <w:ind w:firstLine="480"/>
      </w:pPr>
      <w:r>
        <w:rPr/>
        <w:t>（一）星号条款</w:t>
      </w:r>
    </w:p>
    <w:p>
      <w:pPr>
        <w:pStyle w:val="null3"/>
        <w:ind w:firstLine="480"/>
      </w:pPr>
      <w:r>
        <w:rPr/>
        <w:t>1.</w:t>
      </w:r>
    </w:p>
    <w:p>
      <w:pPr>
        <w:pStyle w:val="null3"/>
        <w:ind w:firstLine="480"/>
      </w:pPr>
      <w:r>
        <w:rPr/>
        <w:t>2.</w:t>
      </w:r>
    </w:p>
    <w:p>
      <w:pPr>
        <w:pStyle w:val="null3"/>
        <w:ind w:firstLine="480"/>
      </w:pPr>
      <w:r>
        <w:rPr/>
        <w:t>3.</w:t>
      </w:r>
    </w:p>
    <w:p>
      <w:pPr>
        <w:pStyle w:val="null3"/>
        <w:ind w:firstLine="480"/>
      </w:pPr>
      <w:r>
        <w:rPr/>
        <w:t>.........</w:t>
      </w:r>
    </w:p>
    <w:p>
      <w:pPr>
        <w:pStyle w:val="null3"/>
        <w:ind w:firstLine="480"/>
      </w:pPr>
      <w:r>
        <w:rPr/>
        <w:t>（二）三角号条款</w:t>
      </w:r>
    </w:p>
    <w:p>
      <w:pPr>
        <w:pStyle w:val="null3"/>
        <w:ind w:firstLine="480"/>
      </w:pPr>
      <w:r>
        <w:rPr/>
        <w:t>1.</w:t>
      </w:r>
    </w:p>
    <w:p>
      <w:pPr>
        <w:pStyle w:val="null3"/>
        <w:ind w:firstLine="480"/>
      </w:pPr>
      <w:r>
        <w:rPr/>
        <w:t>2.</w:t>
      </w:r>
    </w:p>
    <w:p>
      <w:pPr>
        <w:pStyle w:val="null3"/>
        <w:ind w:firstLine="480"/>
      </w:pPr>
      <w:r>
        <w:rPr/>
        <w:t>3.</w:t>
      </w:r>
    </w:p>
    <w:p>
      <w:pPr>
        <w:pStyle w:val="null3"/>
        <w:ind w:firstLine="480"/>
      </w:pPr>
      <w:r>
        <w:rPr/>
        <w:t>.........</w:t>
      </w:r>
    </w:p>
    <w:p>
      <w:pPr>
        <w:pStyle w:val="null3"/>
        <w:ind w:firstLine="480"/>
      </w:pPr>
      <w:r>
        <w:rPr/>
        <w:t>（三）非星号、非三角号条款</w:t>
      </w:r>
    </w:p>
    <w:p>
      <w:pPr>
        <w:pStyle w:val="null3"/>
        <w:ind w:firstLine="480"/>
      </w:pPr>
      <w:r>
        <w:rPr/>
        <w:t>1.</w:t>
      </w:r>
    </w:p>
    <w:p>
      <w:pPr>
        <w:pStyle w:val="null3"/>
        <w:ind w:firstLine="480"/>
      </w:pPr>
      <w:r>
        <w:rPr/>
        <w:t>2.</w:t>
      </w:r>
    </w:p>
    <w:p>
      <w:pPr>
        <w:pStyle w:val="null3"/>
        <w:ind w:firstLine="480"/>
      </w:pPr>
      <w:r>
        <w:rPr/>
        <w:t>3.</w:t>
      </w:r>
    </w:p>
    <w:p>
      <w:pPr>
        <w:pStyle w:val="null3"/>
        <w:ind w:firstLine="480"/>
      </w:pPr>
      <w:r>
        <w:rPr/>
        <w:t>.........</w:t>
      </w:r>
    </w:p>
    <w:p>
      <w:pPr>
        <w:pStyle w:val="null3"/>
        <w:rPr>
          <w:rFonts w:hint="eastAsia"/>
          <w:lang w:val="en-US" w:eastAsia="zh-Hans"/>
        </w:rPr>
      </w:pPr>
      <w:r>
        <w:br/>
      </w:r>
    </w:p>
    <w:p>
      <w:pPr>
        <w:pStyle w:val="null3"/>
        <w:ind w:firstLine="480"/>
      </w:pPr>
      <w:r>
        <w:rPr/>
        <w:t>特此承诺。</w:t>
      </w:r>
    </w:p>
    <w:p>
      <w:pPr>
        <w:pStyle w:val="null3"/>
      </w:pPr>
      <w:r>
        <w:rPr/>
        <w:t xml:space="preserve"> 供应商名称（盖章）：__________________</w:t>
      </w:r>
    </w:p>
    <w:p>
      <w:pPr>
        <w:pStyle w:val="null3"/>
      </w:pPr>
      <w:r>
        <w:rPr/>
        <w:t xml:space="preserve"> 日期： 年 月 日</w:t>
      </w:r>
    </w:p>
    <w:p>
      <w:pPr>
        <w:pStyle w:val="null3"/>
        <w:ind w:firstLine="480"/>
      </w:pPr>
      <w:r>
        <w:rPr/>
        <w:t xml:space="preserve">  </w:t>
      </w:r>
    </w:p>
    <w:p>
      <w:pPr>
        <w:pStyle w:val="null3"/>
        <w:outlineLvl w:val="2"/>
      </w:pPr>
      <w:r>
        <w:rPr>
          <w:sz w:val="28"/>
          <w:b/>
        </w:rPr>
        <w:t>格式十一：</w:t>
      </w:r>
    </w:p>
    <w:p>
      <w:pPr>
        <w:pStyle w:val="null3"/>
        <w:ind w:firstLine="480"/>
      </w:pPr>
      <w:r>
        <w:rPr/>
        <w:t>（以下格式文件由供应商根据需要选用）</w:t>
      </w:r>
    </w:p>
    <w:p>
      <w:pPr>
        <w:pStyle w:val="null3"/>
        <w:ind w:firstLine="480"/>
      </w:pPr>
      <w:r>
        <w:rPr>
          <w:b/>
        </w:rPr>
        <w:t>温馨提示：</w:t>
      </w:r>
    </w:p>
    <w:p>
      <w:pPr>
        <w:pStyle w:val="null3"/>
        <w:ind w:firstLine="480"/>
      </w:pPr>
      <w:r>
        <w:rPr/>
        <w:t>根据《广州市财政局 广州市工业和信息化局转发广东省财政厅 广东省发展和改革委员会 广东省工业和信息化厅 广东省地方 金融监督管理局关于印发《广东省政府采购促进中小企业发展实施 细则（试行）》的通知》、《广州市财政局关于进一步规范政府采购供应商资格审查及中小企业声明函管理的通知》的精神，投标人需根据以下要求对其出具的《中小企业声明函》的信息进行完善和规范。</w:t>
      </w:r>
    </w:p>
    <w:p>
      <w:pPr>
        <w:pStyle w:val="null3"/>
        <w:ind w:firstLine="480"/>
      </w:pPr>
      <w:r>
        <w:rPr/>
        <w:t>（一）对于已纳入统计部门统计范围的企业，所属行业、从业人员、营业收入、资产总额、规模类型应与统计部门报表保持一致。</w:t>
      </w:r>
    </w:p>
    <w:p>
      <w:pPr>
        <w:pStyle w:val="null3"/>
        <w:ind w:firstLine="480"/>
      </w:pPr>
      <w:r>
        <w:rPr/>
        <w:t>（二）对于未纳入统计部门统计范围的企业，应对照《国民经济行业分类》确定所属行业，当企业从事两种以上的经济活动时，则按照主要活动确定其所属行业；从业人数可以社会保险参保人数为准；营业收入、资产总额可以第三方出具的报告为准。</w:t>
      </w:r>
    </w:p>
    <w:p>
      <w:pPr>
        <w:pStyle w:val="null3"/>
        <w:ind w:firstLine="480"/>
      </w:pPr>
      <w:r>
        <w:rPr/>
        <w:t>（三）对于采购文件确实允许非独立法人参与采购活动的，应按其所属集团公司合并财务报表数据情况予以填报。以联合体形式参加或者合同分包的，需填写联合体中的中小企业或签订分包意向协议的中小企业相关信息。</w:t>
      </w:r>
    </w:p>
    <w:p>
      <w:pPr>
        <w:pStyle w:val="null3"/>
        <w:ind w:firstLine="480"/>
      </w:pPr>
      <w:r>
        <w:rPr/>
        <w:t>（四）《中小企业声明函》真实性由其出具的供应商负责。《中小企业声明函》中相关企业[制造商、承建（承接）企业]所属行业应当与采购标的的所属行业相一致。如为货物采购项目，《中小企业声明函》应当充分、准确反映货物制造商的信息。</w:t>
      </w:r>
    </w:p>
    <w:p>
      <w:pPr>
        <w:pStyle w:val="null3"/>
        <w:ind w:firstLine="480"/>
      </w:pPr>
      <w:r>
        <w:rPr/>
        <w:t>（五）对于专门面向中小企业预留份额的采购项目或者采购包，《中小企业声明函》由采购人、采购代理机构在资格审查阶段审查；对于不专门面向中小企业采购的采购项目或者采购包，以及接受大中型企业与小微企业组成联合体或者允许大中型企业向一家或者多家小微企业分包的采购项目，《中小企业声明函》由评审委员会在评审过程中审查。</w:t>
      </w:r>
    </w:p>
    <w:p>
      <w:pPr>
        <w:pStyle w:val="null3"/>
        <w:ind w:firstLine="480"/>
      </w:pPr>
      <w:r>
        <w:rPr/>
        <w:t>（六）经调查发现供应商提供《中小企业声明函》内容与实际不符的，政府采购监管部门有权根据《中小企业声明函》与实际情况的差异视情形认定其是否属于虚假材料谋取中标。</w:t>
      </w:r>
    </w:p>
    <w:p>
      <w:pPr>
        <w:pStyle w:val="null3"/>
        <w:ind w:firstLine="480"/>
      </w:pPr>
      <w:r>
        <w:rPr/>
        <w:t>（七）根据《财政部关于规范政府采购行政处罚有关问题的通知》（财库〔2015〕150 号）规定，各级人民政府财政部门依法对供应商作出的禁止参加政府采购活动的行政处罚决定在全国范围内生效。</w:t>
      </w:r>
    </w:p>
    <w:p>
      <w:pPr>
        <w:pStyle w:val="null3"/>
        <w:ind w:firstLine="480"/>
      </w:pPr>
      <w:r>
        <w:rPr/>
        <w:t>为落实对政府采购违法失信行为惩戒，供应商存在任一级人民政府财政部门作出“禁止参加政府采购活动”行政处罚决定且处罚期限未届满的，即使尚未在“中国政府采购网”开设的“政府采购严重违法失信行为处罚记录”和“信用中国”网站显示，也应禁止参加政府采购活动，采购人及采购代理机构应当审慎甄别供应商参与政府采购活动资格。</w:t>
      </w:r>
    </w:p>
    <w:p>
      <w:pPr>
        <w:pStyle w:val="null3"/>
        <w:ind w:firstLine="480"/>
      </w:pPr>
      <w:r>
        <w:rPr/>
        <w:t>（八）采购人、采购代理机构、评标委员会（评审小组）在依法进行资格审查时，应当甄别供应商是否存在“禁止参加政府采购”行政处罚决定记录，依法依规审查供应商投标资格。在资格审查、符合性审查等评审过程中，应严格依照规定审查《中小企业声明函》等文件，确保符合相关政策规定。采购人、采购代理机构、评标委员会（评审小组）审查不到位的，监管部门将依法责令改正；拒不改正的，本机关将按照《中华人民共和国政府采购法》相关规定进行处理。</w:t>
      </w:r>
    </w:p>
    <w:p>
      <w:pPr>
        <w:pStyle w:val="null3"/>
        <w:ind w:firstLine="480"/>
      </w:pPr>
      <w:r>
        <w:rPr/>
        <w:t>（九）供应商提供承诺函、第三方书面声明、检测报告、资质证件、业绩成果等材料作为投标文件组成部分的，供应商应保证资料内容书写正确、真实有效、完整一致。如相关第三方书面声明、相关检测报告等资料虚假，监管部门有权根据调查情形认定其是否属于提供虚假材料谋取中标，并严肃处理。</w:t>
      </w:r>
    </w:p>
    <w:p>
      <w:pPr>
        <w:pStyle w:val="null3"/>
      </w:pPr>
      <w:r>
        <w:rPr/>
        <w:t xml:space="preserve">  </w:t>
      </w:r>
    </w:p>
    <w:p>
      <w:pPr>
        <w:pStyle w:val="null3"/>
        <w:ind w:firstLine="480"/>
      </w:pPr>
      <w:r>
        <w:rPr/>
        <w:t>中小企业声明函（所响应产品制造商为中小企业时提交本函，所属行业应符合采购文件中明确的本项目所属行业）</w:t>
      </w:r>
    </w:p>
    <w:p>
      <w:pPr>
        <w:pStyle w:val="null3"/>
        <w:jc w:val="center"/>
        <w:outlineLvl w:val="3"/>
      </w:pPr>
      <w:r>
        <w:rPr>
          <w:sz w:val="24"/>
          <w:b/>
        </w:rPr>
        <w:t>中小企业声明函（货物）</w:t>
      </w:r>
    </w:p>
    <w:p>
      <w:pPr>
        <w:pStyle w:val="null3"/>
        <w:ind w:firstLine="480"/>
      </w:pPr>
      <w:r>
        <w:rPr/>
        <w:t>本公司（联合体）郑重声明，根据《政府采购促进中小企业发展管理办法》（财库﹝2020﹞46 号）的规定，本公司（联合体）参加</w:t>
      </w:r>
      <w:r>
        <w:rPr>
          <w:u w:val="single"/>
        </w:rPr>
        <w:t>（单位名称）</w:t>
      </w:r>
      <w:r>
        <w:rPr/>
        <w:t>的</w:t>
      </w:r>
      <w:r>
        <w:rPr>
          <w:u w:val="single"/>
        </w:rPr>
        <w:t>（项目名称）</w:t>
      </w:r>
      <w:r>
        <w:rPr/>
        <w:t>采购活动，提供的货物全部由符合政策要求的中小企业制造。相关企业（含联合体中的中小企业、签订分包意向协议的中小企业）的具体情况如下：</w:t>
      </w:r>
    </w:p>
    <w:p>
      <w:pPr>
        <w:pStyle w:val="null3"/>
        <w:ind w:firstLine="480"/>
      </w:pPr>
      <w:r>
        <w:rPr/>
        <w:t xml:space="preserve"> 1.（标的名称），属于（采购文件中明确的所属行业）行业；制造商为</w:t>
      </w:r>
      <w:r>
        <w:rPr>
          <w:u w:val="single"/>
        </w:rPr>
        <w:t>（企业名称）</w:t>
      </w:r>
      <w:r>
        <w:rPr/>
        <w:t>，从业人员__________________人，营业收入为__________________万元，资产总额为__________________万元</w:t>
      </w:r>
      <w:r>
        <w:rPr>
          <w:sz w:val="7"/>
        </w:rPr>
        <w:t>1</w:t>
      </w:r>
      <w:r>
        <w:rPr/>
        <w:t>，属于</w:t>
      </w:r>
      <w:r>
        <w:rPr>
          <w:u w:val="single"/>
        </w:rPr>
        <w:t>（中型企业、小型企业、微型企业）</w:t>
      </w:r>
      <w:r>
        <w:rPr/>
        <w:t>；</w:t>
      </w:r>
    </w:p>
    <w:p>
      <w:pPr>
        <w:pStyle w:val="null3"/>
        <w:ind w:firstLine="480"/>
      </w:pPr>
      <w:r>
        <w:rPr/>
        <w:t xml:space="preserve"> 2.（标的名称），属于（采购文件中明确的所属行业）行业；制造商为</w:t>
      </w:r>
      <w:r>
        <w:rPr>
          <w:u w:val="single"/>
        </w:rPr>
        <w:t>（企业名称）</w:t>
      </w:r>
      <w:r>
        <w:rPr/>
        <w:t>，从业人员__________________人，营业收入为__________________万元，资产总额为__________________万元</w:t>
      </w:r>
      <w:r>
        <w:rPr>
          <w:sz w:val="7"/>
        </w:rPr>
        <w:t>1</w:t>
      </w:r>
      <w:r>
        <w:rPr/>
        <w:t>，属于</w:t>
      </w:r>
      <w:r>
        <w:rPr>
          <w:u w:val="single"/>
        </w:rPr>
        <w:t>（中型企业、小型企业、微型企业）</w:t>
      </w:r>
      <w:r>
        <w:rPr/>
        <w:t>；</w:t>
      </w:r>
    </w:p>
    <w:p>
      <w:pPr>
        <w:pStyle w:val="null3"/>
        <w:ind w:firstLine="480"/>
      </w:pPr>
      <w:r>
        <w:rPr/>
        <w:t>……</w:t>
      </w:r>
    </w:p>
    <w:p>
      <w:pPr>
        <w:pStyle w:val="null3"/>
        <w:ind w:firstLine="480"/>
      </w:pPr>
      <w:r>
        <w:rPr/>
        <w:t>以上企业，不属于大企业的分支机构，不存在控股股东为大企业的情形，也不存在与大企业的负责人为同一人的情形。</w:t>
      </w:r>
    </w:p>
    <w:p>
      <w:pPr>
        <w:pStyle w:val="null3"/>
        <w:ind w:firstLine="480"/>
      </w:pPr>
      <w:r>
        <w:rPr/>
        <w:t>本企业对上述声明内容的真实性负责。如有虚假，将依法承担相应责任。</w:t>
      </w:r>
    </w:p>
    <w:p>
      <w:pPr>
        <w:pStyle w:val="null3"/>
        <w:jc w:val="right"/>
      </w:pPr>
      <w:r>
        <w:rPr/>
        <w:t xml:space="preserve"> 企业名称（盖章）：__________________</w:t>
      </w:r>
    </w:p>
    <w:p>
      <w:pPr>
        <w:pStyle w:val="null3"/>
        <w:jc w:val="right"/>
      </w:pPr>
      <w:r>
        <w:rPr/>
        <w:t xml:space="preserve"> 日期： 年 月 日</w:t>
      </w:r>
    </w:p>
    <w:p>
      <w:pPr>
        <w:pStyle w:val="null3"/>
        <w:ind w:firstLine="480"/>
      </w:pPr>
      <w:r>
        <w:rPr/>
        <w:t>1：从业人员、营业收入、资产总额填报上一年度数据，无上一年度数据的新成立企业可不填报</w:t>
      </w:r>
    </w:p>
    <w:p>
      <w:pPr>
        <w:pStyle w:val="null3"/>
        <w:ind w:firstLine="480"/>
      </w:pPr>
      <w:r>
        <w:rPr/>
        <w:t xml:space="preserve"> 2：投标人应当对其出具的《中小企业声明函》真实性负责，投标人出具的《中小企业声明函》内容不实的，属于提供虚假材料谋取中标。在实际操作中，投标人希望获得中小企业扶持政策支持的，应从制造商处获得充分、准确的信息。对相关制造商信息了解不充分，或者不能确定相关信息真实、准确的，不建议出具《中小企业声明函》。</w:t>
      </w:r>
    </w:p>
    <w:p>
      <w:pPr>
        <w:pStyle w:val="null3"/>
      </w:pPr>
      <w:r>
        <w:rPr/>
        <w:t xml:space="preserve">  </w:t>
      </w:r>
    </w:p>
    <w:p>
      <w:pPr>
        <w:pStyle w:val="null3"/>
        <w:ind w:firstLine="480"/>
      </w:pPr>
      <w:r>
        <w:rPr/>
        <w:t>中小企业声明函（承建本项目工程为中小企业或者承接本项目服务为中小企业时提交本函，所属行业应符合采购文件中明确的本项目所属行业）</w:t>
      </w:r>
    </w:p>
    <w:p>
      <w:pPr>
        <w:pStyle w:val="null3"/>
        <w:jc w:val="center"/>
        <w:outlineLvl w:val="3"/>
      </w:pPr>
      <w:r>
        <w:rPr>
          <w:sz w:val="24"/>
          <w:b/>
        </w:rPr>
        <w:t>中小企业声明函（工程、服务）</w:t>
      </w:r>
    </w:p>
    <w:p>
      <w:pPr>
        <w:pStyle w:val="null3"/>
        <w:ind w:firstLine="480"/>
      </w:pPr>
      <w:r>
        <w:rPr/>
        <w:t>本公司（联合体）郑重声明，根据《政府采购促进中小企业发展管理办法》（财库﹝2020﹞46 号）的规定，本公司（联合体）参加</w:t>
      </w:r>
      <w:r>
        <w:rPr>
          <w:u w:val="single"/>
        </w:rPr>
        <w:t>（单位名称）</w:t>
      </w:r>
      <w:r>
        <w:rPr/>
        <w:t>的</w:t>
      </w:r>
      <w:r>
        <w:rPr>
          <w:u w:val="single"/>
        </w:rPr>
        <w:t>（项目名称）</w:t>
      </w:r>
      <w:r>
        <w:rPr/>
        <w:t>采购活动，工程的施工单位全部为符合政策要求的中小企业（或者：服务全部由符合政策要求的中小企业承接）。相关企业（含联合体中的中小企业、签订分包意向协议的中小企业）的具体情况如下：</w:t>
      </w:r>
    </w:p>
    <w:p>
      <w:pPr>
        <w:pStyle w:val="null3"/>
        <w:ind w:firstLine="480"/>
      </w:pPr>
      <w:r>
        <w:rPr/>
        <w:t xml:space="preserve"> 1.</w:t>
      </w:r>
      <w:r>
        <w:rPr>
          <w:u w:val="single"/>
        </w:rPr>
        <w:t>（标的名称）</w:t>
      </w:r>
      <w:r>
        <w:rPr/>
        <w:t>，属于</w:t>
      </w:r>
      <w:r>
        <w:rPr>
          <w:u w:val="single"/>
        </w:rPr>
        <w:t>（采购文件中明确的所属行业）</w:t>
      </w:r>
      <w:r>
        <w:rPr/>
        <w:t>行业；承建（承接）企业为</w:t>
      </w:r>
      <w:r>
        <w:rPr>
          <w:u w:val="single"/>
        </w:rPr>
        <w:t>（企业名称）</w:t>
      </w:r>
      <w:r>
        <w:rPr/>
        <w:t>，从业人员__________________人，营业收入为__________________万元，资产总额为__________________万元</w:t>
      </w:r>
      <w:r>
        <w:rPr>
          <w:sz w:val="7"/>
        </w:rPr>
        <w:t>1</w:t>
      </w:r>
      <w:r>
        <w:rPr/>
        <w:t>，属于</w:t>
      </w:r>
      <w:r>
        <w:rPr>
          <w:u w:val="single"/>
        </w:rPr>
        <w:t>（中型企业、小型企业、微型企业）</w:t>
      </w:r>
      <w:r>
        <w:rPr/>
        <w:t>；</w:t>
      </w:r>
    </w:p>
    <w:p>
      <w:pPr>
        <w:pStyle w:val="null3"/>
        <w:ind w:firstLine="480"/>
      </w:pPr>
      <w:r>
        <w:rPr/>
        <w:t xml:space="preserve"> 2.</w:t>
      </w:r>
      <w:r>
        <w:rPr>
          <w:u w:val="single"/>
        </w:rPr>
        <w:t>（标的名称）</w:t>
      </w:r>
      <w:r>
        <w:rPr/>
        <w:t>，属于</w:t>
      </w:r>
      <w:r>
        <w:rPr>
          <w:u w:val="single"/>
        </w:rPr>
        <w:t>（采购文件中明确的所属行业）</w:t>
      </w:r>
      <w:r>
        <w:rPr/>
        <w:t>行业；承建（承接）企业为</w:t>
      </w:r>
      <w:r>
        <w:rPr>
          <w:u w:val="single"/>
        </w:rPr>
        <w:t>（企业名称）</w:t>
      </w:r>
      <w:r>
        <w:rPr/>
        <w:t>，从业人员__________________人，营业收入为__________________万元，资产总额为__________________万元</w:t>
      </w:r>
      <w:r>
        <w:rPr>
          <w:sz w:val="7"/>
        </w:rPr>
        <w:t>1</w:t>
      </w:r>
      <w:r>
        <w:rPr/>
        <w:t>，属于</w:t>
      </w:r>
      <w:r>
        <w:rPr>
          <w:u w:val="single"/>
        </w:rPr>
        <w:t>（中型企业、小型企业、微型企业）</w:t>
      </w:r>
      <w:r>
        <w:rPr/>
        <w:t>；</w:t>
      </w:r>
    </w:p>
    <w:p>
      <w:pPr>
        <w:pStyle w:val="null3"/>
        <w:ind w:firstLine="480"/>
      </w:pPr>
      <w:r>
        <w:rPr/>
        <w:t>……</w:t>
      </w:r>
    </w:p>
    <w:p>
      <w:pPr>
        <w:pStyle w:val="null3"/>
        <w:ind w:firstLine="480"/>
      </w:pPr>
      <w:r>
        <w:rPr/>
        <w:t>以上企业，不属于大企业的分支机构，不存在控股股东为大企业的情形，也不存在与大企业的负责人为同一人的情形。</w:t>
      </w:r>
    </w:p>
    <w:p>
      <w:pPr>
        <w:pStyle w:val="null3"/>
        <w:ind w:firstLine="480"/>
      </w:pPr>
      <w:r>
        <w:rPr/>
        <w:t>本企业对上述声明内容的真实性负责。如有虚假，将依法承担相应责任。</w:t>
      </w:r>
    </w:p>
    <w:p>
      <w:pPr>
        <w:pStyle w:val="null3"/>
      </w:pPr>
      <w:r>
        <w:rPr/>
        <w:t xml:space="preserve"> 企业名称（盖章）：__________________</w:t>
      </w:r>
    </w:p>
    <w:p>
      <w:pPr>
        <w:pStyle w:val="null3"/>
      </w:pPr>
      <w:r>
        <w:rPr/>
        <w:t xml:space="preserve"> 日期： 年 月 日</w:t>
      </w:r>
    </w:p>
    <w:p>
      <w:pPr>
        <w:pStyle w:val="null3"/>
        <w:ind w:firstLine="480"/>
      </w:pPr>
      <w:r>
        <w:rPr/>
        <w:t>1：从业人员、营业收入、资产总额填报上一年度数据，无上一年度数据的新成立企业可不填报。</w:t>
      </w:r>
    </w:p>
    <w:p>
      <w:pPr>
        <w:pStyle w:val="null3"/>
        <w:ind w:firstLine="480"/>
      </w:pPr>
      <w:r>
        <w:rPr/>
        <w:t>2：投标人应当自行核实是否属于小微企业，并认真填写声明函，若有虚假将追究其责任。</w:t>
      </w:r>
    </w:p>
    <w:p>
      <w:pPr>
        <w:pStyle w:val="null3"/>
        <w:ind w:firstLine="480"/>
      </w:pPr>
      <w:r>
        <w:rPr/>
        <w:t xml:space="preserve">  </w:t>
      </w:r>
    </w:p>
    <w:p>
      <w:pPr>
        <w:pStyle w:val="null3"/>
        <w:outlineLvl w:val="2"/>
      </w:pPr>
      <w:r>
        <w:rPr>
          <w:sz w:val="28"/>
          <w:b/>
        </w:rPr>
        <w:t>格式十二：</w:t>
      </w:r>
    </w:p>
    <w:p>
      <w:pPr>
        <w:pStyle w:val="null3"/>
        <w:ind w:firstLine="480"/>
      </w:pPr>
      <w:r>
        <w:rPr/>
        <w:t>（以下格式文件由供应商根据需要选用）</w:t>
      </w:r>
    </w:p>
    <w:p>
      <w:pPr>
        <w:pStyle w:val="null3"/>
        <w:jc w:val="center"/>
        <w:outlineLvl w:val="3"/>
      </w:pPr>
      <w:r>
        <w:rPr>
          <w:sz w:val="24"/>
          <w:b/>
        </w:rPr>
        <w:t>监狱企业</w:t>
      </w:r>
    </w:p>
    <w:p>
      <w:pPr>
        <w:pStyle w:val="null3"/>
        <w:ind w:firstLine="480"/>
      </w:pPr>
      <w:r>
        <w:rPr/>
        <w:t>提供由监狱管理局、戒毒管理局（含新疆生产建设兵团）出具的属于监狱企业的证明文件。</w:t>
      </w:r>
    </w:p>
    <w:p>
      <w:pPr>
        <w:pStyle w:val="null3"/>
        <w:ind w:firstLine="480"/>
      </w:pPr>
      <w:r>
        <w:rPr/>
        <w:t xml:space="preserve">  </w:t>
      </w:r>
    </w:p>
    <w:p>
      <w:pPr>
        <w:pStyle w:val="null3"/>
        <w:outlineLvl w:val="2"/>
      </w:pPr>
      <w:r>
        <w:rPr>
          <w:sz w:val="28"/>
          <w:b/>
        </w:rPr>
        <w:t>格式十三：</w:t>
      </w:r>
    </w:p>
    <w:p>
      <w:pPr>
        <w:pStyle w:val="null3"/>
        <w:ind w:firstLine="480"/>
      </w:pPr>
      <w:r>
        <w:rPr/>
        <w:t>（以下格式文件由供应商根据需要选用）</w:t>
      </w:r>
    </w:p>
    <w:p>
      <w:pPr>
        <w:pStyle w:val="null3"/>
        <w:jc w:val="center"/>
        <w:outlineLvl w:val="3"/>
      </w:pPr>
      <w:r>
        <w:rPr>
          <w:sz w:val="24"/>
          <w:b/>
        </w:rPr>
        <w:t>残疾人福利性单位声明函</w:t>
      </w:r>
    </w:p>
    <w:p>
      <w:pPr>
        <w:pStyle w:val="null3"/>
        <w:ind w:firstLine="480"/>
      </w:pPr>
      <w:r>
        <w:rPr/>
        <w:t>本单位郑重声明，根据《财政部 民政部 中国残疾人联合会关于促进残疾人就业政府采购政策的通知》（财库〔2017〕 141号）的规定，本单位为符合条件的残疾人福利性单位，且本单位参加______单位的______项目采购活动提供本单位制造的货物（由本单位承担工程/提供服务），或者提供其他残疾人福利性单位制造的货物（不包括使用非残疾人福利性单位注册商标的货物）。</w:t>
      </w:r>
    </w:p>
    <w:p>
      <w:pPr>
        <w:pStyle w:val="null3"/>
        <w:ind w:firstLine="480"/>
      </w:pPr>
      <w:r>
        <w:rPr/>
        <w:t>本单位对上述声明的真实性负责。如有虚假，将依法承担相应责任。</w:t>
      </w:r>
    </w:p>
    <w:p>
      <w:pPr>
        <w:pStyle w:val="null3"/>
      </w:pPr>
      <w:r>
        <w:rPr/>
        <w:t xml:space="preserve"> 单位名称（盖章）：__________________</w:t>
      </w:r>
    </w:p>
    <w:p>
      <w:pPr>
        <w:pStyle w:val="null3"/>
      </w:pPr>
      <w:r>
        <w:rPr/>
        <w:t xml:space="preserve"> 日期： 年 月 日</w:t>
      </w:r>
    </w:p>
    <w:p>
      <w:pPr>
        <w:pStyle w:val="null3"/>
        <w:ind w:firstLine="480"/>
      </w:pPr>
      <w:r>
        <w:rPr/>
        <w:t>注：本函未填写或未勾选视作未做声明。</w:t>
      </w:r>
    </w:p>
    <w:p>
      <w:pPr>
        <w:pStyle w:val="null3"/>
        <w:ind w:firstLine="480"/>
      </w:pPr>
      <w:r>
        <w:rPr/>
        <w:t xml:space="preserve">  </w:t>
      </w:r>
    </w:p>
    <w:p>
      <w:pPr>
        <w:pStyle w:val="null3"/>
        <w:outlineLvl w:val="2"/>
      </w:pPr>
      <w:r>
        <w:rPr>
          <w:sz w:val="28"/>
          <w:b/>
        </w:rPr>
        <w:t>格式十四：</w:t>
      </w:r>
    </w:p>
    <w:p>
      <w:pPr>
        <w:pStyle w:val="null3"/>
        <w:ind w:firstLine="480"/>
      </w:pPr>
      <w:r>
        <w:rPr/>
        <w:t>（以下格式文件由供应商根据需要选用）</w:t>
      </w:r>
    </w:p>
    <w:p>
      <w:pPr>
        <w:pStyle w:val="null3"/>
        <w:jc w:val="center"/>
        <w:outlineLvl w:val="3"/>
      </w:pPr>
      <w:r>
        <w:rPr>
          <w:sz w:val="24"/>
          <w:b/>
        </w:rPr>
        <w:t>联合体共同投标协议书</w:t>
      </w:r>
    </w:p>
    <w:p>
      <w:pPr>
        <w:pStyle w:val="null3"/>
        <w:ind w:firstLine="480"/>
      </w:pPr>
      <w:r>
        <w:rPr/>
        <w:t>立约方：</w:t>
      </w:r>
      <w:r>
        <w:rPr>
          <w:u w:val="single"/>
        </w:rPr>
        <w:t>（甲公司全称）</w:t>
      </w:r>
    </w:p>
    <w:p>
      <w:pPr>
        <w:pStyle w:val="null3"/>
        <w:ind w:firstLine="480"/>
      </w:pPr>
      <w:r>
        <w:rPr>
          <w:u w:val="single"/>
        </w:rPr>
        <w:t>（乙公司全称）</w:t>
      </w:r>
    </w:p>
    <w:p>
      <w:pPr>
        <w:pStyle w:val="null3"/>
        <w:ind w:firstLine="480"/>
      </w:pPr>
      <w:r>
        <w:rPr>
          <w:u w:val="single"/>
        </w:rPr>
        <w:t>（……公司全称）</w:t>
      </w:r>
    </w:p>
    <w:p>
      <w:pPr>
        <w:pStyle w:val="null3"/>
        <w:ind w:firstLine="480"/>
      </w:pPr>
      <w:r>
        <w:rPr>
          <w:u w:val="single"/>
        </w:rPr>
        <w:t>（甲公司全称）、（乙公司全称）、（……公司全称）</w:t>
      </w:r>
      <w:r>
        <w:rPr/>
        <w:t>自愿组成联合体，以一个投标人的身份共同参加（采购项目名称）（采购项目编号）的响应活动。经各方充分协商一致，就项目的响应和合同实施阶段的有关事务协商一致订立协议如下：</w:t>
      </w:r>
    </w:p>
    <w:p>
      <w:pPr>
        <w:pStyle w:val="null3"/>
        <w:ind w:firstLine="480"/>
      </w:pPr>
      <w:r>
        <w:rPr/>
        <w:t>一、联合体各方关系</w:t>
      </w:r>
    </w:p>
    <w:p>
      <w:pPr>
        <w:pStyle w:val="null3"/>
        <w:ind w:firstLine="480"/>
      </w:pPr>
      <w:r>
        <w:rPr>
          <w:u w:val="single"/>
        </w:rPr>
        <w:t>（甲公司全称）、（乙公司全称）、（……公司全称）</w:t>
      </w:r>
      <w:r>
        <w:rPr/>
        <w:t>共同组成一个联合体，以一个投标人的身份共同参加本项目的响应。（甲公司全称）、（乙公司全称）、（……公司全称）作为联合体成员，若中标，联合体各方共同与采购人签订政府采购合同。</w:t>
      </w:r>
    </w:p>
    <w:p>
      <w:pPr>
        <w:pStyle w:val="null3"/>
        <w:ind w:firstLine="480"/>
      </w:pPr>
      <w:r>
        <w:rPr/>
        <w:t>二、联合体内部有关事项约定如下：</w:t>
      </w:r>
    </w:p>
    <w:p>
      <w:pPr>
        <w:pStyle w:val="null3"/>
        <w:ind w:firstLine="480"/>
      </w:pPr>
      <w:r>
        <w:rPr/>
        <w:t>1.（甲公司全称）作为联合体的牵头单位，代表联合体双方负责投标和合同实施阶段的主办、协调工作。</w:t>
      </w:r>
    </w:p>
    <w:p>
      <w:pPr>
        <w:pStyle w:val="null3"/>
        <w:ind w:firstLine="480"/>
      </w:pPr>
      <w:r>
        <w:rPr/>
        <w:t xml:space="preserve"> 2.联合体将严格按照文件的各项要求，递交投标文件，切实执行一切合同文件，共同承担合同规定的一切义务和责任，同时按照内部职责的划分，承担自身所负的责任和风险，在法律上承担连带责任。</w:t>
      </w:r>
    </w:p>
    <w:p>
      <w:pPr>
        <w:pStyle w:val="null3"/>
        <w:ind w:firstLine="480"/>
      </w:pPr>
      <w:r>
        <w:rPr/>
        <w:t>3.如果本联合体中标，</w:t>
      </w:r>
      <w:r>
        <w:rPr>
          <w:u w:val="single"/>
        </w:rPr>
        <w:t>（甲公司全称）</w:t>
      </w:r>
      <w:r>
        <w:rPr/>
        <w:t>负责本项目___________部分，</w:t>
      </w:r>
      <w:r>
        <w:rPr>
          <w:u w:val="single"/>
        </w:rPr>
        <w:t>（乙公司全称）</w:t>
      </w:r>
      <w:r>
        <w:rPr/>
        <w:t>负责本项目___________部分。</w:t>
      </w:r>
    </w:p>
    <w:p>
      <w:pPr>
        <w:pStyle w:val="null3"/>
        <w:ind w:firstLine="480"/>
      </w:pPr>
      <w:r>
        <w:rPr/>
        <w:t>4.如中标，联合体各方共同与（采购人）签订合同书，并就中标项目向采购人负责有连带的和各自的法律责任；</w:t>
      </w:r>
    </w:p>
    <w:p>
      <w:pPr>
        <w:pStyle w:val="null3"/>
        <w:ind w:firstLine="480"/>
      </w:pPr>
      <w:r>
        <w:rPr/>
        <w:t>5.联合体成员（公司全称）为（请填写：小型、微型）企业，将承担合同总金额_____%的工作内容（联合体成员中有小型、微型企业时适用）。</w:t>
      </w:r>
    </w:p>
    <w:p>
      <w:pPr>
        <w:pStyle w:val="null3"/>
        <w:ind w:firstLine="480"/>
      </w:pPr>
      <w:r>
        <w:rPr/>
        <w:t xml:space="preserve"> 三、联合体各方不得再以自己名义参与本采购包响应，联合体各方不能作为其它联合体或单独响应单位的项目组成员参加本采购包响应。因发生上述问题导致联合体响应成为无效报价，联合体的其他成员可追究其违约责任和经济损失。</w:t>
      </w:r>
    </w:p>
    <w:p>
      <w:pPr>
        <w:pStyle w:val="null3"/>
        <w:ind w:firstLine="480"/>
      </w:pPr>
      <w:r>
        <w:rPr/>
        <w:t>四、联合体如因违约过失责任而导致采购人经济损失或被索赔时，本联合体任何一方均同意无条件优先清偿采购人的一切债务和经济赔偿。</w:t>
      </w:r>
    </w:p>
    <w:p>
      <w:pPr>
        <w:pStyle w:val="null3"/>
        <w:ind w:firstLine="480"/>
      </w:pPr>
      <w:r>
        <w:rPr/>
        <w:t>五、本协议在自签署之日起生效，有效期内有效，如获中标资格，合同有效期延续至合同履行完毕之日。</w:t>
      </w:r>
    </w:p>
    <w:p>
      <w:pPr>
        <w:pStyle w:val="null3"/>
        <w:ind w:firstLine="480"/>
      </w:pPr>
      <w:r>
        <w:rPr/>
        <w:t>六、本协议书正本一式_____份，随投标文件装订_____份，送采购人_____份，联合体成员各一份；副本一式_____份，联合体成员各执_____份。</w:t>
      </w:r>
    </w:p>
    <w:p>
      <w:pPr>
        <w:pStyle w:val="null3"/>
      </w:pPr>
      <w:r>
        <w:rPr/>
        <w:t xml:space="preserve"> 甲公司全称：____（盖章）________，乙公司全称：____（盖章）________，……公司全称：____（盖章）________，</w:t>
      </w:r>
    </w:p>
    <w:p>
      <w:pPr>
        <w:pStyle w:val="null3"/>
      </w:pPr>
      <w:r>
        <w:rPr/>
        <w:t xml:space="preserve"> ____年____月 ____日，____年____月____日，____年____月____日</w:t>
      </w:r>
    </w:p>
    <w:p>
      <w:pPr>
        <w:pStyle w:val="null3"/>
        <w:ind w:firstLine="480"/>
      </w:pPr>
      <w:r>
        <w:rPr/>
        <w:t>注：1．联合响应时需签本协议，联合体各方成员应在本协议上共同盖章确认。</w:t>
      </w:r>
    </w:p>
    <w:p>
      <w:pPr>
        <w:pStyle w:val="null3"/>
        <w:ind w:firstLine="480"/>
      </w:pPr>
      <w:r>
        <w:rPr/>
        <w:t>2．本协议内容不得擅自修改。此协议将作为签订合同的附件之一。</w:t>
      </w:r>
    </w:p>
    <w:p>
      <w:pPr>
        <w:pStyle w:val="null3"/>
        <w:ind w:firstLine="480"/>
      </w:pPr>
      <w:r>
        <w:rPr/>
        <w:t xml:space="preserve">  </w:t>
      </w:r>
    </w:p>
    <w:p>
      <w:pPr>
        <w:pStyle w:val="null3"/>
        <w:outlineLvl w:val="2"/>
      </w:pPr>
      <w:r>
        <w:rPr>
          <w:sz w:val="28"/>
          <w:b/>
        </w:rPr>
        <w:t>格式十五：</w:t>
      </w:r>
    </w:p>
    <w:p>
      <w:pPr>
        <w:pStyle w:val="null3"/>
        <w:ind w:firstLine="480"/>
      </w:pPr>
      <w:r>
        <w:rPr/>
        <w:t>（以下格式文件由供应商根据需要选用）</w:t>
      </w:r>
    </w:p>
    <w:p>
      <w:pPr>
        <w:pStyle w:val="null3"/>
        <w:jc w:val="center"/>
        <w:outlineLvl w:val="3"/>
      </w:pPr>
      <w:r>
        <w:rPr>
          <w:sz w:val="24"/>
          <w:b/>
        </w:rPr>
        <w:t>投标人业绩情况表</w:t>
      </w:r>
    </w:p>
    <w:tbl>
      <w:tblPr>
        <w:tblW w:w="0" w:type="auto"/>
        <w:tblBorders>
          <w:top w:val="single"/>
          <w:left w:val="single"/>
          <w:bottom w:val="single"/>
          <w:right w:val="single"/>
          <w:insideH w:val="single"/>
          <w:insideV w:val="single"/>
        </w:tblBorders>
      </w:tblPr>
      <w:tblGrid>
        <w:gridCol w:w="1384"/>
        <w:gridCol w:w="1384"/>
        <w:gridCol w:w="1384"/>
        <w:gridCol w:w="1384"/>
        <w:gridCol w:w="1384"/>
        <w:gridCol w:w="1384"/>
      </w:tblGrid>
      <w:tr>
        <w:tc>
          <w:tcPr>
            <w:tcW w:type="dxa" w:w="1384"/>
          </w:tcPr>
          <w:p>
            <w:pPr>
              <w:pStyle w:val="null3"/>
            </w:pPr>
            <w:r>
              <w:rPr/>
              <w:t>序号</w:t>
            </w:r>
          </w:p>
        </w:tc>
        <w:tc>
          <w:tcPr>
            <w:tcW w:type="dxa" w:w="1384"/>
          </w:tcPr>
          <w:p>
            <w:pPr>
              <w:pStyle w:val="null3"/>
            </w:pPr>
            <w:r>
              <w:rPr/>
              <w:t>客户名称</w:t>
            </w:r>
          </w:p>
        </w:tc>
        <w:tc>
          <w:tcPr>
            <w:tcW w:type="dxa" w:w="1384"/>
          </w:tcPr>
          <w:p>
            <w:pPr>
              <w:pStyle w:val="null3"/>
            </w:pPr>
            <w:r>
              <w:rPr/>
              <w:t>项目名称及合同金额（万元）</w:t>
            </w:r>
          </w:p>
        </w:tc>
        <w:tc>
          <w:tcPr>
            <w:tcW w:type="dxa" w:w="1384"/>
          </w:tcPr>
          <w:p>
            <w:pPr>
              <w:pStyle w:val="null3"/>
            </w:pPr>
            <w:r>
              <w:rPr/>
              <w:t>签订合同时间</w:t>
            </w:r>
          </w:p>
        </w:tc>
        <w:tc>
          <w:tcPr>
            <w:tcW w:type="dxa" w:w="1384"/>
          </w:tcPr>
          <w:p>
            <w:pPr>
              <w:pStyle w:val="null3"/>
            </w:pPr>
            <w:r>
              <w:rPr/>
              <w:t>竣工验收报告时间</w:t>
            </w:r>
          </w:p>
        </w:tc>
        <w:tc>
          <w:tcPr>
            <w:tcW w:type="dxa" w:w="1384"/>
          </w:tcPr>
          <w:p>
            <w:pPr>
              <w:pStyle w:val="null3"/>
            </w:pPr>
            <w:r>
              <w:rPr/>
              <w:t>联系人及电话</w:t>
            </w:r>
          </w:p>
        </w:tc>
      </w:tr>
      <w:tr>
        <w:tc>
          <w:tcPr>
            <w:tcW w:type="dxa" w:w="1384"/>
          </w:tcPr>
          <w:p>
            <w:pPr>
              <w:pStyle w:val="null3"/>
            </w:pPr>
            <w:r>
              <w:rPr/>
              <w:t>1</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pPr>
              <w:pStyle w:val="null3"/>
            </w:pPr>
            <w:r>
              <w:rPr/>
              <w:t xml:space="preserve"> 2</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pPr>
              <w:pStyle w:val="null3"/>
            </w:pPr>
            <w:r>
              <w:rPr/>
              <w:t xml:space="preserve"> 3</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pPr>
              <w:pStyle w:val="null3"/>
            </w:pPr>
            <w:r>
              <w:rPr/>
              <w:t xml:space="preserve"> 4</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pPr>
              <w:pStyle w:val="null3"/>
            </w:pPr>
            <w:r>
              <w:rPr/>
              <w:t xml:space="preserve"> …</w:t>
            </w:r>
          </w:p>
        </w:tc>
        <w:tc>
          <w:tcPr>
            <w:tcW w:type="dxa" w:w="1384"/>
          </w:tcPr>
          <w:p/>
        </w:tc>
        <w:tc>
          <w:tcPr>
            <w:tcW w:type="dxa" w:w="1384"/>
          </w:tcPr>
          <w:p/>
        </w:tc>
        <w:tc>
          <w:tcPr>
            <w:tcW w:type="dxa" w:w="1384"/>
          </w:tcPr>
          <w:p/>
        </w:tc>
        <w:tc>
          <w:tcPr>
            <w:tcW w:type="dxa" w:w="1384"/>
          </w:tcPr>
          <w:p/>
        </w:tc>
        <w:tc>
          <w:tcPr>
            <w:tcW w:type="dxa" w:w="1384"/>
          </w:tcPr>
          <w:p/>
        </w:tc>
      </w:tr>
    </w:tbl>
    <w:p>
      <w:pPr>
        <w:pStyle w:val="null3"/>
        <w:ind w:firstLine="480"/>
      </w:pPr>
      <w:r>
        <w:rPr/>
        <w:t>根据上述业绩情况，按招标文件要求附销售或服务合同复印件及评审标准要求的证明材料。</w:t>
      </w:r>
    </w:p>
    <w:p>
      <w:pPr>
        <w:pStyle w:val="null3"/>
        <w:ind w:firstLine="480"/>
      </w:pPr>
      <w:r>
        <w:rPr/>
        <w:t xml:space="preserve">  </w:t>
      </w:r>
    </w:p>
    <w:p>
      <w:pPr>
        <w:pStyle w:val="null3"/>
        <w:outlineLvl w:val="2"/>
      </w:pPr>
      <w:r>
        <w:rPr>
          <w:sz w:val="28"/>
          <w:b/>
        </w:rPr>
        <w:t>格式十六：</w:t>
      </w:r>
    </w:p>
    <w:p>
      <w:pPr>
        <w:pStyle w:val="null3"/>
        <w:jc w:val="center"/>
        <w:outlineLvl w:val="3"/>
      </w:pPr>
      <w:r>
        <w:rPr>
          <w:sz w:val="24"/>
          <w:b/>
        </w:rPr>
        <w:t>《技术和服务要求响应表》</w:t>
      </w:r>
    </w:p>
    <w:tbl>
      <w:tblPr>
        <w:tblW w:w="0" w:type="auto"/>
        <w:tblBorders>
          <w:top w:val="single"/>
          <w:left w:val="single"/>
          <w:bottom w:val="single"/>
          <w:right w:val="single"/>
          <w:insideH w:val="single"/>
          <w:insideV w:val="single"/>
        </w:tblBorders>
      </w:tblPr>
      <w:tblGrid>
        <w:gridCol w:w="923"/>
        <w:gridCol w:w="923"/>
        <w:gridCol w:w="923"/>
        <w:gridCol w:w="923"/>
        <w:gridCol w:w="923"/>
        <w:gridCol w:w="923"/>
        <w:gridCol w:w="923"/>
        <w:gridCol w:w="923"/>
        <w:gridCol w:w="923"/>
      </w:tblGrid>
      <w:tr>
        <w:tc>
          <w:tcPr>
            <w:tcW w:type="dxa" w:w="923"/>
          </w:tcPr>
          <w:p>
            <w:pPr>
              <w:pStyle w:val="null3"/>
            </w:pPr>
            <w:r>
              <w:rPr/>
              <w:t>序号</w:t>
            </w:r>
          </w:p>
        </w:tc>
        <w:tc>
          <w:tcPr>
            <w:tcW w:type="dxa" w:w="923"/>
          </w:tcPr>
          <w:p>
            <w:pPr>
              <w:pStyle w:val="null3"/>
            </w:pPr>
            <w:r>
              <w:rPr/>
              <w:t>标的名称</w:t>
            </w:r>
          </w:p>
        </w:tc>
        <w:tc>
          <w:tcPr>
            <w:tcW w:type="dxa" w:w="923"/>
          </w:tcPr>
          <w:p>
            <w:pPr>
              <w:pStyle w:val="null3"/>
            </w:pPr>
            <w:r>
              <w:rPr/>
              <w:t>参数性质</w:t>
            </w:r>
          </w:p>
        </w:tc>
        <w:tc>
          <w:tcPr>
            <w:tcW w:type="dxa" w:w="923"/>
          </w:tcPr>
          <w:p>
            <w:pPr>
              <w:pStyle w:val="null3"/>
            </w:pPr>
            <w:r>
              <w:rPr/>
              <w:t>采购文件规定的技术和服务要求</w:t>
            </w:r>
          </w:p>
        </w:tc>
        <w:tc>
          <w:tcPr>
            <w:tcW w:type="dxa" w:w="923"/>
          </w:tcPr>
          <w:p>
            <w:pPr>
              <w:pStyle w:val="null3"/>
            </w:pPr>
            <w:r>
              <w:rPr/>
              <w:t>投标文件响应的具体内容</w:t>
            </w:r>
          </w:p>
        </w:tc>
        <w:tc>
          <w:tcPr>
            <w:tcW w:type="dxa" w:w="923"/>
          </w:tcPr>
          <w:p>
            <w:pPr>
              <w:pStyle w:val="null3"/>
            </w:pPr>
            <w:r>
              <w:rPr/>
              <w:t>型号</w:t>
            </w:r>
          </w:p>
        </w:tc>
        <w:tc>
          <w:tcPr>
            <w:tcW w:type="dxa" w:w="923"/>
          </w:tcPr>
          <w:p>
            <w:pPr>
              <w:pStyle w:val="null3"/>
            </w:pPr>
            <w:r>
              <w:rPr/>
              <w:t>是否偏离</w:t>
            </w:r>
          </w:p>
        </w:tc>
        <w:tc>
          <w:tcPr>
            <w:tcW w:type="dxa" w:w="923"/>
          </w:tcPr>
          <w:p>
            <w:pPr>
              <w:pStyle w:val="null3"/>
            </w:pPr>
            <w:r>
              <w:rPr/>
              <w:t>证明文件所在位置</w:t>
            </w:r>
          </w:p>
        </w:tc>
        <w:tc>
          <w:tcPr>
            <w:tcW w:type="dxa" w:w="923"/>
          </w:tcPr>
          <w:p>
            <w:pPr>
              <w:pStyle w:val="null3"/>
            </w:pPr>
            <w:r>
              <w:rPr/>
              <w:t>备注</w:t>
            </w:r>
          </w:p>
        </w:tc>
      </w:tr>
      <w:tr>
        <w:tc>
          <w:tcPr>
            <w:tcW w:type="dxa" w:w="923"/>
          </w:tcPr>
          <w:p>
            <w:pPr>
              <w:pStyle w:val="null3"/>
            </w:pPr>
            <w:r>
              <w:rPr/>
              <w:t>1</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2</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3</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4</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5</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6</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bl>
    <w:p>
      <w:pPr>
        <w:pStyle w:val="null3"/>
        <w:ind w:firstLine="480"/>
      </w:pPr>
      <w:r>
        <w:rPr/>
        <w:t>说明：</w:t>
      </w:r>
    </w:p>
    <w:p>
      <w:pPr>
        <w:pStyle w:val="null3"/>
        <w:ind w:firstLine="480"/>
      </w:pPr>
      <w:r>
        <w:rPr/>
        <w:t xml:space="preserve"> 1.“采购文件规定的技术和服务要求”项下填写的内容应与招标文件中采购需求的 “技术要求”的内容保持一致。投标人应当如实填写上表“投标文件响应的具体内容”处内容，对采购文件提出的要求和条件作出明确响应，并列明具体响应数值或内容，只注明符合、满足等无具体内容表述的，将视为未实质性满足招标文件要求。投标人需要说明的内容若需特殊表达，应先在本表中进行相应说明，再另页应答，否则投标无效。</w:t>
      </w:r>
    </w:p>
    <w:p>
      <w:pPr>
        <w:pStyle w:val="null3"/>
        <w:ind w:firstLine="480"/>
      </w:pPr>
      <w:r>
        <w:rPr/>
        <w:t xml:space="preserve"> 2. 参数性质栏目按招标文件有标注的“★”、“▲”号条款进行填写，打“★”号条款为实质性条款，若有任何一条负偏离或不满足则导致投标无效。打“▲”号条款为重要技术参数（如有），若有部分“▲”条款未响应或不满足，将根据评审要求影响其得分，但不作为无效投标条款。</w:t>
      </w:r>
    </w:p>
    <w:p>
      <w:pPr>
        <w:pStyle w:val="null3"/>
        <w:ind w:firstLine="480"/>
      </w:pPr>
      <w:r>
        <w:rPr/>
        <w:t>3. “是否偏离”项下应按下列规定填写：优于的，填写“正偏离”；符合的，填写“无偏离”；低于的，填写“负偏离”。</w:t>
      </w:r>
    </w:p>
    <w:p>
      <w:pPr>
        <w:pStyle w:val="null3"/>
        <w:ind w:firstLine="480"/>
      </w:pPr>
      <w:r>
        <w:rPr/>
        <w:t>4.“备注”处可填写偏离情况的说明。</w:t>
      </w:r>
    </w:p>
    <w:p>
      <w:pPr>
        <w:pStyle w:val="null3"/>
        <w:ind w:firstLine="480"/>
      </w:pPr>
      <w:r>
        <w:rPr/>
        <w:t xml:space="preserve">  </w:t>
      </w:r>
    </w:p>
    <w:p>
      <w:pPr>
        <w:pStyle w:val="null3"/>
        <w:outlineLvl w:val="2"/>
      </w:pPr>
      <w:r>
        <w:rPr>
          <w:sz w:val="28"/>
          <w:b/>
        </w:rPr>
        <w:t>格式十七：</w:t>
      </w:r>
    </w:p>
    <w:p>
      <w:pPr>
        <w:pStyle w:val="null3"/>
        <w:jc w:val="center"/>
        <w:outlineLvl w:val="3"/>
      </w:pPr>
      <w:r>
        <w:rPr>
          <w:sz w:val="24"/>
          <w:b/>
        </w:rPr>
        <w:t>《商务条件响应表》</w:t>
      </w:r>
    </w:p>
    <w:tbl>
      <w:tblPr>
        <w:tblW w:w="0" w:type="auto"/>
        <w:tblBorders>
          <w:top w:val="single"/>
          <w:left w:val="single"/>
          <w:bottom w:val="single"/>
          <w:right w:val="single"/>
          <w:insideH w:val="single"/>
          <w:insideV w:val="single"/>
        </w:tblBorders>
      </w:tblPr>
      <w:tblGrid>
        <w:gridCol w:w="1187"/>
        <w:gridCol w:w="1187"/>
        <w:gridCol w:w="1187"/>
        <w:gridCol w:w="1187"/>
        <w:gridCol w:w="1187"/>
        <w:gridCol w:w="1187"/>
        <w:gridCol w:w="1187"/>
      </w:tblGrid>
      <w:tr>
        <w:tc>
          <w:tcPr>
            <w:tcW w:type="dxa" w:w="1187"/>
          </w:tcPr>
          <w:p>
            <w:pPr>
              <w:pStyle w:val="null3"/>
            </w:pPr>
            <w:r>
              <w:rPr/>
              <w:t xml:space="preserve"> 序号</w:t>
            </w:r>
          </w:p>
        </w:tc>
        <w:tc>
          <w:tcPr>
            <w:tcW w:type="dxa" w:w="1187"/>
          </w:tcPr>
          <w:p>
            <w:pPr>
              <w:pStyle w:val="null3"/>
            </w:pPr>
            <w:r>
              <w:rPr/>
              <w:t xml:space="preserve"> 参数性质</w:t>
            </w:r>
          </w:p>
        </w:tc>
        <w:tc>
          <w:tcPr>
            <w:tcW w:type="dxa" w:w="1187"/>
          </w:tcPr>
          <w:p>
            <w:pPr>
              <w:pStyle w:val="null3"/>
            </w:pPr>
            <w:r>
              <w:rPr/>
              <w:t xml:space="preserve"> 采购文件规定的商务条件</w:t>
            </w:r>
          </w:p>
        </w:tc>
        <w:tc>
          <w:tcPr>
            <w:tcW w:type="dxa" w:w="1187"/>
          </w:tcPr>
          <w:p>
            <w:pPr>
              <w:pStyle w:val="null3"/>
            </w:pPr>
            <w:r>
              <w:rPr/>
              <w:t xml:space="preserve"> 投标文件响应的具体内容</w:t>
            </w:r>
          </w:p>
        </w:tc>
        <w:tc>
          <w:tcPr>
            <w:tcW w:type="dxa" w:w="1187"/>
          </w:tcPr>
          <w:p>
            <w:pPr>
              <w:pStyle w:val="null3"/>
            </w:pPr>
            <w:r>
              <w:rPr/>
              <w:t xml:space="preserve"> 是否偏离</w:t>
            </w:r>
          </w:p>
        </w:tc>
        <w:tc>
          <w:tcPr>
            <w:tcW w:type="dxa" w:w="1187"/>
          </w:tcPr>
          <w:p>
            <w:pPr>
              <w:pStyle w:val="null3"/>
            </w:pPr>
            <w:r>
              <w:rPr/>
              <w:t xml:space="preserve"> 证明文件所在位置</w:t>
            </w:r>
          </w:p>
        </w:tc>
        <w:tc>
          <w:tcPr>
            <w:tcW w:type="dxa" w:w="1187"/>
          </w:tcPr>
          <w:p>
            <w:pPr>
              <w:pStyle w:val="null3"/>
            </w:pPr>
            <w:r>
              <w:rPr/>
              <w:t xml:space="preserve"> 备注</w:t>
            </w:r>
          </w:p>
        </w:tc>
      </w:tr>
      <w:tr>
        <w:tc>
          <w:tcPr>
            <w:tcW w:type="dxa" w:w="1187"/>
          </w:tcPr>
          <w:p>
            <w:pPr>
              <w:pStyle w:val="null3"/>
            </w:pPr>
            <w:r>
              <w:rPr/>
              <w:t>1</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2</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3</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4</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5</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6</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7</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8</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9</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 xml:space="preserve"> ……</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bl>
    <w:p>
      <w:pPr>
        <w:pStyle w:val="null3"/>
        <w:ind w:firstLine="480"/>
      </w:pPr>
      <w:r>
        <w:rPr/>
        <w:t>说明：</w:t>
      </w:r>
    </w:p>
    <w:p>
      <w:pPr>
        <w:pStyle w:val="null3"/>
        <w:ind w:firstLine="480"/>
      </w:pPr>
      <w:r>
        <w:rPr/>
        <w:t>1. “采购文件规定的商务条件”项下填写的内容应与招标文件中采购需求的 “商务要求”的内容保持一致。</w:t>
      </w:r>
    </w:p>
    <w:p>
      <w:pPr>
        <w:pStyle w:val="null3"/>
        <w:ind w:firstLine="480"/>
      </w:pPr>
      <w:r>
        <w:rPr/>
        <w:t>2. 投标人应当如实填写上表“投标文件响应的具体内容”处内容，对采购文件规定的商务条件作出明确响应，并列明具体响应数值或内容，只注明符合、满足等无具体内容表述或照搬照抄采购文件参数、不注明实际数值者 的，将视为未实质性满足招标文件要求。投标人需要说明的内容若需特殊表达，应先在本表中进行相应说明，再另页应答，否则投标无效。</w:t>
      </w:r>
    </w:p>
    <w:p>
      <w:pPr>
        <w:pStyle w:val="null3"/>
        <w:ind w:firstLine="480"/>
      </w:pPr>
      <w:r>
        <w:rPr/>
        <w:t>3. 参数性质栏目按招标文件有标注的“★”、“▲”号条款进行填写，打“★”号条款为实质性条款，若有任何一条负偏离或不满足则导致投标无效。打“▲”号条款为重要技术参数（如有），若有部分“▲”条款未响应或不满足，将根据评审要求影响其得分，但不作为无效投标条款。</w:t>
      </w:r>
    </w:p>
    <w:p>
      <w:pPr>
        <w:pStyle w:val="null3"/>
        <w:ind w:firstLine="480"/>
      </w:pPr>
      <w:r>
        <w:rPr/>
        <w:t>4. “是否偏离”项下应按下列规定填写：优于的，填写“正偏离”；符合的，填写“无偏离”；低于的，填写“负偏离”。</w:t>
      </w:r>
    </w:p>
    <w:p>
      <w:pPr>
        <w:pStyle w:val="null3"/>
        <w:ind w:firstLine="480"/>
      </w:pPr>
      <w:r>
        <w:rPr/>
        <w:t>5.“备注”处可填写偏离情况的说明。</w:t>
      </w:r>
    </w:p>
    <w:p>
      <w:pPr>
        <w:pStyle w:val="null3"/>
        <w:ind w:firstLine="480"/>
      </w:pPr>
      <w:r>
        <w:rPr/>
        <w:t xml:space="preserve">  </w:t>
      </w:r>
    </w:p>
    <w:p>
      <w:pPr>
        <w:pStyle w:val="null3"/>
        <w:outlineLvl w:val="2"/>
      </w:pPr>
      <w:r>
        <w:rPr>
          <w:sz w:val="28"/>
          <w:b/>
        </w:rPr>
        <w:t>格式十八：</w:t>
      </w:r>
    </w:p>
    <w:p>
      <w:pPr>
        <w:pStyle w:val="null3"/>
        <w:ind w:firstLine="480"/>
      </w:pPr>
      <w:r>
        <w:rPr/>
        <w:t>（以下格式文件由供应商根据需要选用）</w:t>
      </w:r>
    </w:p>
    <w:p>
      <w:pPr>
        <w:pStyle w:val="null3"/>
        <w:jc w:val="center"/>
        <w:outlineLvl w:val="3"/>
      </w:pPr>
      <w:r>
        <w:rPr>
          <w:sz w:val="24"/>
          <w:b/>
        </w:rPr>
        <w:t>履约进度计划表</w:t>
      </w:r>
    </w:p>
    <w:tbl>
      <w:tblPr>
        <w:tblW w:w="0" w:type="auto"/>
        <w:tblBorders>
          <w:top w:val="single"/>
          <w:left w:val="single"/>
          <w:bottom w:val="single"/>
          <w:right w:val="single"/>
          <w:insideH w:val="single"/>
          <w:insideV w:val="single"/>
        </w:tblBorders>
      </w:tblPr>
      <w:tblGrid>
        <w:gridCol w:w="2076"/>
        <w:gridCol w:w="2076"/>
        <w:gridCol w:w="2076"/>
        <w:gridCol w:w="2076"/>
      </w:tblGrid>
      <w:tr>
        <w:tc>
          <w:tcPr>
            <w:tcW w:type="dxa" w:w="2076"/>
          </w:tcPr>
          <w:p>
            <w:pPr>
              <w:pStyle w:val="null3"/>
            </w:pPr>
            <w:r>
              <w:rPr/>
              <w:t>序号</w:t>
            </w:r>
          </w:p>
        </w:tc>
        <w:tc>
          <w:tcPr>
            <w:tcW w:type="dxa" w:w="2076"/>
          </w:tcPr>
          <w:p>
            <w:pPr>
              <w:pStyle w:val="null3"/>
            </w:pPr>
            <w:r>
              <w:rPr/>
              <w:t xml:space="preserve"> 拟定时间安排</w:t>
            </w:r>
          </w:p>
        </w:tc>
        <w:tc>
          <w:tcPr>
            <w:tcW w:type="dxa" w:w="2076"/>
          </w:tcPr>
          <w:p>
            <w:pPr>
              <w:pStyle w:val="null3"/>
            </w:pPr>
            <w:r>
              <w:rPr/>
              <w:t xml:space="preserve"> 计划完成的工作内容</w:t>
            </w:r>
          </w:p>
        </w:tc>
        <w:tc>
          <w:tcPr>
            <w:tcW w:type="dxa" w:w="2076"/>
          </w:tcPr>
          <w:p>
            <w:pPr>
              <w:pStyle w:val="null3"/>
            </w:pPr>
            <w:r>
              <w:rPr/>
              <w:t xml:space="preserve"> 实施方建议或要求</w:t>
            </w:r>
          </w:p>
        </w:tc>
      </w:tr>
      <w:tr>
        <w:tc>
          <w:tcPr>
            <w:tcW w:type="dxa" w:w="2076"/>
          </w:tcPr>
          <w:p>
            <w:pPr>
              <w:pStyle w:val="null3"/>
            </w:pPr>
            <w:r>
              <w:rPr/>
              <w:t xml:space="preserve"> 1</w:t>
            </w:r>
          </w:p>
        </w:tc>
        <w:tc>
          <w:tcPr>
            <w:tcW w:type="dxa" w:w="2076"/>
          </w:tcPr>
          <w:p>
            <w:pPr>
              <w:pStyle w:val="null3"/>
            </w:pPr>
            <w:r>
              <w:rPr/>
              <w:t xml:space="preserve"> 拟定___年___月___日</w:t>
            </w:r>
          </w:p>
        </w:tc>
        <w:tc>
          <w:tcPr>
            <w:tcW w:type="dxa" w:w="2076"/>
          </w:tcPr>
          <w:p>
            <w:pPr>
              <w:pStyle w:val="null3"/>
            </w:pPr>
            <w:r>
              <w:rPr/>
              <w:t xml:space="preserve"> 签定合同并生效</w:t>
            </w:r>
          </w:p>
        </w:tc>
        <w:tc>
          <w:tcPr>
            <w:tcW w:type="dxa" w:w="2076"/>
          </w:tcPr>
          <w:p/>
        </w:tc>
      </w:tr>
      <w:tr>
        <w:tc>
          <w:tcPr>
            <w:tcW w:type="dxa" w:w="2076"/>
          </w:tcPr>
          <w:p>
            <w:pPr>
              <w:pStyle w:val="null3"/>
            </w:pPr>
            <w:r>
              <w:rPr/>
              <w:t xml:space="preserve"> 2</w:t>
            </w:r>
          </w:p>
        </w:tc>
        <w:tc>
          <w:tcPr>
            <w:tcW w:type="dxa" w:w="2076"/>
          </w:tcPr>
          <w:p>
            <w:pPr>
              <w:pStyle w:val="null3"/>
            </w:pPr>
            <w:r>
              <w:rPr/>
              <w:t xml:space="preserve"> ___月___日—___月___日</w:t>
            </w:r>
          </w:p>
        </w:tc>
        <w:tc>
          <w:tcPr>
            <w:tcW w:type="dxa" w:w="2076"/>
          </w:tcPr>
          <w:p/>
        </w:tc>
        <w:tc>
          <w:tcPr>
            <w:tcW w:type="dxa" w:w="2076"/>
          </w:tcPr>
          <w:p/>
        </w:tc>
      </w:tr>
      <w:tr>
        <w:tc>
          <w:tcPr>
            <w:tcW w:type="dxa" w:w="2076"/>
          </w:tcPr>
          <w:p>
            <w:pPr>
              <w:pStyle w:val="null3"/>
            </w:pPr>
            <w:r>
              <w:rPr/>
              <w:t xml:space="preserve"> 3</w:t>
            </w:r>
          </w:p>
        </w:tc>
        <w:tc>
          <w:tcPr>
            <w:tcW w:type="dxa" w:w="2076"/>
          </w:tcPr>
          <w:p>
            <w:pPr>
              <w:pStyle w:val="null3"/>
            </w:pPr>
            <w:r>
              <w:rPr/>
              <w:t xml:space="preserve"> ___月___日—___月___日</w:t>
            </w:r>
          </w:p>
        </w:tc>
        <w:tc>
          <w:tcPr>
            <w:tcW w:type="dxa" w:w="2076"/>
          </w:tcPr>
          <w:p/>
        </w:tc>
        <w:tc>
          <w:tcPr>
            <w:tcW w:type="dxa" w:w="2076"/>
          </w:tcPr>
          <w:p/>
        </w:tc>
      </w:tr>
      <w:tr>
        <w:tc>
          <w:tcPr>
            <w:tcW w:type="dxa" w:w="2076"/>
          </w:tcPr>
          <w:p>
            <w:pPr>
              <w:pStyle w:val="null3"/>
            </w:pPr>
            <w:r>
              <w:rPr/>
              <w:t xml:space="preserve"> 4</w:t>
            </w:r>
          </w:p>
        </w:tc>
        <w:tc>
          <w:tcPr>
            <w:tcW w:type="dxa" w:w="2076"/>
          </w:tcPr>
          <w:p>
            <w:pPr>
              <w:pStyle w:val="null3"/>
            </w:pPr>
            <w:r>
              <w:rPr/>
              <w:t xml:space="preserve"> ___月___日—___月___日</w:t>
            </w:r>
          </w:p>
        </w:tc>
        <w:tc>
          <w:tcPr>
            <w:tcW w:type="dxa" w:w="2076"/>
          </w:tcPr>
          <w:p>
            <w:pPr>
              <w:pStyle w:val="null3"/>
            </w:pPr>
            <w:r>
              <w:rPr/>
              <w:t xml:space="preserve"> 质保期</w:t>
            </w:r>
          </w:p>
        </w:tc>
        <w:tc>
          <w:tcPr>
            <w:tcW w:type="dxa" w:w="2076"/>
          </w:tcPr>
          <w:p/>
        </w:tc>
      </w:tr>
    </w:tbl>
    <w:p>
      <w:pPr>
        <w:pStyle w:val="null3"/>
        <w:ind w:firstLine="480"/>
      </w:pPr>
      <w:r>
        <w:rPr/>
        <w:t xml:space="preserve">  </w:t>
      </w:r>
    </w:p>
    <w:p>
      <w:pPr>
        <w:pStyle w:val="null3"/>
        <w:outlineLvl w:val="2"/>
      </w:pPr>
      <w:r>
        <w:rPr>
          <w:sz w:val="28"/>
          <w:b/>
        </w:rPr>
        <w:t>格式十九：</w:t>
      </w:r>
    </w:p>
    <w:p>
      <w:pPr>
        <w:pStyle w:val="null3"/>
        <w:ind w:firstLine="480"/>
      </w:pPr>
      <w:r>
        <w:rPr/>
        <w:t>（以下格式文件由供应商根据需要选用）</w:t>
      </w:r>
    </w:p>
    <w:p>
      <w:pPr>
        <w:pStyle w:val="null3"/>
        <w:jc w:val="center"/>
        <w:outlineLvl w:val="3"/>
      </w:pPr>
      <w:r>
        <w:rPr>
          <w:sz w:val="24"/>
          <w:b/>
        </w:rPr>
        <w:t>各类证明材料</w:t>
      </w:r>
    </w:p>
    <w:p>
      <w:pPr>
        <w:pStyle w:val="null3"/>
        <w:ind w:firstLine="480"/>
      </w:pPr>
      <w:r>
        <w:rPr/>
        <w:t>1.招标文件要求提供的其他资料。</w:t>
      </w:r>
    </w:p>
    <w:p>
      <w:pPr>
        <w:pStyle w:val="null3"/>
        <w:ind w:firstLine="480"/>
      </w:pPr>
      <w:r>
        <w:rPr/>
        <w:t>2.投标人认为需提供的其他资料。</w:t>
      </w:r>
    </w:p>
    <w:p>
      <w:pPr>
        <w:pStyle w:val="null3"/>
        <w:ind w:firstLine="480"/>
      </w:pPr>
      <w:r>
        <w:rPr/>
        <w:t xml:space="preserve">  </w:t>
      </w:r>
    </w:p>
    <w:p>
      <w:pPr>
        <w:pStyle w:val="null3"/>
        <w:outlineLvl w:val="2"/>
      </w:pPr>
      <w:r>
        <w:rPr>
          <w:sz w:val="28"/>
          <w:b/>
        </w:rPr>
        <w:t>格式二十：</w:t>
      </w:r>
    </w:p>
    <w:p>
      <w:pPr>
        <w:pStyle w:val="null3"/>
        <w:jc w:val="center"/>
        <w:outlineLvl w:val="3"/>
      </w:pPr>
      <w:r>
        <w:rPr>
          <w:sz w:val="24"/>
          <w:b/>
        </w:rPr>
        <w:t>采购代理服务费支付承诺书</w:t>
      </w:r>
    </w:p>
    <w:p>
      <w:pPr>
        <w:pStyle w:val="null3"/>
        <w:ind w:firstLine="480"/>
      </w:pPr>
      <w:r>
        <w:rPr/>
        <w:t>致：</w:t>
      </w:r>
      <w:r>
        <w:rPr/>
        <w:t>国义招标股份有限公司</w:t>
      </w:r>
    </w:p>
    <w:p>
      <w:pPr>
        <w:pStyle w:val="null3"/>
        <w:ind w:firstLine="480"/>
      </w:pPr>
      <w:r>
        <w:rPr/>
        <w:t xml:space="preserve"> 如果我方在贵采购代理机构组织的</w:t>
      </w:r>
      <w:r>
        <w:rPr/>
        <w:t>广州市城市管理和综合执法局全市井盖设施管理监督、抽查、应急处置项目</w:t>
      </w:r>
      <w:r>
        <w:rPr/>
        <w:t>招标中获中标（采购项目编号：</w:t>
      </w:r>
      <w:r>
        <w:rPr/>
        <w:t>0724-2631Z2892081</w:t>
      </w:r>
      <w:r>
        <w:rPr/>
        <w:t>），我方保证在收取《中标通知书》时，按招标文件对代理服务费支付方式的约定，承担本项目代理服务费。</w:t>
      </w:r>
    </w:p>
    <w:p>
      <w:pPr>
        <w:pStyle w:val="null3"/>
        <w:ind w:firstLine="480"/>
      </w:pPr>
      <w:r>
        <w:rPr/>
        <w:t xml:space="preserve"> 我方如违约，愿凭贵单位开出的违约通知，从我方提交的投标保证金中支付，不足部分由采购人在支付我方的中标合同款中代为扣付；以投标担保函（或保险保函）方式提交投标保证金时，同意和要求投标担保函开立银行或担保机构、保险保函开立的保险机构应</w:t>
      </w:r>
      <w:r>
        <w:rPr/>
        <w:t xml:space="preserve">国义招标股份有限公司 </w:t>
      </w:r>
      <w:r>
        <w:rPr/>
        <w:t>的要求办理支付手续。</w:t>
      </w:r>
    </w:p>
    <w:p>
      <w:pPr>
        <w:pStyle w:val="null3"/>
        <w:ind w:firstLine="480"/>
      </w:pPr>
      <w:r>
        <w:rPr/>
        <w:t>特此承诺！</w:t>
      </w:r>
    </w:p>
    <w:p>
      <w:pPr>
        <w:pStyle w:val="null3"/>
      </w:pPr>
      <w:r>
        <w:rPr/>
        <w:t>投标人法定名称（公章）；_____________________</w:t>
      </w:r>
    </w:p>
    <w:p>
      <w:pPr>
        <w:pStyle w:val="null3"/>
      </w:pPr>
      <w:r>
        <w:rPr/>
        <w:t>投标人法定地址：_____________________</w:t>
      </w:r>
    </w:p>
    <w:p>
      <w:pPr>
        <w:pStyle w:val="null3"/>
      </w:pPr>
      <w:r>
        <w:rPr/>
        <w:t>投标人授权代表（签字或盖章）：_____________________</w:t>
      </w:r>
    </w:p>
    <w:p>
      <w:pPr>
        <w:pStyle w:val="null3"/>
      </w:pPr>
      <w:r>
        <w:rPr/>
        <w:t>电 话：_____________________</w:t>
      </w:r>
    </w:p>
    <w:p>
      <w:pPr>
        <w:pStyle w:val="null3"/>
      </w:pPr>
      <w:r>
        <w:rPr/>
        <w:t>传 真：_____________________</w:t>
      </w:r>
    </w:p>
    <w:p>
      <w:pPr>
        <w:pStyle w:val="null3"/>
      </w:pPr>
      <w:r>
        <w:rPr/>
        <w:t>承诺日期：_____________________</w:t>
      </w:r>
    </w:p>
    <w:p>
      <w:pPr>
        <w:pStyle w:val="null3"/>
        <w:ind w:firstLine="480"/>
      </w:pPr>
      <w:r>
        <w:rPr/>
        <w:t xml:space="preserve">  </w:t>
      </w:r>
    </w:p>
    <w:p>
      <w:pPr>
        <w:pStyle w:val="null3"/>
        <w:outlineLvl w:val="2"/>
      </w:pPr>
      <w:r>
        <w:rPr>
          <w:sz w:val="28"/>
          <w:b/>
        </w:rPr>
        <w:t>格式二十一：</w:t>
      </w:r>
    </w:p>
    <w:p>
      <w:pPr>
        <w:pStyle w:val="null3"/>
        <w:ind w:firstLine="480"/>
      </w:pPr>
      <w:r>
        <w:rPr/>
        <w:t>（以下格式文件由供应商根据需要选用）</w:t>
      </w:r>
    </w:p>
    <w:p>
      <w:pPr>
        <w:pStyle w:val="null3"/>
        <w:jc w:val="center"/>
        <w:outlineLvl w:val="3"/>
      </w:pPr>
      <w:r>
        <w:rPr>
          <w:sz w:val="24"/>
          <w:b/>
        </w:rPr>
        <w:t>需要采购人提供的附加条件</w:t>
      </w:r>
    </w:p>
    <w:tbl>
      <w:tblPr>
        <w:tblW w:w="0" w:type="auto"/>
        <w:tblBorders>
          <w:top w:val="single"/>
          <w:left w:val="single"/>
          <w:bottom w:val="single"/>
          <w:right w:val="single"/>
          <w:insideH w:val="single"/>
          <w:insideV w:val="single"/>
        </w:tblBorders>
      </w:tblPr>
      <w:tblGrid>
        <w:gridCol w:w="4153"/>
        <w:gridCol w:w="4153"/>
      </w:tblGrid>
      <w:tr>
        <w:tc>
          <w:tcPr>
            <w:tcW w:type="dxa" w:w="4153"/>
          </w:tcPr>
          <w:p>
            <w:pPr>
              <w:pStyle w:val="null3"/>
            </w:pPr>
            <w:r>
              <w:rPr/>
              <w:t>序号</w:t>
            </w:r>
          </w:p>
        </w:tc>
        <w:tc>
          <w:tcPr>
            <w:tcW w:type="dxa" w:w="4153"/>
          </w:tcPr>
          <w:p>
            <w:pPr>
              <w:pStyle w:val="null3"/>
            </w:pPr>
            <w:r>
              <w:rPr/>
              <w:t>投标人需要采购人提供的附加条件</w:t>
            </w:r>
          </w:p>
        </w:tc>
      </w:tr>
      <w:tr>
        <w:tc>
          <w:tcPr>
            <w:tcW w:type="dxa" w:w="4153"/>
          </w:tcPr>
          <w:p>
            <w:pPr>
              <w:pStyle w:val="null3"/>
            </w:pPr>
            <w:r>
              <w:rPr/>
              <w:t xml:space="preserve"> 1</w:t>
            </w:r>
          </w:p>
        </w:tc>
        <w:tc>
          <w:tcPr>
            <w:tcW w:type="dxa" w:w="4153"/>
          </w:tcPr>
          <w:p/>
        </w:tc>
      </w:tr>
      <w:tr>
        <w:tc>
          <w:tcPr>
            <w:tcW w:type="dxa" w:w="4153"/>
          </w:tcPr>
          <w:p>
            <w:pPr>
              <w:pStyle w:val="null3"/>
            </w:pPr>
            <w:r>
              <w:rPr/>
              <w:t xml:space="preserve"> 2</w:t>
            </w:r>
          </w:p>
        </w:tc>
        <w:tc>
          <w:tcPr>
            <w:tcW w:type="dxa" w:w="4153"/>
          </w:tcPr>
          <w:p/>
        </w:tc>
      </w:tr>
      <w:tr>
        <w:tc>
          <w:tcPr>
            <w:tcW w:type="dxa" w:w="4153"/>
          </w:tcPr>
          <w:p>
            <w:pPr>
              <w:pStyle w:val="null3"/>
            </w:pPr>
            <w:r>
              <w:rPr/>
              <w:t xml:space="preserve"> 3</w:t>
            </w:r>
          </w:p>
        </w:tc>
        <w:tc>
          <w:tcPr>
            <w:tcW w:type="dxa" w:w="4153"/>
          </w:tcPr>
          <w:p/>
        </w:tc>
      </w:tr>
    </w:tbl>
    <w:p>
      <w:pPr>
        <w:pStyle w:val="null3"/>
        <w:ind w:firstLine="480"/>
      </w:pPr>
      <w:r>
        <w:rPr/>
        <w:t>注：投标人完成本项目需要采购人配合或提供的条件必须在上表列出，否则将视为投标人同意按现有条件完成本项目。如上表所列附加条件含有采购人不能接受的，将被视为投标无效。</w:t>
      </w:r>
    </w:p>
    <w:p>
      <w:pPr>
        <w:pStyle w:val="null3"/>
        <w:ind w:firstLine="480"/>
      </w:pPr>
      <w:r>
        <w:rPr/>
        <w:t xml:space="preserve">  </w:t>
      </w:r>
    </w:p>
    <w:p>
      <w:pPr>
        <w:pStyle w:val="null3"/>
        <w:outlineLvl w:val="2"/>
      </w:pPr>
      <w:r>
        <w:rPr>
          <w:sz w:val="28"/>
          <w:b/>
        </w:rPr>
        <w:t>格式二十二：</w:t>
      </w:r>
    </w:p>
    <w:p>
      <w:pPr>
        <w:pStyle w:val="null3"/>
        <w:ind w:firstLine="480"/>
      </w:pPr>
      <w:r>
        <w:rPr/>
        <w:t>（以下格式文件由供应商根据需要选用）</w:t>
      </w:r>
    </w:p>
    <w:p>
      <w:pPr>
        <w:pStyle w:val="null3"/>
        <w:ind w:firstLine="480"/>
      </w:pPr>
      <w:r>
        <w:rPr/>
        <w:t>项目实施方案、质量保证及售后服务承诺等内容和格式自拟。</w:t>
      </w:r>
    </w:p>
    <w:p>
      <w:pPr>
        <w:pStyle w:val="null3"/>
        <w:ind w:firstLine="480"/>
      </w:pPr>
      <w:r>
        <w:rPr/>
        <w:t xml:space="preserve">  </w:t>
      </w:r>
    </w:p>
    <w:p>
      <w:pPr>
        <w:pStyle w:val="null3"/>
        <w:outlineLvl w:val="2"/>
      </w:pPr>
      <w:r>
        <w:rPr>
          <w:sz w:val="28"/>
          <w:b/>
        </w:rPr>
        <w:t>格式二十三：</w:t>
      </w:r>
    </w:p>
    <w:p>
      <w:pPr>
        <w:pStyle w:val="null3"/>
        <w:ind w:firstLine="480"/>
      </w:pPr>
      <w:r>
        <w:rPr/>
        <w:t>附件（以下格式文件由供应商根据需要选用）</w:t>
      </w:r>
    </w:p>
    <w:p>
      <w:pPr>
        <w:pStyle w:val="null3"/>
        <w:jc w:val="center"/>
        <w:outlineLvl w:val="3"/>
      </w:pPr>
      <w:r>
        <w:rPr>
          <w:sz w:val="24"/>
          <w:b/>
        </w:rPr>
        <w:t>政府采购投标（响应）担保函</w:t>
      </w:r>
    </w:p>
    <w:p>
      <w:pPr>
        <w:pStyle w:val="null3"/>
      </w:pPr>
      <w:r>
        <w:rPr/>
        <w:t>编号：【 】号</w:t>
      </w:r>
    </w:p>
    <w:p>
      <w:pPr>
        <w:pStyle w:val="null3"/>
        <w:ind w:firstLine="480"/>
      </w:pPr>
      <w:r>
        <w:rPr/>
        <w:t>（采购人）：</w:t>
      </w:r>
    </w:p>
    <w:p>
      <w:pPr>
        <w:pStyle w:val="null3"/>
        <w:ind w:firstLine="480"/>
      </w:pPr>
      <w:r>
        <w:rPr/>
        <w:t xml:space="preserve"> 鉴于__________（以下简称“投标（响应）人”）拟参加编号为__________的（以下简称“本项目”）投标（响应），根据本项目采购文件，投标（响应）人参加投标（响应）时应向你方交纳投标（响应）保证金，且可以投标保险凭证的形式交纳投标（响应）保证金。应投标（响应）人的申请，我方以保险的方式向你方提供如下投标保证保险凭证：</w:t>
      </w:r>
    </w:p>
    <w:p>
      <w:pPr>
        <w:pStyle w:val="null3"/>
        <w:ind w:firstLine="480"/>
      </w:pPr>
      <w:r>
        <w:rPr/>
        <w:t>一、保险责任的情形及保证金额</w:t>
      </w:r>
    </w:p>
    <w:p>
      <w:pPr>
        <w:pStyle w:val="null3"/>
        <w:ind w:firstLine="480"/>
      </w:pPr>
      <w:r>
        <w:rPr/>
        <w:t>（一）在投标（响应）人出现下列情形之一时，我方承担保险责任：</w:t>
      </w:r>
    </w:p>
    <w:p>
      <w:pPr>
        <w:pStyle w:val="null3"/>
        <w:ind w:firstLine="480"/>
      </w:pPr>
      <w:r>
        <w:rPr/>
        <w:t>1.中标（成交）后投标（响应）人无正当理由不与采购人签订《政府采购合同》；</w:t>
      </w:r>
    </w:p>
    <w:p>
      <w:pPr>
        <w:pStyle w:val="null3"/>
        <w:ind w:firstLine="480"/>
      </w:pPr>
      <w:r>
        <w:rPr/>
        <w:t>2.采购文件规定的投标（响应）人应当缴纳保证金的其他情形。</w:t>
      </w:r>
    </w:p>
    <w:p>
      <w:pPr>
        <w:pStyle w:val="null3"/>
        <w:ind w:firstLine="480"/>
      </w:pPr>
      <w:r>
        <w:rPr/>
        <w:t>（二）我方承担保险责任的最高金额为人民币__________元（大写）即本项目的投标（响应）保证金金额。</w:t>
      </w:r>
    </w:p>
    <w:p>
      <w:pPr>
        <w:pStyle w:val="null3"/>
        <w:ind w:firstLine="480"/>
      </w:pPr>
      <w:r>
        <w:rPr/>
        <w:t>二、保证的方式及保证期间</w:t>
      </w:r>
    </w:p>
    <w:p>
      <w:pPr>
        <w:pStyle w:val="null3"/>
        <w:ind w:firstLine="480"/>
      </w:pPr>
      <w:r>
        <w:rPr/>
        <w:t>我方保证的方式为：连带责任保证。</w:t>
      </w:r>
    </w:p>
    <w:p>
      <w:pPr>
        <w:pStyle w:val="null3"/>
        <w:ind w:firstLine="480"/>
      </w:pPr>
      <w:r>
        <w:rPr/>
        <w:t>我方的保证期间为：本保险凭证自__年__月__日起生效，有效期至开标日后的90天内。</w:t>
      </w:r>
    </w:p>
    <w:p>
      <w:pPr>
        <w:pStyle w:val="null3"/>
        <w:ind w:firstLine="480"/>
      </w:pPr>
      <w:r>
        <w:rPr/>
        <w:t>三、承担保证责任的程序</w:t>
      </w:r>
    </w:p>
    <w:p>
      <w:pPr>
        <w:pStyle w:val="null3"/>
        <w:ind w:firstLine="480"/>
      </w:pPr>
      <w:r>
        <w:rPr/>
        <w:t xml:space="preserve"> 1.你方要求我方承担保证责任的，应在本保函保证期间内向我方发出索赔通知。索赔通知应写明要求索赔的金额，支付款项应到达的账号、户名和开户行，并附有证明投标（响应）人发生我方应承担保证责任情形的事实材料。</w:t>
      </w:r>
    </w:p>
    <w:p>
      <w:pPr>
        <w:pStyle w:val="null3"/>
        <w:ind w:firstLine="480"/>
      </w:pPr>
      <w:r>
        <w:rPr/>
        <w:t>2.我方在收到索赔通知及相关证明材料后，在15个工作日内进行审查，符合应承担保证责任情形的，我方按照你方的要求代投标（响应）人向你方支付相应的索赔款项。</w:t>
      </w:r>
    </w:p>
    <w:p>
      <w:pPr>
        <w:pStyle w:val="null3"/>
        <w:ind w:firstLine="480"/>
      </w:pPr>
      <w:r>
        <w:rPr/>
        <w:t>四、保证责任的终止</w:t>
      </w:r>
    </w:p>
    <w:p>
      <w:pPr>
        <w:pStyle w:val="null3"/>
        <w:ind w:firstLine="480"/>
      </w:pPr>
      <w:r>
        <w:rPr/>
        <w:t>1.保证期间届满，你方未向我方书面主张保证责任的，自保证期间届满次日起，我方保证责任自动终止。</w:t>
      </w:r>
    </w:p>
    <w:p>
      <w:pPr>
        <w:pStyle w:val="null3"/>
        <w:ind w:firstLine="480"/>
      </w:pPr>
      <w:r>
        <w:rPr/>
        <w:t>2.我方按照本保函向你方履行了保证责任后，自我方向你方支付款项（支付款项从我方账户划出）之日起，保证责任终止。</w:t>
      </w:r>
    </w:p>
    <w:p>
      <w:pPr>
        <w:pStyle w:val="null3"/>
        <w:ind w:firstLine="480"/>
      </w:pPr>
      <w:r>
        <w:rPr/>
        <w:t>3.按照法律法规的规定或出现我方保证责任终止的其它情形的，我方在本保函项下的保证责任终止。</w:t>
      </w:r>
    </w:p>
    <w:p>
      <w:pPr>
        <w:pStyle w:val="null3"/>
        <w:ind w:firstLine="480"/>
      </w:pPr>
      <w:r>
        <w:rPr/>
        <w:t>五、免责条款</w:t>
      </w:r>
    </w:p>
    <w:p>
      <w:pPr>
        <w:pStyle w:val="null3"/>
        <w:ind w:firstLine="480"/>
      </w:pPr>
      <w:r>
        <w:rPr/>
        <w:t>1.依照法律规定或你方与投标（响应）人的另行约定，全部或者部分免除投标（响应）人投标（响应）保证金义务时，我方亦免除相应的保证责任。</w:t>
      </w:r>
    </w:p>
    <w:p>
      <w:pPr>
        <w:pStyle w:val="null3"/>
        <w:ind w:firstLine="480"/>
      </w:pPr>
      <w:r>
        <w:rPr/>
        <w:t>2.因你方原因致使投标（响应）人发生本保函第一条第（一）款约定情形的，我方不承担保证责任。</w:t>
      </w:r>
    </w:p>
    <w:p>
      <w:pPr>
        <w:pStyle w:val="null3"/>
        <w:ind w:firstLine="480"/>
      </w:pPr>
      <w:r>
        <w:rPr/>
        <w:t>3.因不可抗力造成投标（响应）人发生本保函第一条约定情形的，我方不承担保证责任。</w:t>
      </w:r>
    </w:p>
    <w:p>
      <w:pPr>
        <w:pStyle w:val="null3"/>
        <w:ind w:firstLine="480"/>
      </w:pPr>
      <w:r>
        <w:rPr/>
        <w:t>4.你方或其他有权机关对采购文件进行任何澄清或修改，加重我方保证责任的，我方对加重部分不承担保证责任，但该澄清或修改经我方事先书面同意的除外。</w:t>
      </w:r>
    </w:p>
    <w:p>
      <w:pPr>
        <w:pStyle w:val="null3"/>
        <w:ind w:firstLine="480"/>
      </w:pPr>
      <w:r>
        <w:rPr/>
        <w:t>六、争议的解决</w:t>
      </w:r>
    </w:p>
    <w:p>
      <w:pPr>
        <w:pStyle w:val="null3"/>
        <w:ind w:firstLine="480"/>
      </w:pPr>
      <w:r>
        <w:rPr/>
        <w:t>因本保函发生的纠纷，由你我双方协商解决，协商不成的，通过诉讼程序解决，诉讼管辖地法院为 法院。</w:t>
      </w:r>
    </w:p>
    <w:p>
      <w:pPr>
        <w:pStyle w:val="null3"/>
        <w:ind w:firstLine="480"/>
      </w:pPr>
      <w:r>
        <w:rPr/>
        <w:t>七、保函的生效</w:t>
      </w:r>
    </w:p>
    <w:p>
      <w:pPr>
        <w:pStyle w:val="null3"/>
        <w:ind w:firstLine="480"/>
      </w:pPr>
      <w:r>
        <w:rPr/>
        <w:t>本保函自我方加盖公章之日起生效。</w:t>
      </w:r>
    </w:p>
    <w:p>
      <w:pPr>
        <w:pStyle w:val="null3"/>
        <w:ind w:firstLine="480"/>
      </w:pPr>
      <w:r>
        <w:rPr/>
        <w:t>保证人：_______（公章）_______</w:t>
      </w:r>
    </w:p>
    <w:p>
      <w:pPr>
        <w:pStyle w:val="null3"/>
      </w:pPr>
      <w:r>
        <w:rPr/>
        <w:t>联系人：____________________</w:t>
      </w:r>
    </w:p>
    <w:p>
      <w:pPr>
        <w:pStyle w:val="null3"/>
      </w:pPr>
      <w:r>
        <w:rPr/>
        <w:t>联系电话：____________________</w:t>
      </w:r>
    </w:p>
    <w:p>
      <w:pPr>
        <w:pStyle w:val="null3"/>
      </w:pPr>
      <w:r>
        <w:rPr/>
        <w:t>___年___月___日</w:t>
      </w:r>
    </w:p>
    <w:p>
      <w:pPr>
        <w:pStyle w:val="null3"/>
        <w:ind w:firstLine="480"/>
      </w:pPr>
      <w:r>
        <w:rPr/>
        <w:t xml:space="preserve">  </w:t>
      </w:r>
    </w:p>
    <w:p>
      <w:pPr>
        <w:pStyle w:val="null3"/>
        <w:outlineLvl w:val="2"/>
      </w:pPr>
      <w:r>
        <w:rPr>
          <w:sz w:val="28"/>
          <w:b/>
        </w:rPr>
        <w:t>格式二十四：</w:t>
      </w:r>
    </w:p>
    <w:p>
      <w:pPr>
        <w:pStyle w:val="null3"/>
        <w:jc w:val="center"/>
        <w:outlineLvl w:val="3"/>
      </w:pPr>
      <w:r>
        <w:rPr>
          <w:sz w:val="24"/>
          <w:b/>
        </w:rPr>
        <w:t>政府采购履约担保函</w:t>
      </w:r>
    </w:p>
    <w:p>
      <w:pPr>
        <w:pStyle w:val="null3"/>
      </w:pPr>
      <w:r>
        <w:rPr/>
        <w:t>编号：</w:t>
      </w:r>
    </w:p>
    <w:p>
      <w:pPr>
        <w:pStyle w:val="null3"/>
        <w:ind w:firstLine="480"/>
      </w:pPr>
      <w:r>
        <w:rPr/>
        <w:t>（采购人）：</w:t>
      </w:r>
    </w:p>
    <w:p>
      <w:pPr>
        <w:pStyle w:val="null3"/>
        <w:ind w:firstLine="480"/>
      </w:pPr>
      <w:r>
        <w:rPr/>
        <w:t xml:space="preserve"> 鉴于贵方在__________项目（项目编号为__________以下简称“项目”）的采购中，确定__________为中标人/供应商，拟签订/已签订项目相关采购合同（以下简称“主合同”）。依据主合同的约定，供应商应向贵方交纳履约保证金，且可以履约担保函的形式交纳履约保证金。应供应商的申请，我方以保证的方式向贵方提供如下履约保证金担保：</w:t>
      </w:r>
    </w:p>
    <w:p>
      <w:pPr>
        <w:pStyle w:val="null3"/>
        <w:ind w:firstLine="480"/>
      </w:pPr>
      <w:r>
        <w:rPr/>
        <w:t>一、保证金额</w:t>
      </w:r>
    </w:p>
    <w:p>
      <w:pPr>
        <w:pStyle w:val="null3"/>
        <w:ind w:firstLine="480"/>
      </w:pPr>
      <w:r>
        <w:rPr/>
        <w:t>我方的保证范围是主合同约定的合同价款总额的___%，数额为__________（大写），币种为</w:t>
      </w:r>
      <w:r>
        <w:rPr>
          <w:u w:val="single"/>
        </w:rPr>
        <w:t>人民币</w:t>
      </w:r>
      <w:r>
        <w:rPr/>
        <w:t>（即主合同履约保证金金额）。</w:t>
      </w:r>
    </w:p>
    <w:p>
      <w:pPr>
        <w:pStyle w:val="null3"/>
        <w:ind w:firstLine="480"/>
      </w:pPr>
      <w:r>
        <w:rPr/>
        <w:t>二、我方保证的方式为：连带责任保证。</w:t>
      </w:r>
    </w:p>
    <w:p>
      <w:pPr>
        <w:pStyle w:val="null3"/>
        <w:ind w:firstLine="480"/>
      </w:pPr>
      <w:r>
        <w:rPr/>
        <w:t>三、我方保证的期间为：本保函自开立之日起生效，至 年 月 日止。</w:t>
      </w:r>
    </w:p>
    <w:p>
      <w:pPr>
        <w:pStyle w:val="null3"/>
        <w:ind w:firstLine="480"/>
      </w:pPr>
      <w:r>
        <w:rPr/>
        <w:t>四、在本保函的有效期内，如被保证人违反上述合同或协议约定的义务，我方将在收到你方提交的本保函文件及符合下列全部条件的索赔通知后</w:t>
      </w:r>
      <w:r>
        <w:rPr>
          <w:u w:val="single"/>
        </w:rPr>
        <w:t xml:space="preserve"> 30 </w:t>
      </w:r>
      <w:r>
        <w:rPr/>
        <w:t>个工作日内以上述保证金额为限支付你方索赔金额:</w:t>
      </w:r>
    </w:p>
    <w:p>
      <w:pPr>
        <w:pStyle w:val="null3"/>
        <w:ind w:firstLine="480"/>
      </w:pPr>
      <w:r>
        <w:rPr/>
        <w:t>(一)索赔通知文件必须以书面形式提出，列明索赔金额，并由你方法定代表人(负责人)或授权代理人签字并加盖公章;</w:t>
      </w:r>
    </w:p>
    <w:p>
      <w:pPr>
        <w:pStyle w:val="null3"/>
        <w:ind w:firstLine="480"/>
      </w:pPr>
      <w:r>
        <w:rPr/>
        <w:t>(二)索赔通知文件必须同时附有:</w:t>
      </w:r>
    </w:p>
    <w:p>
      <w:pPr>
        <w:pStyle w:val="null3"/>
        <w:ind w:firstLine="480"/>
      </w:pPr>
      <w:r>
        <w:rPr/>
        <w:t>1.一项书面声明，声明索赔款项并未由被保证人或其代理人直接或间接地支付给你方;</w:t>
      </w:r>
    </w:p>
    <w:p>
      <w:pPr>
        <w:pStyle w:val="null3"/>
        <w:ind w:firstLine="480"/>
      </w:pPr>
      <w:r>
        <w:rPr/>
        <w:t>2.证明被保证人违反上述合同或协议约定的义务以及有责任支付你方索赔金额的证据。</w:t>
      </w:r>
    </w:p>
    <w:p>
      <w:pPr>
        <w:pStyle w:val="null3"/>
        <w:ind w:firstLine="480"/>
      </w:pPr>
      <w:r>
        <w:rPr/>
        <w:t>(三)索赔通知文件必须在本保函有效期内到达以下地址：</w:t>
      </w:r>
    </w:p>
    <w:p>
      <w:pPr>
        <w:pStyle w:val="null3"/>
        <w:ind w:firstLine="480"/>
      </w:pPr>
      <w:r>
        <w:rPr/>
        <w:t>__________________________________________________。</w:t>
      </w:r>
    </w:p>
    <w:p>
      <w:pPr>
        <w:pStyle w:val="null3"/>
        <w:ind w:firstLine="480"/>
      </w:pPr>
      <w:r>
        <w:rPr/>
        <w:t>五、本保函保证金额将随被保证人逐步履行保函项下合同约定或法定的义务以及我方按你方索赔通知文件要求分次支付而相应递减。</w:t>
      </w:r>
    </w:p>
    <w:p>
      <w:pPr>
        <w:pStyle w:val="null3"/>
        <w:ind w:firstLine="480"/>
      </w:pPr>
      <w:r>
        <w:rPr/>
        <w:t>六、本保函项下的权利不得转让，不得设定担保。受益人未经我方书面同意转让本保函或其项下任何权利，我方在本保函项下的义务与责任全部消灭。</w:t>
      </w:r>
    </w:p>
    <w:p>
      <w:pPr>
        <w:pStyle w:val="null3"/>
        <w:ind w:firstLine="480"/>
      </w:pPr>
      <w:r>
        <w:rPr/>
        <w:t>七、本保函项下的合同或基础交易不成立、不生效、无效、被撤销、被解除，本保函无效;被保证人基于保函项下的合同或基础交易或其他原因的抗辩，我方均有权主张。</w:t>
      </w:r>
    </w:p>
    <w:p>
      <w:pPr>
        <w:pStyle w:val="null3"/>
        <w:ind w:firstLine="480"/>
      </w:pPr>
      <w:r>
        <w:rPr/>
        <w:t>八、因本保函发生争议协商解决不成，按以下第</w:t>
      </w:r>
      <w:r>
        <w:rPr>
          <w:u w:val="single"/>
        </w:rPr>
        <w:t xml:space="preserve"> (一)</w:t>
      </w:r>
      <w:r>
        <w:rPr/>
        <w:t>种方式解决:</w:t>
      </w:r>
    </w:p>
    <w:p>
      <w:pPr>
        <w:pStyle w:val="null3"/>
        <w:ind w:firstLine="480"/>
      </w:pPr>
      <w:r>
        <w:rPr/>
        <w:t>(一)向我方所在地的人民法院起诉。</w:t>
      </w:r>
    </w:p>
    <w:p>
      <w:pPr>
        <w:pStyle w:val="null3"/>
        <w:ind w:firstLine="480"/>
      </w:pPr>
      <w:r>
        <w:rPr/>
        <w:t>(二)提交</w:t>
      </w:r>
      <w:r>
        <w:rPr>
          <w:u w:val="single"/>
        </w:rPr>
        <w:t xml:space="preserve"> 此栏空白 </w:t>
      </w:r>
      <w:r>
        <w:rPr/>
        <w:t>仲裁委员会(仲裁地点为此栏空白)按照申请仲裁时该会现行有效的仲裁规则进行仲裁。仲裁裁决是终局的，对双方均有约束力。</w:t>
      </w:r>
    </w:p>
    <w:p>
      <w:pPr>
        <w:pStyle w:val="null3"/>
        <w:ind w:firstLine="480"/>
      </w:pPr>
      <w:r>
        <w:rPr/>
        <w:t>九、本保函适用中华人民共和国法律。</w:t>
      </w:r>
    </w:p>
    <w:p>
      <w:pPr>
        <w:pStyle w:val="null3"/>
        <w:ind w:firstLine="480"/>
      </w:pPr>
      <w:r>
        <w:rPr/>
        <w:t>十、其他条款:</w:t>
      </w:r>
    </w:p>
    <w:p>
      <w:pPr>
        <w:pStyle w:val="null3"/>
        <w:ind w:firstLine="480"/>
      </w:pPr>
      <w:r>
        <w:rPr/>
        <w:t>1.本保函有效期届满或提前终止，本保函自动失效，我方在本保函项下的义务与责任自动全部消灭，此后提出的任何索赔均为无效索赔，我方无义务作出任何赔付。</w:t>
      </w:r>
    </w:p>
    <w:p>
      <w:pPr>
        <w:pStyle w:val="null3"/>
        <w:ind w:firstLine="480"/>
      </w:pPr>
      <w:r>
        <w:rPr/>
        <w:t>2.所有索赔通知必须在我方工作时间内到达本保函规定的地址。</w:t>
      </w:r>
    </w:p>
    <w:p>
      <w:pPr>
        <w:pStyle w:val="null3"/>
        <w:ind w:firstLine="480"/>
      </w:pPr>
      <w:r>
        <w:rPr/>
        <w:t>十一、本保函自我方盖章之日起生效。</w:t>
      </w:r>
    </w:p>
    <w:p>
      <w:pPr>
        <w:pStyle w:val="null3"/>
      </w:pPr>
      <w:r>
        <w:rPr/>
        <w:t>保证人：___________(盖章)</w:t>
      </w:r>
    </w:p>
    <w:p>
      <w:pPr>
        <w:pStyle w:val="null3"/>
      </w:pPr>
      <w:r>
        <w:rPr/>
        <w:t>联系地址：_______________</w:t>
      </w:r>
    </w:p>
    <w:p>
      <w:pPr>
        <w:pStyle w:val="null3"/>
      </w:pPr>
      <w:r>
        <w:rPr/>
        <w:t>联系电话：_______________</w:t>
      </w:r>
    </w:p>
    <w:p>
      <w:pPr>
        <w:pStyle w:val="null3"/>
      </w:pPr>
      <w:r>
        <w:rPr/>
        <w:t>开立日期：___年___月___日</w:t>
      </w:r>
    </w:p>
    <w:p>
      <w:pPr>
        <w:pStyle w:val="null3"/>
        <w:jc w:val="center"/>
        <w:outlineLvl w:val="3"/>
      </w:pPr>
      <w:r>
        <w:rPr>
          <w:sz w:val="24"/>
          <w:b/>
        </w:rPr>
        <w:t>采购合同履约保险凭证</w:t>
      </w:r>
    </w:p>
    <w:p>
      <w:pPr>
        <w:pStyle w:val="null3"/>
      </w:pPr>
      <w:r>
        <w:rPr/>
        <w:t>致被保险人__________：</w:t>
      </w:r>
    </w:p>
    <w:p>
      <w:pPr>
        <w:pStyle w:val="null3"/>
        <w:ind w:firstLine="480"/>
      </w:pPr>
      <w:r>
        <w:rPr/>
        <w:t>鉴于你方____________（招标方/被保险人）接受投保人____________（投标方）参加____________（采购）项目的投标，向投保人签发中标通知书，投保人在我公司投保《采购合同履约保证保险》，我公司接受投保人的请求，在保险责任范围内，愿意就投保人履行与你方订立的采购合同，向你方提供如下保证保险：</w:t>
      </w:r>
    </w:p>
    <w:p>
      <w:pPr>
        <w:pStyle w:val="null3"/>
        <w:ind w:firstLine="480"/>
      </w:pPr>
      <w:r>
        <w:rPr/>
        <w:t>一、我公司对上述采购项目出具的《采购合同履约保证保险》保单号：</w:t>
      </w:r>
    </w:p>
    <w:p>
      <w:pPr>
        <w:pStyle w:val="null3"/>
        <w:ind w:firstLine="480"/>
      </w:pPr>
      <w:r>
        <w:rPr/>
        <w:t>二、上述保单项下我公司的保险金额（最高限额）：人民币 （￥： 元）</w:t>
      </w:r>
    </w:p>
    <w:p>
      <w:pPr>
        <w:pStyle w:val="null3"/>
        <w:ind w:firstLine="480"/>
      </w:pPr>
      <w:r>
        <w:rPr/>
        <w:t>上述全部保险单的保险金额随投保人逐步履行采购合同约定的义务或我公司的赔付而递减。</w:t>
      </w:r>
    </w:p>
    <w:p>
      <w:pPr>
        <w:pStyle w:val="null3"/>
        <w:ind w:firstLine="480"/>
      </w:pPr>
      <w:r>
        <w:rPr/>
        <w:t>三、本保险的保险期间自____年___月___日___时起至___年___月___日___时止，共计___天。</w:t>
      </w:r>
    </w:p>
    <w:p>
      <w:pPr>
        <w:pStyle w:val="null3"/>
        <w:ind w:firstLine="480"/>
      </w:pPr>
      <w:r>
        <w:rPr/>
        <w:t>四、本保险合同仅承担履约保证责任：在本保险期限内，供应商在《采购合同》的履约过程中，因下列情形给你方造成直接损失的，在收到你方提交的符合保险合同约定的全部条件的书面文件，我公司依据保险合同有关约定并与你方达成一致赔偿意见后</w:t>
      </w:r>
      <w:r>
        <w:rPr>
          <w:u w:val="single"/>
        </w:rPr>
        <w:t xml:space="preserve"> 30 </w:t>
      </w:r>
      <w:r>
        <w:rPr/>
        <w:t>个工作日内以上述保险金额为限，支付你方索赔金额。</w:t>
      </w:r>
    </w:p>
    <w:p>
      <w:pPr>
        <w:pStyle w:val="null3"/>
        <w:ind w:firstLine="480"/>
      </w:pPr>
      <w:r>
        <w:rPr/>
        <w:t>（一）投保人未按照采购合同约定的时间、地点交付采购标的；</w:t>
      </w:r>
    </w:p>
    <w:p>
      <w:pPr>
        <w:pStyle w:val="null3"/>
        <w:ind w:firstLine="480"/>
      </w:pPr>
      <w:r>
        <w:rPr/>
        <w:t>（二）投保人供应采购标的的规格、型号、数量、质量等不符合《采购合同》的约定。</w:t>
      </w:r>
    </w:p>
    <w:p>
      <w:pPr>
        <w:pStyle w:val="null3"/>
        <w:ind w:firstLine="480"/>
      </w:pPr>
      <w:r>
        <w:rPr/>
        <w:t>五、索赔文件</w:t>
      </w:r>
    </w:p>
    <w:p>
      <w:pPr>
        <w:pStyle w:val="null3"/>
        <w:ind w:firstLine="480"/>
      </w:pPr>
      <w:r>
        <w:rPr/>
        <w:t>（一）经被保险人有权人签字、加盖被保险人公章的书面索赔声明正本，索赔声明须注明本保险凭证对应的保单号并申明如下事实：</w:t>
      </w:r>
    </w:p>
    <w:p>
      <w:pPr>
        <w:pStyle w:val="null3"/>
        <w:ind w:firstLine="480"/>
      </w:pPr>
      <w:r>
        <w:rPr/>
        <w:t>（1）投保人未履行采购合同相关义务；</w:t>
      </w:r>
    </w:p>
    <w:p>
      <w:pPr>
        <w:pStyle w:val="null3"/>
        <w:ind w:firstLine="480"/>
      </w:pPr>
      <w:r>
        <w:rPr/>
        <w:t>（2）投保人的违约事实。</w:t>
      </w:r>
    </w:p>
    <w:p>
      <w:pPr>
        <w:pStyle w:val="null3"/>
        <w:ind w:firstLine="480"/>
      </w:pPr>
      <w:r>
        <w:rPr/>
        <w:t>（二）保险单正本；</w:t>
      </w:r>
    </w:p>
    <w:p>
      <w:pPr>
        <w:pStyle w:val="null3"/>
        <w:ind w:firstLine="480"/>
      </w:pPr>
      <w:r>
        <w:rPr/>
        <w:t>（三）《采购合同》副本及与采购项目进展、质量、缺陷有关的证明文件（包括《中标通知书》、投标书及其附录、会议纪要、其他合同文件等）；</w:t>
      </w:r>
    </w:p>
    <w:p>
      <w:pPr>
        <w:pStyle w:val="null3"/>
        <w:ind w:firstLine="480"/>
      </w:pPr>
      <w:r>
        <w:rPr/>
        <w:t>（四）保险人要求投保人、被保险人所能提供的与确认保险事故的性质、原因、损失程度等有关的其他证明和资料；</w:t>
      </w:r>
    </w:p>
    <w:p>
      <w:pPr>
        <w:pStyle w:val="null3"/>
        <w:ind w:firstLine="480"/>
      </w:pPr>
      <w:r>
        <w:rPr/>
        <w:t>（五）仲裁机构出具的裁决书或法院出具的裁定书、判决书等生效法律文书（适用于仲裁或诉讼确认损失的方式）；</w:t>
      </w:r>
    </w:p>
    <w:p>
      <w:pPr>
        <w:pStyle w:val="null3"/>
        <w:ind w:firstLine="480"/>
      </w:pPr>
      <w:r>
        <w:rPr/>
        <w:t>六、未经保险人书面同意，本保险凭证与保险合同不得转让、质押，否则保险人在本保险凭证与保险合同项下的保险责任自动解除。</w:t>
      </w:r>
    </w:p>
    <w:p>
      <w:pPr>
        <w:pStyle w:val="null3"/>
        <w:ind w:firstLine="480"/>
      </w:pPr>
      <w:r>
        <w:rPr/>
        <w:t>七、本保证保险发生争议协商解决不成，向保险人所在地有管辖权的人民法院提起诉讼。</w:t>
      </w:r>
    </w:p>
    <w:p>
      <w:pPr>
        <w:pStyle w:val="null3"/>
        <w:ind w:firstLine="480"/>
      </w:pPr>
      <w:r>
        <w:rPr/>
        <w:t>八、本保证保险适用的保险条款为《_______________________》。</w:t>
      </w:r>
    </w:p>
    <w:p>
      <w:pPr>
        <w:pStyle w:val="null3"/>
        <w:ind w:firstLine="480"/>
      </w:pPr>
      <w:r>
        <w:rPr/>
        <w:t>九、保险责任免除及其他本保险凭证未载明事宜以保险合同约定为准。</w:t>
      </w:r>
    </w:p>
    <w:p>
      <w:pPr>
        <w:pStyle w:val="null3"/>
        <w:ind w:firstLine="480"/>
      </w:pPr>
      <w:r>
        <w:rPr/>
        <w:t>十、本保险凭证自保险人加盖保单专用章起生效。</w:t>
      </w:r>
    </w:p>
    <w:p>
      <w:pPr>
        <w:pStyle w:val="null3"/>
      </w:pPr>
      <w:r>
        <w:rPr/>
        <w:t>保证人：__________(盖章)</w:t>
      </w:r>
    </w:p>
    <w:p>
      <w:pPr>
        <w:pStyle w:val="null3"/>
      </w:pPr>
      <w:r>
        <w:rPr/>
        <w:t>地址：__________________</w:t>
      </w:r>
    </w:p>
    <w:p>
      <w:pPr>
        <w:pStyle w:val="null3"/>
      </w:pPr>
      <w:r>
        <w:rPr/>
        <w:t>电话：__________________</w:t>
      </w:r>
    </w:p>
    <w:p>
      <w:pPr>
        <w:pStyle w:val="null3"/>
      </w:pPr>
      <w:r>
        <w:rPr/>
        <w:t>开立日期：____年__月__日</w:t>
      </w:r>
    </w:p>
    <w:p w14:paraId="6CD069BC">
      <w:pPr>
        <w:pStyle w:val="null3"/>
        <w:rPr>
          <w:rFonts w:hint="eastAsia"/>
          <w:lang w:val="en-US" w:eastAsia="zh-Hans"/>
        </w:rPr>
      </w:pPr>
      <w:r>
        <w:rPr>
          <w:rFonts w:hint="eastAsia"/>
          <w:lang w:val="en-US" w:eastAsia="zh-Hans"/>
        </w:rPr>
        <w:t/>
      </w: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282"/>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3B52B8D"/>
    <w:rsid w:val="177F50ED"/>
    <w:rsid w:val="23FB55E8"/>
    <w:rsid w:val="53B52B8D"/>
    <w:rsid w:val="5A7E2464"/>
    <w:rsid w:val="77F79321"/>
    <w:rsid w:val="7F7C4879"/>
    <w:rsid w:val="7FFDAA95"/>
    <w:rsid w:val="BBBF7779"/>
    <w:rsid w:val="FAF3070D"/>
    <w:rsid w:val="FBD72E15"/>
    <w:rsid w:val="FBF94665"/>
    <w:rsid w:val="FDF971E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pPr/>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qFormat/>
    <w:uiPriority w:val="0"/>
  </w:style>
  <w:style w:type="table" w:default="1" w:styleId="2">
    <w:name w:val="Normal Table"/>
    <w:semiHidden/>
    <w:qFormat/>
    <w:uiPriority w:val="0"/>
    <w:tblPr>
      <w:tblCellMar>
        <w:top w:w="0" w:type="dxa"/>
        <w:left w:w="108" w:type="dxa"/>
        <w:bottom w:w="0" w:type="dxa"/>
        <w:right w:w="108" w:type="dxa"/>
      </w:tblCellMar>
    </w:tblPr>
  </w:style>
  <w:style w:customStyle="true" w:type="paragraph" w:styleId="null3">
    <w:name w:val="null3"/>
    <w:hidden/>
    <w:rPr>
      <w:rFonts w:hint="eastAsia"/>
      <w:lang w:val="en-US" w:eastAsia="zh-Hans"/>
    </w:rPr>
  </w:style>
</w:styles>
</file>

<file path=word/_rels/document.xml.rels><?xml version="1.0" encoding="UTF-8" standalone="yes"?><Relationships xmlns="http://schemas.openxmlformats.org/package/2006/relationships"><Relationship Id="rId1" Target="styles.xml" Type="http://schemas.openxmlformats.org/officeDocument/2006/relationships/styles"/><Relationship Id="rId10" Target="media/image6.png" Type="http://schemas.openxmlformats.org/officeDocument/2006/relationships/image"/><Relationship Id="rId11" Target="media/image7.png" Type="http://schemas.openxmlformats.org/officeDocument/2006/relationships/image"/><Relationship Id="rId12" Target="media/image8.png" Type="http://schemas.openxmlformats.org/officeDocument/2006/relationships/image"/><Relationship Id="rId13" Target="media/image9.png" Type="http://schemas.openxmlformats.org/officeDocument/2006/relationships/image"/><Relationship Id="rId14" Target="media/image10.png" Type="http://schemas.openxmlformats.org/officeDocument/2006/relationships/image"/><Relationship Id="rId15" Target="media/image11.png" Type="http://schemas.openxmlformats.org/officeDocument/2006/relationships/image"/><Relationship Id="rId16" Target="media/image12.png" Type="http://schemas.openxmlformats.org/officeDocument/2006/relationships/image"/><Relationship Id="rId2" Target="settings.xml" Type="http://schemas.openxmlformats.org/officeDocument/2006/relationships/settings"/><Relationship Id="rId3" Target="theme/theme1.xml" Type="http://schemas.openxmlformats.org/officeDocument/2006/relationships/theme"/><Relationship Id="rId4" Target="fontTable.xml" Type="http://schemas.openxmlformats.org/officeDocument/2006/relationships/fontTable"/><Relationship Id="rId5" Target="media/image1.png" Type="http://schemas.openxmlformats.org/officeDocument/2006/relationships/image"/><Relationship Id="rId6" Target="media/image2.png" Type="http://schemas.openxmlformats.org/officeDocument/2006/relationships/image"/><Relationship Id="rId7" Target="media/image3.png" Type="http://schemas.openxmlformats.org/officeDocument/2006/relationships/image"/><Relationship Id="rId8" Target="media/image4.png" Type="http://schemas.openxmlformats.org/officeDocument/2006/relationships/image"/><Relationship Id="rId9" Target="media/image5.png" Type="http://schemas.openxmlformats.org/officeDocument/2006/relationships/image"/></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Pages>
  <Words>1</Words>
  <Characters>11</Characters>
  <Lines>0</Lines>
  <Paragraphs>0</Paragraphs>
  <TotalTime>2</TotalTime>
  <ScaleCrop>false</ScaleCrop>
  <LinksUpToDate>false</LinksUpToDate>
  <CharactersWithSpaces>11</CharactersWithSpaces>
  <Application>WPS Office_12.1.21861.21861_F1E327BC-269C-435d-A152-05C5408002CA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2022-04-10T11:57:00Z</dcterms:created>
  <dc:creator>广东政府采购智慧云平台</dc:creator>
  <dcterms:modified xsi:type="dcterms:W3CDTF">2025-08-15T17:31:23Z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2052-12.1.21861.21861</vt:lpwstr>
  </property>
  <property fmtid="{D5CDD505-2E9C-101B-9397-08002B2CF9AE}" pid="3" name="ICV">
    <vt:lpwstr>84AAD3F223FF2AC521F59E68BCC7017B_42</vt:lpwstr>
  </property>
</Properties>
</file>