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440101-2025-20435</w:t>
      </w:r>
    </w:p>
    <w:p>
      <w:pPr>
        <w:pStyle w:val="null3"/>
        <w:jc w:val="center"/>
        <w:outlineLvl w:val="3"/>
      </w:pPr>
      <w:r>
        <w:rPr>
          <w:sz w:val="24"/>
          <w:b/>
        </w:rPr>
        <w:t>采购项目编号：</w:t>
      </w:r>
      <w:r>
        <w:rPr>
          <w:sz w:val="24"/>
          <w:b/>
        </w:rPr>
        <w:t>0724-2511Z1978003</w:t>
      </w:r>
    </w:p>
    <w:p>
      <w:pPr>
        <w:pStyle w:val="null3"/>
        <w:jc w:val="center"/>
        <w:outlineLvl w:val="3"/>
      </w:pPr>
      <w:r>
        <w:rPr>
          <w:sz w:val="24"/>
          <w:b/>
        </w:rPr>
        <w:t>项目名称：</w:t>
      </w:r>
      <w:r>
        <w:rPr>
          <w:sz w:val="24"/>
          <w:b/>
        </w:rPr>
        <w:t>广州医科大学附属中医医院2026-2027年轨道物流传输系统维保服务项目</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广州医科大学附属中医医院2026-2027年轨道物流传输系统维保服务项目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广州医科大学附属中医医院2026-2027年轨道物流传输系统维保服务项目</w:t>
      </w:r>
    </w:p>
    <w:p>
      <w:pPr>
        <w:pStyle w:val="null3"/>
        <w:ind w:firstLine="480"/>
      </w:pPr>
      <w:r>
        <w:rPr/>
        <w:t>采购计划编号：</w:t>
      </w:r>
      <w:r>
        <w:rPr/>
        <w:t>440101-2025-20435</w:t>
      </w:r>
    </w:p>
    <w:p>
      <w:pPr>
        <w:pStyle w:val="null3"/>
        <w:ind w:firstLine="480"/>
      </w:pPr>
      <w:r>
        <w:rPr/>
        <w:t>采购项目编号：</w:t>
      </w:r>
      <w:r>
        <w:rPr/>
        <w:t>0724-2511Z1978003</w:t>
      </w:r>
    </w:p>
    <w:p>
      <w:pPr>
        <w:pStyle w:val="null3"/>
        <w:ind w:firstLine="480"/>
      </w:pPr>
      <w:r>
        <w:rPr/>
        <w:t>采购方式：</w:t>
      </w:r>
      <w:r>
        <w:rPr/>
        <w:t>公开招标</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采购包1(2026-2027年轨道物流传输系统维保服务):</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其他维修和保养服务</w:t>
            </w:r>
          </w:p>
        </w:tc>
        <w:tc>
          <w:tcPr>
            <w:tcW w:type="dxa" w:w="2136"/>
          </w:tcPr>
          <w:p>
            <w:pPr>
              <w:pStyle w:val="null3"/>
            </w:pPr>
            <w:r>
              <w:rPr/>
              <w:t>2026-2027年轨道物流传输系统维保服务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采购包1（2026-2027年轨道物流传输系统维保服务）：</w:t>
      </w: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采购包1（2026-2027年轨道物流传输系统维保服务）：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详见附件“第二章 采购需求”。</w:t>
      </w:r>
    </w:p>
    <w:p>
      <w:pPr>
        <w:pStyle w:val="null3"/>
      </w:pPr>
      <w:r>
        <w:rPr/>
        <w:t>采购包1（2026-2027年轨道物流传输系统维保服务）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1期：支付比例100%,详见采购需求“六、报价及支付方式”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1期：由采购人组织相关职能/使用部门按照《维保服务质量考核表》的要求对中标人进行考核。</w:t>
            </w:r>
          </w:p>
        </w:tc>
      </w:tr>
      <w:tr>
        <w:tc>
          <w:tcPr>
            <w:tcW w:type="dxa" w:w="4153"/>
          </w:tcPr>
          <w:p>
            <w:pPr>
              <w:pStyle w:val="null3"/>
            </w:pPr>
            <w:r>
              <w:rPr/>
              <w:t>履约保证金</w:t>
            </w:r>
          </w:p>
        </w:tc>
        <w:tc>
          <w:tcPr>
            <w:tcW w:type="dxa" w:w="4153"/>
          </w:tcPr>
          <w:p>
            <w:pPr>
              <w:pStyle w:val="null3"/>
            </w:pPr>
            <w:r>
              <w:rPr/>
              <w:t>交纳比例：2.5%</w:t>
            </w:r>
          </w:p>
          <w:p>
            <w:pPr>
              <w:pStyle w:val="null3"/>
            </w:pPr>
            <w:r>
              <w:rPr/>
              <w:t>缴费渠道：</w:t>
            </w:r>
            <w:r>
              <w:rPr/>
              <w:t>电子保函（保险）</w:t>
            </w:r>
            <w:r>
              <w:rPr/>
              <w:t>、支票（本票、汇票）</w:t>
            </w:r>
            <w:r>
              <w:rPr/>
              <w:t>、其他</w:t>
            </w:r>
          </w:p>
          <w:p>
            <w:pPr>
              <w:pStyle w:val="null3"/>
            </w:pPr>
            <w:r>
              <w:rPr/>
              <w:t>账号：661360451692</w:t>
            </w:r>
          </w:p>
          <w:p>
            <w:pPr>
              <w:pStyle w:val="null3"/>
            </w:pPr>
            <w:r>
              <w:rPr/>
              <w:t>户名：广州医科大学附属中医医院</w:t>
            </w:r>
          </w:p>
          <w:p>
            <w:pPr>
              <w:pStyle w:val="null3"/>
            </w:pPr>
            <w:r>
              <w:rPr/>
              <w:t>开户行：中国银行广州荔湾支行</w:t>
            </w:r>
          </w:p>
          <w:p>
            <w:pPr>
              <w:pStyle w:val="null3"/>
            </w:pPr>
            <w:r>
              <w:rPr/>
              <w:t>支票提交方式：线下提交</w:t>
            </w:r>
          </w:p>
          <w:p>
            <w:pPr>
              <w:pStyle w:val="null3"/>
            </w:pPr>
            <w:r>
              <w:rPr/>
              <w:t>汇票、本票提交方式：线下提交</w:t>
            </w:r>
          </w:p>
          <w:p>
            <w:pPr>
              <w:pStyle w:val="null3"/>
            </w:pPr>
            <w:r>
              <w:rPr/>
              <w:t>说明：1.履约保证金的形式：合同签订后10个工作日内，履约保证金金额以支票、汇票、本票或者金融机构、担保机构出具的保函等非现金形式向采购人提交履约保证金。若中标人没有违约行为，履约保证金在设备验收结束后15个工作日内由采购人无息退还中标人，履约保证金以履约担保函形式提交的，担保责任终止。 2.下列任何一种情况发生时，采购人有权不予退还履约保证金：（1）有明显证据证明中标人未履行本合同约定的；（2）中标人有明显过错致采购人造成损失的。 3.中标人违反合同及其附件约定的任何义务，采购人有权在履约保证金中直接扣除中标人应向采购人支付的违约金或损失赔偿额，如有不足的，中标人应对超过的部分予以赔偿。 4.违约责任：采购人逾期退还履约保证金的，除应当退还履约保证金本金外，还应当每日按合同总价的1‰向中标人偿付违约金，但因中标人自身原因导致无法及时退还的除外。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2026-2027年轨道物流传输系统维保服务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1,350,000.00</w:t>
            </w:r>
          </w:p>
        </w:tc>
        <w:tc>
          <w:tcPr>
            <w:tcW w:type="dxa" w:w="933"/>
          </w:tcPr>
          <w:p>
            <w:pPr>
              <w:pStyle w:val="null3"/>
              <w:jc w:val="right"/>
            </w:pPr>
            <w:r>
              <w:rPr/>
              <w:t>1,350,000.00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2026-2027年轨道物流传输系统维保服务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包的中标金额作为计算基数，参照原国家计委颁发的计价〔2002〕1980号文《招标代理服务收费管理暂行办法》及国家发展改革委颁发的发改价〔2011〕534号文《国家发展改革委关于降低部分建设项目收费标准规范收费行为等有关问题的通知》的有关规定执行（服务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轨道物流传输系统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采购包1（2026-2027年轨道物流传输系统维保服务）：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采购包1（2026-2027年轨道物流传输系统维保服务）：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采购包1（2026-2027年轨道物流传输系统维保服务）：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采购包1(2026-2027年轨道物流传输系统维保服务):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重要条款（▲条款）响应情况 (20.0分)</w:t>
            </w:r>
          </w:p>
        </w:tc>
        <w:tc>
          <w:tcPr>
            <w:tcW w:type="dxa" w:w="5076"/>
          </w:tcPr>
          <w:p>
            <w:pPr>
              <w:pStyle w:val="null3"/>
              <w:jc w:val="left"/>
            </w:pPr>
            <w:r>
              <w:rPr/>
              <w:t>根据投标人对采购需求中“应急响应服务要求”“服务要求”带“▲”的条款（10条）的响应情况进行评审：每有1条条款满足要求（不响应或负偏离不得分）得2分，最高得20分。【注：以《技术和服务要求响应表》的响应情况为准（投标人须按实际参数进行响应，否则视为提供虚假材料谋取中标资格）】</w:t>
            </w:r>
          </w:p>
        </w:tc>
      </w:tr>
      <w:tr>
        <w:tc>
          <w:tcPr>
            <w:tcW w:type="dxa" w:w="922"/>
            <w:gridSpan w:val="2"/>
            <w:vMerge/>
          </w:tcPr>
          <w:p/>
        </w:tc>
        <w:tc>
          <w:tcPr>
            <w:tcW w:type="dxa" w:w="2307"/>
          </w:tcPr>
          <w:p>
            <w:pPr>
              <w:pStyle w:val="null3"/>
              <w:jc w:val="left"/>
            </w:pPr>
            <w:r>
              <w:rPr/>
              <w:t>整体服务方案1 (1.0分)</w:t>
            </w:r>
          </w:p>
        </w:tc>
        <w:tc>
          <w:tcPr>
            <w:tcW w:type="dxa" w:w="5076"/>
          </w:tcPr>
          <w:p>
            <w:pPr>
              <w:pStyle w:val="null3"/>
              <w:jc w:val="left"/>
            </w:pPr>
            <w:r>
              <w:rPr/>
              <w:t>投标人根据采购需求中“一、项目概况、二、服务周期、四、主要服务内容及要求（不含▲和★）”的内容拟定方案，得1分。注：不提供的不得分且“整体服务方案2”也不得分。</w:t>
            </w:r>
          </w:p>
        </w:tc>
      </w:tr>
      <w:tr>
        <w:tc>
          <w:tcPr>
            <w:tcW w:type="dxa" w:w="922"/>
            <w:gridSpan w:val="2"/>
            <w:vMerge/>
          </w:tcPr>
          <w:p/>
        </w:tc>
        <w:tc>
          <w:tcPr>
            <w:tcW w:type="dxa" w:w="2307"/>
          </w:tcPr>
          <w:p>
            <w:pPr>
              <w:pStyle w:val="null3"/>
              <w:jc w:val="left"/>
            </w:pPr>
            <w:r>
              <w:rPr/>
              <w:t>整体服务方案2 (8.0分)</w:t>
            </w:r>
          </w:p>
        </w:tc>
        <w:tc>
          <w:tcPr>
            <w:tcW w:type="dxa" w:w="5076"/>
          </w:tcPr>
          <w:p>
            <w:pPr>
              <w:pStyle w:val="null3"/>
              <w:jc w:val="left"/>
            </w:pPr>
            <w:r>
              <w:rPr/>
              <w:t>根据投标人提供的“整体服务方案”，从方案完整性、可行性、契合度等相关方面进行评审：1.方案内容完整详细，描述全面且清晰，具备可行性，完全满足或优于采购需求的，得8分；2.方案内容完整但不够详细，描述清晰，但仍具备一定的可行性，满足采购需求的，得4分；3.方案内容简单笼统、有缺漏，描述不够清晰，可行性欠缺，部分满足采购需求的，得1分；4.方案不满足采购需求的，不得分。</w:t>
            </w:r>
          </w:p>
        </w:tc>
      </w:tr>
      <w:tr>
        <w:tc>
          <w:tcPr>
            <w:tcW w:type="dxa" w:w="922"/>
            <w:gridSpan w:val="2"/>
            <w:vMerge/>
          </w:tcPr>
          <w:p/>
        </w:tc>
        <w:tc>
          <w:tcPr>
            <w:tcW w:type="dxa" w:w="2307"/>
          </w:tcPr>
          <w:p>
            <w:pPr>
              <w:pStyle w:val="null3"/>
              <w:jc w:val="left"/>
            </w:pPr>
            <w:r>
              <w:rPr/>
              <w:t>维保人员规范管理方案1 (1.0分)</w:t>
            </w:r>
          </w:p>
        </w:tc>
        <w:tc>
          <w:tcPr>
            <w:tcW w:type="dxa" w:w="5076"/>
          </w:tcPr>
          <w:p>
            <w:pPr>
              <w:pStyle w:val="null3"/>
              <w:jc w:val="left"/>
            </w:pPr>
            <w:r>
              <w:rPr/>
              <w:t>投标人根据采购需求中“五、维保人员规范管理”的内容拟定方案，得1分。注：不提供的不得分且“维保人员规范管理方案2”也不得分。</w:t>
            </w:r>
          </w:p>
        </w:tc>
      </w:tr>
      <w:tr>
        <w:tc>
          <w:tcPr>
            <w:tcW w:type="dxa" w:w="922"/>
            <w:gridSpan w:val="2"/>
            <w:vMerge/>
          </w:tcPr>
          <w:p/>
        </w:tc>
        <w:tc>
          <w:tcPr>
            <w:tcW w:type="dxa" w:w="2307"/>
          </w:tcPr>
          <w:p>
            <w:pPr>
              <w:pStyle w:val="null3"/>
              <w:jc w:val="left"/>
            </w:pPr>
            <w:r>
              <w:rPr/>
              <w:t>维保人员规范管理方案2 (8.0分)</w:t>
            </w:r>
          </w:p>
        </w:tc>
        <w:tc>
          <w:tcPr>
            <w:tcW w:type="dxa" w:w="5076"/>
          </w:tcPr>
          <w:p>
            <w:pPr>
              <w:pStyle w:val="null3"/>
              <w:jc w:val="left"/>
            </w:pPr>
            <w:r>
              <w:rPr/>
              <w:t>根据投标人提供的“维保人员规范管理方案”，从方案完整性、可行性、契合度等相关方面进行评审：1.方案内容完整详细，描述全面且清晰，具备可行性，完全满足或优于采购需求的，得8分；2.方案内容完整但不够详细，描述清晰，但仍具备一定的可行性，满足采购需求的，得4分；3.方案内容简单笼统、有缺漏，描述不够清晰，可行性欠缺，部分满足采购需求的，得1分；4.方案不满足采购需求的，不得分。</w:t>
            </w:r>
          </w:p>
        </w:tc>
      </w:tr>
      <w:tr>
        <w:tc>
          <w:tcPr>
            <w:tcW w:type="dxa" w:w="922"/>
            <w:gridSpan w:val="2"/>
            <w:vMerge/>
          </w:tcPr>
          <w:p/>
        </w:tc>
        <w:tc>
          <w:tcPr>
            <w:tcW w:type="dxa" w:w="2307"/>
          </w:tcPr>
          <w:p>
            <w:pPr>
              <w:pStyle w:val="null3"/>
              <w:jc w:val="left"/>
            </w:pPr>
            <w:r>
              <w:rPr/>
              <w:t>故障处理方案1 (1.0分)</w:t>
            </w:r>
          </w:p>
        </w:tc>
        <w:tc>
          <w:tcPr>
            <w:tcW w:type="dxa" w:w="5076"/>
          </w:tcPr>
          <w:p>
            <w:pPr>
              <w:pStyle w:val="null3"/>
              <w:jc w:val="left"/>
            </w:pPr>
            <w:r>
              <w:rPr/>
              <w:t>投标人根据采购需求中“四、主要服务内容及要求”中“（三）故障处理方案”的内容拟定方案，得1分。注：不提供的不得分且“维保服务质量方案2”也不得分。</w:t>
            </w:r>
          </w:p>
        </w:tc>
      </w:tr>
      <w:tr>
        <w:tc>
          <w:tcPr>
            <w:tcW w:type="dxa" w:w="922"/>
            <w:gridSpan w:val="2"/>
            <w:vMerge/>
          </w:tcPr>
          <w:p/>
        </w:tc>
        <w:tc>
          <w:tcPr>
            <w:tcW w:type="dxa" w:w="2307"/>
          </w:tcPr>
          <w:p>
            <w:pPr>
              <w:pStyle w:val="null3"/>
              <w:jc w:val="left"/>
            </w:pPr>
            <w:r>
              <w:rPr/>
              <w:t>故障处理方案2 (6.0分)</w:t>
            </w:r>
          </w:p>
        </w:tc>
        <w:tc>
          <w:tcPr>
            <w:tcW w:type="dxa" w:w="5076"/>
          </w:tcPr>
          <w:p>
            <w:pPr>
              <w:pStyle w:val="null3"/>
              <w:jc w:val="left"/>
            </w:pPr>
            <w:r>
              <w:rPr/>
              <w:t>根据投标人提供的“故障处理方案”，从方案完整性、可行性、契合度等相关方面进行评审：1.方案内容完整详细，描述全面且清晰，具备可行性，完全满足或优于采购需求的，得6分；2.方案内容完整但不够详细，描述清晰，但仍具备一定的可行性，满足采购需求的，得3分；3.方案内容简单笼统、有缺漏，描述不够清晰，可行性欠缺，部分满足采购需求的，得1分；4.方案不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(4.5分)</w:t>
            </w:r>
          </w:p>
        </w:tc>
        <w:tc>
          <w:tcPr>
            <w:tcW w:type="dxa" w:w="5076"/>
          </w:tcPr>
          <w:p>
            <w:pPr>
              <w:pStyle w:val="null3"/>
              <w:jc w:val="left"/>
            </w:pPr>
            <w:r>
              <w:rPr/>
              <w:t>投标人2022年1月1日以来具有同类项目业绩（指：轨道物流传输系统维保项目）的，每提供1个同类项目业绩得1.5分，最高得4.5分。 注：提供合同复印件，不提供的不得分。</w:t>
            </w:r>
          </w:p>
        </w:tc>
      </w:tr>
      <w:tr>
        <w:tc>
          <w:tcPr>
            <w:tcW w:type="dxa" w:w="922"/>
            <w:gridSpan w:val="2"/>
            <w:vMerge/>
          </w:tcPr>
          <w:p/>
        </w:tc>
        <w:tc>
          <w:tcPr>
            <w:tcW w:type="dxa" w:w="2307"/>
          </w:tcPr>
          <w:p>
            <w:pPr>
              <w:pStyle w:val="null3"/>
              <w:jc w:val="left"/>
            </w:pPr>
            <w:r>
              <w:rPr/>
              <w:t>用户满意度评价 (4.5分)</w:t>
            </w:r>
          </w:p>
        </w:tc>
        <w:tc>
          <w:tcPr>
            <w:tcW w:type="dxa" w:w="5076"/>
          </w:tcPr>
          <w:p>
            <w:pPr>
              <w:pStyle w:val="null3"/>
              <w:jc w:val="left"/>
            </w:pPr>
            <w:r>
              <w:rPr/>
              <w:t>投标人2022年1月1日至今获得用户满意度评价，且评价为“满意”或“优”或“好评”或“90分或以上”等类似评价的，每提供1份得1.5分，最高得4.5分。 注：提供相关证明资料，并加盖评价方公章。同一用户的评价不重复得分。</w:t>
            </w:r>
          </w:p>
        </w:tc>
      </w:tr>
      <w:tr>
        <w:tc>
          <w:tcPr>
            <w:tcW w:type="dxa" w:w="922"/>
            <w:gridSpan w:val="2"/>
            <w:vMerge/>
          </w:tcPr>
          <w:p/>
        </w:tc>
        <w:tc>
          <w:tcPr>
            <w:tcW w:type="dxa" w:w="2307"/>
          </w:tcPr>
          <w:p>
            <w:pPr>
              <w:pStyle w:val="null3"/>
              <w:jc w:val="left"/>
            </w:pPr>
            <w:r>
              <w:rPr/>
              <w:t>驻场人员要求 (3.0分)</w:t>
            </w:r>
          </w:p>
        </w:tc>
        <w:tc>
          <w:tcPr>
            <w:tcW w:type="dxa" w:w="5076"/>
          </w:tcPr>
          <w:p>
            <w:pPr>
              <w:pStyle w:val="null3"/>
              <w:jc w:val="left"/>
            </w:pPr>
            <w:r>
              <w:rPr/>
              <w:t>投标人技术团队中派驻现场维保人员具有本轨道物流传输系统2年或以上经验，得3.0分。【注：提供合同关键页复印件，要求体现拟派驻维保人员参与项目的相关信息，时间以合同签订日期起算】</w:t>
            </w:r>
          </w:p>
        </w:tc>
      </w:tr>
      <w:tr>
        <w:tc>
          <w:tcPr>
            <w:tcW w:type="dxa" w:w="922"/>
            <w:gridSpan w:val="2"/>
            <w:vMerge/>
          </w:tcPr>
          <w:p/>
        </w:tc>
        <w:tc>
          <w:tcPr>
            <w:tcW w:type="dxa" w:w="2307"/>
          </w:tcPr>
          <w:p>
            <w:pPr>
              <w:pStyle w:val="null3"/>
              <w:jc w:val="left"/>
            </w:pPr>
            <w:r>
              <w:rPr/>
              <w:t>非驻场人员要求1 (6.0分)</w:t>
            </w:r>
          </w:p>
        </w:tc>
        <w:tc>
          <w:tcPr>
            <w:tcW w:type="dxa" w:w="5076"/>
          </w:tcPr>
          <w:p>
            <w:pPr>
              <w:pStyle w:val="null3"/>
              <w:jc w:val="left"/>
            </w:pPr>
            <w:r>
              <w:rPr/>
              <w:t>投标人技术团队中非派驻现场维保人员中，每人得1分，最高得6分。</w:t>
            </w:r>
          </w:p>
        </w:tc>
      </w:tr>
      <w:tr>
        <w:tc>
          <w:tcPr>
            <w:tcW w:type="dxa" w:w="922"/>
            <w:gridSpan w:val="2"/>
            <w:vMerge/>
          </w:tcPr>
          <w:p/>
        </w:tc>
        <w:tc>
          <w:tcPr>
            <w:tcW w:type="dxa" w:w="2307"/>
          </w:tcPr>
          <w:p>
            <w:pPr>
              <w:pStyle w:val="null3"/>
              <w:jc w:val="left"/>
            </w:pPr>
            <w:r>
              <w:rPr/>
              <w:t>非驻场人员要求2 (6.0分)</w:t>
            </w:r>
          </w:p>
        </w:tc>
        <w:tc>
          <w:tcPr>
            <w:tcW w:type="dxa" w:w="5076"/>
          </w:tcPr>
          <w:p>
            <w:pPr>
              <w:pStyle w:val="null3"/>
              <w:jc w:val="left"/>
            </w:pPr>
            <w:r>
              <w:rPr/>
              <w:t>投标人技术团队中非派驻现场维保人员具有本轨道物流传输系统2年或以上经验，每人得1分，最高得6分。【注：提供合同关键页复印件，要求体现拟派驻维保人员参与项目的相关信息，时间以合同签订日期起算】</w:t>
            </w:r>
          </w:p>
        </w:tc>
      </w:tr>
      <w:tr>
        <w:tc>
          <w:tcPr>
            <w:tcW w:type="dxa" w:w="922"/>
            <w:gridSpan w:val="2"/>
            <w:vMerge/>
          </w:tcPr>
          <w:p/>
        </w:tc>
        <w:tc>
          <w:tcPr>
            <w:tcW w:type="dxa" w:w="2307"/>
          </w:tcPr>
          <w:p>
            <w:pPr>
              <w:pStyle w:val="null3"/>
              <w:jc w:val="left"/>
            </w:pPr>
            <w:r>
              <w:rPr/>
              <w:t>服务质量与安全管理体系 (6.0分)</w:t>
            </w:r>
          </w:p>
        </w:tc>
        <w:tc>
          <w:tcPr>
            <w:tcW w:type="dxa" w:w="5076"/>
          </w:tcPr>
          <w:p>
            <w:pPr>
              <w:pStyle w:val="null3"/>
              <w:jc w:val="left"/>
            </w:pPr>
            <w:r>
              <w:rPr/>
              <w:t>投标人具有在有效期内的环境管理体系认证证书、职业健康安全管理体系认证证书、质量管理体系认证证书，每个得2分，最高得6分。注：提供证书复印件，同时提供在全国认证认可信息公共服务平台（http://cx.cnca.cn/CertECloud/index/index/page）的相关查询记录截图，并加盖投标人公章。如因投标人成立时间不满足认证时间要求且办理认证所需要合理时间不足导致未能获得认证证书的，投标人提供相关佐证资料，可对应得分，否则不得分。已失效或撤销或暂停的认证证书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详见附件“第五章 合同文本”</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440101-2025-20435</w:t>
      </w:r>
    </w:p>
    <w:p>
      <w:pPr>
        <w:pStyle w:val="null3"/>
        <w:jc w:val="center"/>
        <w:outlineLvl w:val="3"/>
      </w:pPr>
      <w:r>
        <w:rPr>
          <w:sz w:val="24"/>
          <w:b/>
        </w:rPr>
        <w:t>采购项目编号：</w:t>
      </w:r>
      <w:r>
        <w:rPr>
          <w:sz w:val="24"/>
          <w:b/>
        </w:rPr>
        <w:t>0724-2511Z1978003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广州医科大学附属中医医院2026-2027年轨道物流传输系统维保服务项目</w:t>
      </w:r>
      <w:r>
        <w:rPr>
          <w:u w:val="single"/>
        </w:rPr>
        <w:t>”</w:t>
      </w:r>
      <w:r>
        <w:rPr/>
        <w:t>项目的招标[采购项目编号为：</w:t>
      </w:r>
      <w:r>
        <w:rPr>
          <w:u w:val="single"/>
        </w:rPr>
        <w:t>0724-2511Z1978003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广州医科大学附属中医医院2026-2027年轨道物流传输系统维保服务项目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广州医科大学附属中医医院2026-2027年轨道物流传输系统维保服务项目</w:t>
      </w:r>
      <w:r>
        <w:rPr/>
        <w:t>”项目采购[采购项目编号为</w:t>
      </w:r>
      <w:r>
        <w:rPr/>
        <w:t>0724-2511Z1978003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广州医科大学附属中医医院2026-2027年轨道物流传输系统维保服务项目</w:t>
      </w:r>
      <w:r>
        <w:rPr/>
        <w:t>招标中获中标（采购项目编号：</w:t>
      </w:r>
      <w:r>
        <w:rPr/>
        <w:t>0724-2511Z1978003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