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440606-2025-02993</w:t>
      </w:r>
    </w:p>
    <w:p>
      <w:pPr>
        <w:pStyle w:val="null3"/>
        <w:jc w:val="center"/>
        <w:outlineLvl w:val="3"/>
      </w:pPr>
      <w:r>
        <w:rPr>
          <w:sz w:val="24"/>
          <w:b/>
        </w:rPr>
        <w:t>采购项目编号：</w:t>
      </w:r>
      <w:r>
        <w:rPr>
          <w:sz w:val="24"/>
          <w:b/>
        </w:rPr>
        <w:t>0724-2531Z3583165</w:t>
      </w:r>
    </w:p>
    <w:p>
      <w:pPr>
        <w:pStyle w:val="null3"/>
        <w:jc w:val="center"/>
        <w:outlineLvl w:val="3"/>
      </w:pPr>
      <w:r>
        <w:rPr>
          <w:sz w:val="24"/>
          <w:b/>
        </w:rPr>
        <w:t>项目名称：</w:t>
      </w:r>
      <w:r>
        <w:rPr>
          <w:sz w:val="24"/>
          <w:b/>
        </w:rPr>
        <w:t>广东医科大学顺德妇女儿童医院（佛山市顺德区妇幼保健院）外送第三方检验相关服务项目</w:t>
      </w:r>
    </w:p>
    <w:p>
      <w:pPr>
        <w:pStyle w:val="null3"/>
        <w:jc w:val="center"/>
        <w:outlineLvl w:val="3"/>
      </w:pPr>
      <w:r>
        <w:rPr>
          <w:sz w:val="24"/>
          <w:b/>
        </w:rPr>
        <w:t>采购人：</w:t>
      </w:r>
      <w:r>
        <w:rPr>
          <w:sz w:val="24"/>
          <w:b/>
        </w:rPr>
        <w:t>广东医科大学顺德妇女儿童医院（佛山市顺德区妇幼保健院）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广东医科大学顺德妇女儿童医院（佛山市顺德区妇幼保健院）</w:t>
      </w:r>
      <w:r>
        <w:rPr/>
        <w:t>的委托，采用</w:t>
      </w:r>
      <w:r>
        <w:rPr/>
        <w:t>公开招标</w:t>
      </w:r>
      <w:r>
        <w:rPr/>
        <w:t>方式组织采购</w:t>
      </w:r>
      <w:r>
        <w:rPr/>
        <w:t>广东医科大学顺德妇女儿童医院（佛山市顺德区妇幼保健院）外送第三方检验相关服务项目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广东医科大学顺德妇女儿童医院（佛山市顺德区妇幼保健院）外送第三方检验相关服务项目</w:t>
      </w:r>
    </w:p>
    <w:p>
      <w:pPr>
        <w:pStyle w:val="null3"/>
        <w:ind w:firstLine="480"/>
      </w:pPr>
      <w:r>
        <w:rPr/>
        <w:t>采购计划编号：</w:t>
      </w:r>
      <w:r>
        <w:rPr/>
        <w:t>440606-2025-02993</w:t>
      </w:r>
    </w:p>
    <w:p>
      <w:pPr>
        <w:pStyle w:val="null3"/>
        <w:ind w:firstLine="480"/>
      </w:pPr>
      <w:r>
        <w:rPr/>
        <w:t>采购项目编号：</w:t>
      </w:r>
      <w:r>
        <w:rPr/>
        <w:t>0724-2531Z3583165</w:t>
      </w:r>
    </w:p>
    <w:p>
      <w:pPr>
        <w:pStyle w:val="null3"/>
        <w:ind w:firstLine="480"/>
      </w:pPr>
      <w:r>
        <w:rPr/>
        <w:t>采购方式：</w:t>
      </w:r>
      <w:r>
        <w:rPr/>
        <w:t>公开招标</w:t>
      </w:r>
    </w:p>
    <w:p>
      <w:pPr>
        <w:pStyle w:val="null3"/>
        <w:ind w:firstLine="480"/>
      </w:pPr>
      <w:r>
        <w:rPr/>
        <w:t>预算金额：</w:t>
      </w:r>
      <w:r>
        <w:rPr/>
        <w:t>30,000,000.00</w:t>
      </w:r>
      <w:r>
        <w:rPr/>
        <w:t>元</w:t>
      </w:r>
    </w:p>
    <w:p>
      <w:pPr>
        <w:pStyle w:val="null3"/>
        <w:outlineLvl w:val="3"/>
      </w:pPr>
      <w:r>
        <w:rPr>
          <w:sz w:val="24"/>
          <w:b/>
        </w:rPr>
        <w:t>2.项目内容及需求情况（采购项目技术规格、参数及要求）</w:t>
      </w:r>
    </w:p>
    <w:p>
      <w:pPr>
        <w:pStyle w:val="null3"/>
      </w:pPr>
      <w:r>
        <w:rPr/>
        <w:t>采购包1(外送第三方检验相关服务项目):</w:t>
      </w:r>
    </w:p>
    <w:p>
      <w:pPr>
        <w:pStyle w:val="null3"/>
      </w:pPr>
      <w:r>
        <w:rPr/>
        <w:t>采购包预算金额：30,000,000.00元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外送第三方检验相关服务项目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30,000,000.00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合同履行期限：自合同签订之日起3年或合同总金额累计达到采购总预算金额时（以先到为准），该合同自动终止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具有独立承担民事责任能力的法人或其他组织（如供应商已对接“粤省事”“粤商通”“粤信签”等系统且能通过系统查询到相关内容，则无须提供该项证明文件）。</w:t>
      </w:r>
    </w:p>
    <w:p>
      <w:pPr>
        <w:pStyle w:val="null3"/>
      </w:pPr>
      <w:r>
        <w:rPr/>
        <w:t>2）有依法缴纳税收和社会保障资金的良好记录：须提供证明材料或《政府采购供应商资格信用承诺函》。 （1）证明材料要求：须同时提供以下两种证明材料：①投标截止日前6个月内任意1个月依法缴纳税收的有效证明材料和②投标截止日前6个月内任意1个月依法缴纳社会保险的凭据（专用收据或社会保险缴纳清单）相关证明材料。如依法免税或不需要缴纳社会保障资金的，提供相应证明材料。（2）《政府采购供应商资格信用承诺函》 要求：根据《佛山市政务服务数据管理局 佛山市财政局关于推行政府采购项目“承诺信用制”工作的通知》提供承诺函（格式详见公告附件）。</w:t>
      </w:r>
    </w:p>
    <w:p>
      <w:pPr>
        <w:pStyle w:val="null3"/>
      </w:pPr>
      <w:r>
        <w:rPr/>
        <w:t>3）具有良好的商业信誉和健全的财务会计制度：须提供证明材料或《政府采购供应商资格信用承诺函》）。 （1）证明材料要求：须提供以下两种证明材料之一：①提供2023或2024年度财务报告(要求：财务报告须由第三方会计师事务所或其它合法审计机构出具，能清晰显示第三方会计师事务所的印章)；②提供投标截止日前6个月内基本开户银行出具的资信证明，并同时提交开户（基本户）许可证扫描件，开户（基本户）许可证已取消的，应提供能体现基本开户银行的“基本存款账户编号”的相关证明），如成立时间不足6个月的，按成立时间提供）。 （2）《政府采购供应商资格信用承诺函》 要求：根据《佛山市政务服务数据管理局 佛山市财政局关于推行政府采购项目“承诺信用制”工作的通知》提供承诺函（格式详见公告附件）。</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根据《佛山市政务服务数据管理局佛山市财政局关于推行政府采购项目“承诺信用制”工作的通知》提供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采购包1（外送第三方检验相关服务项目）：</w:t>
      </w:r>
      <w:r>
        <w:rPr/>
        <w:t>本项目不属于专门面向中小企业采购的项目。</w:t>
      </w:r>
    </w:p>
    <w:p>
      <w:pPr>
        <w:pStyle w:val="null3"/>
        <w:outlineLvl w:val="3"/>
      </w:pPr>
      <w:r>
        <w:rPr>
          <w:sz w:val="24"/>
          <w:b/>
        </w:rPr>
        <w:t>3.本项目特定的资格要求：</w:t>
      </w:r>
    </w:p>
    <w:p>
      <w:pPr>
        <w:pStyle w:val="null3"/>
      </w:pPr>
      <w:r>
        <w:rPr/>
        <w:t>采购包1（外送第三方检验相关服务项目）：</w:t>
      </w:r>
    </w:p>
    <w:p>
      <w:pPr>
        <w:pStyle w:val="null3"/>
      </w:pPr>
      <w:r>
        <w:rPr/>
        <w:t>1)供应商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3)供应商具备卫生部门核发且在有效期内的《医疗机构执业许可证》，诊疗科目需包含医学检验科。</w:t>
      </w:r>
    </w:p>
    <w:p>
      <w:pPr>
        <w:pStyle w:val="null3"/>
      </w:pPr>
      <w:r>
        <w:rPr/>
        <w:t>4)供应商具备《临床基因扩增检验实验室技术审核合格证书》或《临床基因扩增检验实验室技术验收合格证书》。</w:t>
      </w:r>
    </w:p>
    <w:p>
      <w:pPr>
        <w:pStyle w:val="null3"/>
      </w:pPr>
      <w:r>
        <w:rPr/>
        <w:t>5)本项目不接受联合体投标。</w:t>
      </w:r>
    </w:p>
    <w:p>
      <w:pPr>
        <w:pStyle w:val="null3"/>
      </w:pPr>
      <w:r>
        <w:rPr/>
        <w:t>6)已登录广东政府采购智慧云平台申领并获取本项目采购文件。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广东医科大学顺德妇女儿童医院（佛山市顺德区妇幼保健院）</w:t>
      </w:r>
    </w:p>
    <w:p>
      <w:pPr>
        <w:pStyle w:val="null3"/>
        <w:ind w:firstLine="480"/>
      </w:pPr>
      <w:r>
        <w:rPr/>
        <w:t xml:space="preserve"> 地址：</w:t>
      </w:r>
      <w:r>
        <w:rPr/>
        <w:t>顺德区大良街道保健路3号</w:t>
      </w:r>
    </w:p>
    <w:p>
      <w:pPr>
        <w:pStyle w:val="null3"/>
        <w:ind w:firstLine="480"/>
      </w:pPr>
      <w:r>
        <w:rPr/>
        <w:t xml:space="preserve"> 联系方式：</w:t>
      </w:r>
      <w:r>
        <w:rPr/>
        <w:t>0757-22667835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 37860540/0539</w:t>
      </w:r>
    </w:p>
    <w:p>
      <w:pPr>
        <w:pStyle w:val="null3"/>
        <w:outlineLvl w:val="3"/>
      </w:pPr>
      <w:r>
        <w:rPr>
          <w:sz w:val="24"/>
          <w:b/>
        </w:rPr>
        <w:t xml:space="preserve"> 3.项目联系方式</w:t>
      </w:r>
    </w:p>
    <w:p>
      <w:pPr>
        <w:pStyle w:val="null3"/>
        <w:ind w:firstLine="480"/>
      </w:pPr>
      <w:r>
        <w:rPr/>
        <w:t xml:space="preserve"> 项目联系人：</w:t>
      </w:r>
      <w:r>
        <w:rPr/>
        <w:t>吴佳耿/李家荣</w:t>
      </w:r>
    </w:p>
    <w:p>
      <w:pPr>
        <w:pStyle w:val="null3"/>
        <w:ind w:firstLine="480"/>
      </w:pPr>
      <w:r>
        <w:rPr/>
        <w:t xml:space="preserve"> 电话：</w:t>
      </w:r>
      <w:r>
        <w:rPr/>
        <w:t>(020) 37860540/0539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1．项目标的及采购限价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183"/>
        <w:gridCol w:w="1020"/>
        <w:gridCol w:w="3104"/>
      </w:tblGrid>
      <w:tr>
        <w:tc>
          <w:tcPr>
            <w:tcW w:type="dxa" w:w="418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shd w:fill="FFFFFF" w:val="clear"/>
              </w:rPr>
              <w:t>标的名称</w:t>
            </w:r>
          </w:p>
        </w:tc>
        <w:tc>
          <w:tcPr>
            <w:tcW w:type="dxa" w:w="1020"/>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shd w:fill="FFFFFF" w:val="clear"/>
              </w:rPr>
              <w:t>数量</w:t>
            </w:r>
          </w:p>
        </w:tc>
        <w:tc>
          <w:tcPr>
            <w:tcW w:type="dxa" w:w="310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shd w:fill="FFFFFF" w:val="clear"/>
              </w:rPr>
              <w:t>项目预算</w:t>
            </w:r>
            <w:r>
              <w:rPr>
                <w:sz w:val="21"/>
                <w:b/>
                <w:shd w:fill="FFFFFF" w:val="clear"/>
              </w:rPr>
              <w:t>(人民币)</w:t>
            </w:r>
          </w:p>
        </w:tc>
      </w:tr>
      <w:tr>
        <w:tc>
          <w:tcPr>
            <w:tcW w:type="dxa" w:w="4183"/>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color w:val="000000"/>
                <w:shd w:fill="FFFFFF" w:val="clear"/>
              </w:rPr>
              <w:t>外送第三方检验相关服务项目</w:t>
            </w:r>
          </w:p>
        </w:tc>
        <w:tc>
          <w:tcPr>
            <w:tcW w:type="dxa" w:w="102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color w:val="000000"/>
                <w:shd w:fill="FFFFFF" w:val="clear"/>
              </w:rPr>
              <w:t>1项</w:t>
            </w:r>
          </w:p>
        </w:tc>
        <w:tc>
          <w:tcPr>
            <w:tcW w:type="dxa" w:w="3104"/>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color w:val="000000"/>
                <w:shd w:fill="FFFFFF" w:val="clear"/>
              </w:rPr>
              <w:t>3000万元</w:t>
            </w:r>
          </w:p>
        </w:tc>
      </w:tr>
    </w:tbl>
    <w:p>
      <w:pPr>
        <w:pStyle w:val="null3"/>
        <w:ind w:firstLine="420"/>
      </w:pPr>
      <w:r>
        <w:rPr>
          <w:sz w:val="21"/>
          <w:color w:val="000000"/>
          <w:shd w:fill="FFFFFF" w:val="clear"/>
        </w:rPr>
        <w:t>详细规范请参阅招标文件中的用户需求书。投标供应商必须对本项目的全部内容进行</w:t>
      </w:r>
      <w:r>
        <w:rPr>
          <w:sz w:val="21"/>
          <w:color w:val="000000"/>
          <w:shd w:fill="FFFFFF" w:val="clear"/>
        </w:rPr>
        <w:t>折扣率</w:t>
      </w:r>
      <w:r>
        <w:rPr>
          <w:sz w:val="21"/>
          <w:b/>
          <w:color w:val="000000"/>
          <w:shd w:fill="FFFFFF" w:val="clear"/>
        </w:rPr>
        <w:t>投标报价</w:t>
      </w:r>
      <w:r>
        <w:rPr>
          <w:sz w:val="21"/>
          <w:color w:val="000000"/>
          <w:shd w:fill="FFFFFF" w:val="clear"/>
        </w:rPr>
        <w:t>，如有缺漏，将导致投标无效。</w:t>
      </w:r>
    </w:p>
    <w:p>
      <w:pPr>
        <w:pStyle w:val="null3"/>
        <w:ind w:firstLine="420"/>
      </w:pPr>
      <w:r>
        <w:rPr>
          <w:sz w:val="21"/>
          <w:color w:val="000000"/>
          <w:shd w:fill="FFFFFF" w:val="clear"/>
        </w:rPr>
        <w:t>本项目采购本国服务。</w:t>
      </w:r>
    </w:p>
    <w:p>
      <w:pPr>
        <w:pStyle w:val="null3"/>
        <w:ind w:firstLine="420"/>
        <w:jc w:val="left"/>
      </w:pPr>
      <w:r>
        <w:rPr>
          <w:sz w:val="21"/>
          <w:shd w:fill="FFFFFF" w:val="clear"/>
        </w:rPr>
        <w:t>2.服务期限：自合同签订之日起3年</w:t>
      </w:r>
      <w:r>
        <w:rPr>
          <w:sz w:val="21"/>
        </w:rPr>
        <w:t>或合同金额累计达到采购总预算时（以先到为准），该合同自动终止。</w:t>
      </w:r>
    </w:p>
    <w:p>
      <w:pPr>
        <w:pStyle w:val="null3"/>
        <w:ind w:firstLine="420"/>
        <w:jc w:val="both"/>
      </w:pPr>
      <w:r>
        <w:rPr>
          <w:sz w:val="21"/>
          <w:shd w:fill="FFFFFF" w:val="clear"/>
        </w:rPr>
        <w:t>3.服务地点：采购人指定地点</w:t>
      </w:r>
      <w:r>
        <w:rPr>
          <w:sz w:val="21"/>
          <w:shd w:fill="FFFFFF" w:val="clear"/>
        </w:rPr>
        <w:t>。</w:t>
      </w:r>
    </w:p>
    <w:p>
      <w:pPr>
        <w:pStyle w:val="null3"/>
        <w:ind w:firstLine="420"/>
      </w:pPr>
      <w:r>
        <w:rPr>
          <w:sz w:val="21"/>
          <w:shd w:fill="FFFFFF" w:val="clear"/>
        </w:rPr>
        <w:t xml:space="preserve"> 4.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2020〕9号）等。</w:t>
      </w:r>
    </w:p>
    <w:p>
      <w:pPr>
        <w:pStyle w:val="null3"/>
      </w:pPr>
      <w:r>
        <w:rPr/>
        <w:t>采购包1（外送第三方检验相关服务项目）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自合同签订之日起3年或合同金额累计达到采购总预算时（以先到为准），该合同自动终止</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合同履行总金额控制在：¥30,000,000.00元（大写：人民币叁仟万元整）之内。供应商根据中标折扣率向采购人收取委托检验服务费（服务费=项目检测收费标准*中标折扣率*检测项目数量）。本合同按月结算，中标人每月10日前向采购人提交上月货物及服务清单，列明应结算金额，经采购人审核确认后，按照应结算金额开具正规发票后，采购人在验收合格并审核清单及发票无误后10个自然日内进行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实验室具有完善的质量管理体系，每次检测都有严格的室内质控，每年参加国家卫生部门的质量控制和室间质量评估工作，以控制诊断结果的质量。因供应商质量因素导致的医疗纠纷、事故等不良后果的，由此产生的赔偿责任由供应商承担。 (1)检验结果差错比每季度≤1/10000 ； (2)检验结果与诊断报告相符程度 (不可前后矛盾)每季度≥99%； (3)报告内容与报告结论吻合； (4)检验标本丢失、运送错误率:累计每季度≤1/10000； (5)报告的延误送达率：服务期限内≤1/10000； (6)检验项目必须与采购人开单项目完全吻合； (7) 危急值报告率和及时率达到100%。 (8) 服务质量考核：每季度对供应商的服务质量进行季度考核并根据考核结果扣罚供应商的服务费，考核项目及考核内容详见“附件：检验服务质量季度考核表”。满分为100分，考核得分≥90分的为合格，考核得分&lt;90分的为不合格。考核不合格时，每低于合格基准分（即90分）1分值，按考核季度总费用1%扣减费用，以此类推。季度服务质量连续三个月低于90分或出现季度服务质量低于80分，采购人并有权单方解除合同并报政府采购监管部门，造成的损失由中标人承担。对需整改的考评项目，采购人以书面形式向中标人发出整改通知，中标人须在接到书面通知后7天内作出整改方案及承诺，并提交采购人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供应商报价应包括完成项目的一切费用，包括但不限于相关人员支出、设备支出、用具及用品、设计、制作、安装、送货、税费、合理利润、风险费用等服务过程中可预见和不可预见的一切费用。投标人需对《外送检验需求项目表》的收费标准最高限价进行折扣率报价，折扣率在0%-27%范围内取值，若报价超出此范围则报价无效。折扣率保留2位小数点，唯一且必须为固定报价(格式□□.□□％)，不接受区间报价。合同实际结算收费价格=《外送检验需求项目表》的收费标准最高限价*中标折扣率（即如检测项目对应最高限价单价为100元，所报折扣率为27%，则该项目结算单价=100*27%=27元）。</w:t>
            </w:r>
          </w:p>
        </w:tc>
      </w:tr>
      <w:tr>
        <w:tc>
          <w:tcPr>
            <w:tcW w:type="dxa" w:w="2076"/>
          </w:tcPr>
          <w:p/>
        </w:tc>
        <w:tc>
          <w:tcPr>
            <w:tcW w:type="dxa" w:w="2076"/>
          </w:tcPr>
          <w:p>
            <w:pPr>
              <w:pStyle w:val="null3"/>
              <w:jc w:val="center"/>
            </w:pPr>
            <w:r>
              <w:rPr/>
              <w:t>2</w:t>
            </w:r>
          </w:p>
        </w:tc>
        <w:tc>
          <w:tcPr>
            <w:tcW w:type="dxa" w:w="2076"/>
          </w:tcPr>
          <w:p>
            <w:pPr>
              <w:pStyle w:val="null3"/>
              <w:jc w:val="left"/>
            </w:pPr>
            <w:r>
              <w:rPr/>
              <w:t>应急响应服务</w:t>
            </w:r>
          </w:p>
        </w:tc>
        <w:tc>
          <w:tcPr>
            <w:tcW w:type="dxa" w:w="2076"/>
          </w:tcPr>
          <w:p>
            <w:pPr>
              <w:pStyle w:val="null3"/>
              <w:jc w:val="left"/>
            </w:pPr>
            <w:r>
              <w:rPr/>
              <w:t>1.供应商需配备应急收样方案，采购人发生重大应急事件时，供应商需1小时内到达采购人处接收标本，并可委派技术或实验人员协助采购人处理应急事件。 2.供应商需设有临检专线电话，专门负责处理相关的日常咨询及结果解释服务工作。制定完善制定和流程保障上门服务，并派驻具有医学检验背景的专业人员提供上门检验结果的专业服务。</w:t>
            </w:r>
          </w:p>
        </w:tc>
      </w:tr>
      <w:tr>
        <w:tc>
          <w:tcPr>
            <w:tcW w:type="dxa" w:w="2076"/>
          </w:tcP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1.本项目顺利完成 2.在合同服务期内，因不可抗力的情形导致本合同无法继续履行，而由此导致毁损并造成的损失双方互不承担责任。 3.经双方协商一致解除本项目合同的。</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同意招标方以任何形式对我方投标文件内容及招标方认为有必要的相关资料的真实性和有效性进行审查、验证。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外送第三方检验相关服务项目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30,000,000.00</w:t>
            </w:r>
          </w:p>
        </w:tc>
        <w:tc>
          <w:tcPr>
            <w:tcW w:type="dxa" w:w="831"/>
          </w:tcPr>
          <w:p>
            <w:pPr>
              <w:pStyle w:val="null3"/>
              <w:jc w:val="right"/>
            </w:pPr>
            <w:r>
              <w:rPr/>
              <w:t>30,000,000.00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外送第三方检验相关服务项目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一、项目内容： 1.外送第三方合作项目需求主要有四类：普通检验项目、无创平台项目、流式平台项目、病原学诊断核酸高通量测序平台项目，外送检验项目须包括但不仅限于以下附表中的项目，外检目录仅供投标参考，在项目服务期间，因医院业务发展更新产生新检验项目需求，采购人有权对外检目录进行增减或修改。中标人须实时根据采购人检验清单实际要求更新配合检验工作，对于更新部分的检验项目结算，按中标人的中标折扣率结算。</w:t>
            </w:r>
          </w:p>
        </w:tc>
      </w:tr>
      <w:tr>
        <w:tc>
          <w:tcPr>
            <w:tcW w:type="dxa" w:w="2076"/>
          </w:tcPr>
          <w:p/>
        </w:tc>
        <w:tc>
          <w:tcPr>
            <w:tcW w:type="dxa" w:w="415"/>
          </w:tcPr>
          <w:p>
            <w:pPr>
              <w:pStyle w:val="null3"/>
            </w:pPr>
            <w:r>
              <w:rPr/>
              <w:t>2</w:t>
            </w:r>
          </w:p>
        </w:tc>
        <w:tc>
          <w:tcPr>
            <w:tcW w:type="dxa" w:w="5814"/>
          </w:tcPr>
          <w:p>
            <w:pPr>
              <w:pStyle w:val="null3"/>
            </w:pPr>
            <w:r>
              <w:rPr/>
              <w:t>2.供应商须承担外送检验项目相关的包括检验项目的检验、检验标本接收、保存、运输、检验报告输出、检验信息管理系统（LIS系统）对接、耗材、取材工具等内容，以及产生的结果查询费用、人员费用、税费、资料费、含税发票、合同实施过程中的应预见和不可预见费用等费用。</w:t>
            </w:r>
          </w:p>
        </w:tc>
      </w:tr>
      <w:tr>
        <w:tc>
          <w:tcPr>
            <w:tcW w:type="dxa" w:w="2076"/>
          </w:tcPr>
          <w:p/>
        </w:tc>
        <w:tc>
          <w:tcPr>
            <w:tcW w:type="dxa" w:w="415"/>
          </w:tcPr>
          <w:p>
            <w:pPr>
              <w:pStyle w:val="null3"/>
            </w:pPr>
            <w:r>
              <w:rPr/>
              <w:t>3</w:t>
            </w:r>
          </w:p>
        </w:tc>
        <w:tc>
          <w:tcPr>
            <w:tcW w:type="dxa" w:w="5814"/>
          </w:tcPr>
          <w:p>
            <w:pPr>
              <w:pStyle w:val="null3"/>
            </w:pPr>
            <w:r>
              <w:rPr>
                <w:sz w:val="21"/>
              </w:rPr>
              <w:t>附表：《外送检验需求项目表》</w:t>
            </w:r>
          </w:p>
          <w:tbl>
            <w:tblPr>
              <w:tblInd w:type="dxa" w:w="120"/>
              <w:tblBorders>
                <w:top w:val="none" w:color="000000" w:sz="4"/>
                <w:left w:val="none" w:color="000000" w:sz="4"/>
                <w:bottom w:val="none" w:color="000000" w:sz="4"/>
                <w:right w:val="none" w:color="000000" w:sz="4"/>
                <w:insideH w:val="none"/>
                <w:insideV w:val="none"/>
              </w:tblBorders>
            </w:tblPr>
            <w:tblGrid>
              <w:gridCol w:w="453"/>
              <w:gridCol w:w="2266"/>
              <w:gridCol w:w="796"/>
              <w:gridCol w:w="1433"/>
              <w:gridCol w:w="624"/>
            </w:tblGrid>
            <w:tr>
              <w:tc>
                <w:tcPr>
                  <w:tcW w:type="dxa" w:w="5572"/>
                  <w:gridSpan w:val="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一、一般检验项目</w:t>
                  </w: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序号</w:t>
                  </w:r>
                </w:p>
              </w:tc>
              <w:tc>
                <w:tcPr>
                  <w:tcW w:type="dxa" w:w="226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项目名称</w:t>
                  </w:r>
                </w:p>
              </w:tc>
              <w:tc>
                <w:tcPr>
                  <w:tcW w:type="dxa" w:w="79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收费标准</w:t>
                  </w:r>
                  <w:r>
                    <w:rPr>
                      <w:sz w:val="21"/>
                      <w:b/>
                    </w:rPr>
                    <w:t>最高限价</w:t>
                  </w:r>
                  <w:r>
                    <w:rPr>
                      <w:sz w:val="21"/>
                      <w:b/>
                    </w:rPr>
                    <w:t>（元）</w:t>
                  </w:r>
                </w:p>
              </w:tc>
              <w:tc>
                <w:tcPr>
                  <w:tcW w:type="dxa" w:w="143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检验方法</w:t>
                  </w:r>
                </w:p>
              </w:tc>
              <w:tc>
                <w:tcPr>
                  <w:tcW w:type="dxa" w:w="62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备注</w:t>
                  </w: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(1-3)-β-D葡聚糖(丹娜G试验)</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171</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动态显色法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21号染色体内(iAMP21)基因扩增检测(FISH)</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815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荧光原位杂交</w:t>
                  </w:r>
                  <w:r>
                    <w:rPr>
                      <w:sz w:val="21"/>
                    </w:rPr>
                    <w:t>(FISH)</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5q-(-5/del(5q)，FISH)</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815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荧光原位杂交</w:t>
                  </w:r>
                  <w:r>
                    <w:rPr>
                      <w:sz w:val="21"/>
                    </w:rPr>
                    <w:t>(FISH)</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7q-(-7/del(7q)，FISH)</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815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荧光原位杂交</w:t>
                  </w:r>
                  <w:r>
                    <w:rPr>
                      <w:sz w:val="21"/>
                    </w:rPr>
                    <w:t>(FISH)</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ALL融合基因ph l</w:t>
                  </w:r>
                  <w:r>
                    <w:rPr>
                      <w:sz w:val="21"/>
                      <w:color w:val="FFFFFF"/>
                    </w:rPr>
                    <w:t>.</w:t>
                  </w:r>
                  <w:r>
                    <w:rPr>
                      <w:sz w:val="21"/>
                    </w:rPr>
                    <w:t>i</w:t>
                  </w:r>
                  <w:r>
                    <w:rPr>
                      <w:sz w:val="21"/>
                      <w:color w:val="FFFFFF"/>
                    </w:rPr>
                    <w:t>.</w:t>
                  </w:r>
                  <w:r>
                    <w:rPr>
                      <w:sz w:val="21"/>
                    </w:rPr>
                    <w:t>k</w:t>
                  </w:r>
                  <w:r>
                    <w:rPr>
                      <w:sz w:val="21"/>
                      <w:color w:val="FFFFFF"/>
                    </w:rPr>
                    <w:t>.</w:t>
                  </w:r>
                  <w:r>
                    <w:rPr>
                      <w:sz w:val="21"/>
                    </w:rPr>
                    <w:t>e、MEF2D、ZNF384相关融合补充筛查</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1,497.60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AML1/ETO(RUNX1-RUNX1T1)融合基因检测(FISH)</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815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荧光原位杂交</w:t>
                  </w:r>
                  <w:r>
                    <w:rPr>
                      <w:sz w:val="21"/>
                    </w:rPr>
                    <w:t>(FISH)</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AML1-ETO(RUNX1-RUNX1T1)定量检测(RQ-PCR)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ANCA二项(免疫)</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间接免疫荧光</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BCR/ABL1融合基因检测(FISH)</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815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荧光原位杂交</w:t>
                  </w:r>
                  <w:r>
                    <w:rPr>
                      <w:sz w:val="21"/>
                    </w:rPr>
                    <w:t>(FISH)</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BCR::ABL1(p190)融合基因定量检测(RQ-PCR)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BCR::ABL1(p210)融合基因定量检测(RQ-PCR)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BCR-ABL1(p190)融合基因定量检测(RQ-PCR)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BCR-ABL1(p210)融合基因定量检测(RQ-PCR)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BCR-ABL1，ASS1检测(FISH)</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BK多瘤病毒</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BK多瘤病毒，尿，PCR法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CBFβ::MYH11 融合基因定量检测(RQ-PCR)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color w:val="000000"/>
                    </w:rPr>
                    <w:t>B细胞克隆性评估</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color w:val="000000"/>
                    </w:rPr>
                    <w:t>1365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color w:val="000000"/>
                    </w:rPr>
                    <w:t>PCR+片段分析</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CBFβ基因重排检测(FISH)</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815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荧光原位杂交</w:t>
                  </w:r>
                  <w:r>
                    <w:rPr>
                      <w:sz w:val="21"/>
                    </w:rPr>
                    <w:t>(FISH)</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CD34+细胞绝对计数</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CDKN2A/p16基因纯合性缺失检测（FISH，血液）</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815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荧光原位杂交</w:t>
                  </w:r>
                  <w:r>
                    <w:rPr>
                      <w:sz w:val="21"/>
                    </w:rPr>
                    <w:t>(FISH)</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C-MYC基因扩增检测(FISH)</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815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荧光原位杂交</w:t>
                  </w:r>
                  <w:r>
                    <w:rPr>
                      <w:sz w:val="21"/>
                    </w:rPr>
                    <w:t>(FISH)</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E2A(TCF3)基因重排检测(FISH)</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815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荧光原位杂交</w:t>
                  </w:r>
                  <w:r>
                    <w:rPr>
                      <w:sz w:val="21"/>
                    </w:rPr>
                    <w:t>(FISH)</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E2A-PBX1融合基因定量检测(RQ-PCR)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ENA(风湿七项)</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111.6</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免疫印迹法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ENA+dsDNA+ANA</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173.7</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免疫印迹法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ETV6::ABL1(TEL::ABL1)基因重排检测(RQ-PCR)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ETV6::RUNX1(TEL::AML1)融合基因定量检测 (RQ-PCR)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ETV6-PDGFRB融合基因定量检测(RQ-PCR)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HLA-B*1502基因检测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实时荧光定量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HLA-B27-DNA</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PCR</w:t>
                  </w:r>
                  <w:r>
                    <w:rPr>
                      <w:sz w:val="21"/>
                    </w:rPr>
                    <w:t>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KMT2A::AFDN(MLL::AF6)融合基因定量检测 (RQ-PCR)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KMT2A::MLLT3(MLL::AF9)融合基因定量检测 (RQ-PCR)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MEF2D分离重排基因检测（FISH）</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815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荧光原位杂交</w:t>
                  </w:r>
                  <w:r>
                    <w:rPr>
                      <w:sz w:val="21"/>
                    </w:rPr>
                    <w:t>(FISH)</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MLL(11q23)基因重排检测(FISH)</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815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荧光原位杂交</w:t>
                  </w:r>
                  <w:r>
                    <w:rPr>
                      <w:sz w:val="21"/>
                    </w:rPr>
                    <w:t>(FISH)</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MLL-AF10(KMT2A-MLLT10)定量检测(RQ-PCR)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MLL-AF6(KMT2A-MLLT4)融合基因定量检测(RQ-PCR)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MLL-AF9融合基因定量检测(RQ-PCR)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MLL-PTD基因检测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MYC基因重排检测(血液，FISH)</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815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荧光原位杂交</w:t>
                  </w:r>
                  <w:r>
                    <w:rPr>
                      <w:sz w:val="21"/>
                    </w:rPr>
                    <w:t>(FISH)</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p53基因(17p13.1)缺失检测(FISH)</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815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荧光原位杂交</w:t>
                  </w:r>
                  <w:r>
                    <w:rPr>
                      <w:sz w:val="21"/>
                    </w:rPr>
                    <w:t>(FISH)</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PML::RARα融合基因定量检测(RQ-PCR)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PML-RARA融合基因检测(FISH)</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815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荧光原位杂交</w:t>
                  </w:r>
                  <w:r>
                    <w:rPr>
                      <w:sz w:val="21"/>
                    </w:rPr>
                    <w:t>(FISH)</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PML-RARα融合基因定量检测(RQ-PCR)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TCR-Vb检测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1,641.6</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TEL-AML1融合基因定量检测(RQ-PCR)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TEL-AML1融合基因与iAMP21扩增联合检测（骨髓，FISH）</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815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荧光原位杂交</w:t>
                  </w:r>
                  <w:r>
                    <w:rPr>
                      <w:sz w:val="21"/>
                    </w:rPr>
                    <w:t>(FISH)</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TSGF(恶性肿瘤特异生长因子)</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免疫比浊法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WT1基因定量检测(RQ-PCR)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荧光定量</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白细胞介素</w:t>
                  </w:r>
                  <w:r>
                    <w:rPr>
                      <w:sz w:val="21"/>
                    </w:rPr>
                    <w:t>10/IL-10</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白细胞介素</w:t>
                  </w:r>
                  <w:r>
                    <w:rPr>
                      <w:sz w:val="21"/>
                    </w:rPr>
                    <w:t>1β（IL-1β），化学发光法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白细胞介素</w:t>
                  </w:r>
                  <w:r>
                    <w:rPr>
                      <w:sz w:val="21"/>
                    </w:rPr>
                    <w:t>6/IL-6</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白细胞介素</w:t>
                  </w:r>
                  <w:r>
                    <w:rPr>
                      <w:sz w:val="21"/>
                    </w:rPr>
                    <w:t>8(IL-8)，化学放光法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白血病中</w:t>
                  </w:r>
                  <w:r>
                    <w:rPr>
                      <w:sz w:val="21"/>
                    </w:rPr>
                    <w:t>56融合基因筛查</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2,592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RT-PCR</w:t>
                  </w:r>
                  <w:r>
                    <w:rPr>
                      <w:sz w:val="21"/>
                    </w:rPr>
                    <w:t>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百日咳杆菌</w:t>
                  </w:r>
                  <w:r>
                    <w:rPr>
                      <w:sz w:val="21"/>
                    </w:rPr>
                    <w:t>IgM抗体</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41.4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丙戊酸</w:t>
                  </w:r>
                  <w:r>
                    <w:rPr>
                      <w:sz w:val="21"/>
                    </w:rPr>
                    <w:t>(德巴金)(VAL)</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117</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均相酶免分析法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丙型肝炎病毒</w:t>
                  </w:r>
                  <w:r>
                    <w:rPr>
                      <w:sz w:val="21"/>
                    </w:rPr>
                    <w:t>(HCV-RNA)定量</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156</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实时</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不孕系列</w:t>
                  </w:r>
                  <w:r>
                    <w:rPr>
                      <w:sz w:val="21"/>
                    </w:rPr>
                    <w:t>(AsAb+EmAb+ACA)</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72.9</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常规肾脏病理检测（荧光</w:t>
                  </w:r>
                  <w:r>
                    <w:rPr>
                      <w:sz w:val="21"/>
                    </w:rPr>
                    <w:t>7+特染3）</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免疫荧光染色</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超薄液基细胞学检测</w:t>
                  </w:r>
                  <w:r>
                    <w:rPr>
                      <w:sz w:val="21"/>
                    </w:rPr>
                    <w:t>-宫颈</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200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巴氏染色</w:t>
                  </w:r>
                  <w:r>
                    <w:rPr>
                      <w:sz w:val="21"/>
                    </w:rPr>
                    <w:t>/电脑自动制片/显微镜检查</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促甲状腺激素受体抗体</w:t>
                  </w:r>
                  <w:r>
                    <w:rPr>
                      <w:sz w:val="21"/>
                    </w:rPr>
                    <w:t>(TRAb)，化学发光法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电化学发光法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促肾上腺皮质激素</w:t>
                  </w:r>
                  <w:r>
                    <w:rPr>
                      <w:sz w:val="21"/>
                    </w:rPr>
                    <w:t>(ACTH  00:00)，电化学发光法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电化学发光法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促肾上腺皮质激素</w:t>
                  </w:r>
                  <w:r>
                    <w:rPr>
                      <w:sz w:val="21"/>
                    </w:rPr>
                    <w:t>(ACTH  08:00)，电化学发光法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电化学发光法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促肾上腺皮质激素</w:t>
                  </w:r>
                  <w:r>
                    <w:rPr>
                      <w:sz w:val="21"/>
                    </w:rPr>
                    <w:t>(ACTH  16:00)，电化学发光法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电化学发光法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促肾上腺皮质激素（</w:t>
                  </w:r>
                  <w:r>
                    <w:rPr>
                      <w:sz w:val="21"/>
                    </w:rPr>
                    <w:t>ACTH）电化学发光</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电化学发光法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带状疱疹病毒抗体二项</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36</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单纯疱疹病毒</w:t>
                  </w:r>
                  <w:r>
                    <w:rPr>
                      <w:sz w:val="21"/>
                    </w:rPr>
                    <w:t>(HSV-DNA)定性</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实时</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单纯疱疹病毒</w:t>
                  </w:r>
                  <w:r>
                    <w:rPr>
                      <w:sz w:val="21"/>
                    </w:rPr>
                    <w:t>IgM(HSV-II-IgM)抗体，ELISA法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26</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蛋白</w:t>
                  </w:r>
                  <w:r>
                    <w:rPr>
                      <w:sz w:val="21"/>
                    </w:rPr>
                    <w:t>C测定</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发色底物法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蛋白</w:t>
                  </w:r>
                  <w:r>
                    <w:rPr>
                      <w:sz w:val="21"/>
                    </w:rPr>
                    <w:t>S测定</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180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凝固法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癫痫相关核心基因测序检测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4,048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二代测序</w:t>
                  </w:r>
                  <w:r>
                    <w:rPr>
                      <w:sz w:val="21"/>
                    </w:rPr>
                    <w:t>(NGS)</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儿茶酚胺，血浆，</w:t>
                  </w:r>
                  <w:r>
                    <w:rPr>
                      <w:sz w:val="21"/>
                    </w:rPr>
                    <w:t>LC-MS/MS</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270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色谱法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肺炎衣原体</w:t>
                  </w:r>
                  <w:r>
                    <w:rPr>
                      <w:sz w:val="21"/>
                    </w:rPr>
                    <w:t>IgG抗体(CP-IgG)</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58.5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肺炎衣原体</w:t>
                  </w:r>
                  <w:r>
                    <w:rPr>
                      <w:sz w:val="21"/>
                    </w:rPr>
                    <w:t>IgG抗体，化学发光法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58.5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肺炎衣原体</w:t>
                  </w:r>
                  <w:r>
                    <w:rPr>
                      <w:sz w:val="21"/>
                    </w:rPr>
                    <w:t>-IgM(CP-IgM)</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58.5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肺炎衣原体</w:t>
                  </w:r>
                  <w:r>
                    <w:rPr>
                      <w:sz w:val="21"/>
                    </w:rPr>
                    <w:t>IgM抗体</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58.5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肺炎支原体</w:t>
                  </w:r>
                  <w:r>
                    <w:rPr>
                      <w:sz w:val="21"/>
                    </w:rPr>
                    <w:t>(MP-DNA)定性，PCR法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实时</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封闭抗体</w:t>
                  </w:r>
                  <w:r>
                    <w:rPr>
                      <w:sz w:val="21"/>
                    </w:rPr>
                    <w:t>(BA)</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320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伏立康唑（</w:t>
                  </w:r>
                  <w:r>
                    <w:rPr>
                      <w:sz w:val="21"/>
                    </w:rPr>
                    <w:t>VRC），均相酶免法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117</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免疫学方法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肝吸虫</w:t>
                  </w:r>
                  <w:r>
                    <w:rPr>
                      <w:sz w:val="21"/>
                    </w:rPr>
                    <w:t>IgG抗体，ELISA</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高血压四项</w:t>
                  </w:r>
                  <w:r>
                    <w:rPr>
                      <w:sz w:val="21"/>
                    </w:rPr>
                    <w:t>(A1(37℃)，A1(4℃)，PRA，ALD)</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175.5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谷氨酸脱酸酶抗体（</w:t>
                  </w:r>
                  <w:r>
                    <w:rPr>
                      <w:sz w:val="21"/>
                    </w:rPr>
                    <w:t>GAD）</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骨钙素</w:t>
                  </w:r>
                  <w:r>
                    <w:rPr>
                      <w:sz w:val="21"/>
                    </w:rPr>
                    <w:t>(OST)</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电化学发光法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骨髓涂片</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195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HE 染色</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骨髓细胞染色体核型分析</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1114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培养法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汉氏巴尔通体</w:t>
                  </w:r>
                  <w:r>
                    <w:rPr>
                      <w:sz w:val="21"/>
                    </w:rPr>
                    <w:t>(猫抓病)DNA定性，实时荧光PCR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实时荧光</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红细胞</w:t>
                  </w:r>
                  <w:r>
                    <w:rPr>
                      <w:sz w:val="21"/>
                    </w:rPr>
                    <w:t>CD55、CD59评估</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呼吸道病原</w:t>
                  </w:r>
                  <w:r>
                    <w:rPr>
                      <w:sz w:val="21"/>
                    </w:rPr>
                    <w:t>5项</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198.9</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霍乱弧菌培养</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63</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培养法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急慢性白血病</w:t>
                  </w:r>
                  <w:r>
                    <w:rPr>
                      <w:sz w:val="21"/>
                    </w:rPr>
                    <w:t>/NHL/MDS全面CD系列检测(40 CD)</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1,728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急性白血病快速鉴别诊断</w:t>
                  </w:r>
                  <w:r>
                    <w:rPr>
                      <w:sz w:val="21"/>
                    </w:rPr>
                    <w:t>CD系列检测(15CD)</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648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甲型</w:t>
                  </w:r>
                  <w:r>
                    <w:rPr>
                      <w:sz w:val="21"/>
                    </w:rPr>
                    <w:t>H1N1流感病毒核酸检测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实时</w:t>
                  </w:r>
                </w:p>
                <w:p>
                  <w:pPr>
                    <w:pStyle w:val="null3"/>
                    <w:jc w:val="center"/>
                  </w:pP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甲型肝炎病毒抗体</w:t>
                  </w:r>
                  <w:r>
                    <w:rPr>
                      <w:sz w:val="21"/>
                    </w:rPr>
                    <w:t>IgM(HAV-IgM)</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20.7</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甲型肝炎病毒抗体</w:t>
                  </w:r>
                  <w:r>
                    <w:rPr>
                      <w:sz w:val="21"/>
                    </w:rPr>
                    <w:t>IgM(HAV-IgM)，化学发光法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20.7</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甲型流感病毒培养与免疫荧光鉴定</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免疫荧光法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甲状旁腺激素</w:t>
                  </w:r>
                  <w:r>
                    <w:rPr>
                      <w:sz w:val="21"/>
                    </w:rPr>
                    <w:t>(PTH)</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51.3</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甲状腺球蛋白</w:t>
                  </w:r>
                  <w:r>
                    <w:rPr>
                      <w:sz w:val="21"/>
                    </w:rPr>
                    <w:t>(Tg)</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40.5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甲状腺球蛋白抗体（</w:t>
                  </w:r>
                  <w:r>
                    <w:rPr>
                      <w:sz w:val="21"/>
                    </w:rPr>
                    <w:t>TGA）.化学发光法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结核杆菌抗体</w:t>
                  </w:r>
                  <w:r>
                    <w:rPr>
                      <w:sz w:val="21"/>
                    </w:rPr>
                    <w:t>(Tb-Ab)</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41.4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免疫胶体金法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卡马西平（</w:t>
                  </w:r>
                  <w:r>
                    <w:rPr>
                      <w:sz w:val="21"/>
                    </w:rPr>
                    <w:t>CAR），均相酶免法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均相酶免法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抗</w:t>
                  </w:r>
                  <w:r>
                    <w:rPr>
                      <w:sz w:val="21"/>
                    </w:rPr>
                    <w:t>HCG抗体(HCG-Ab)</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63</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抗环瓜氨酸肽抗体定量</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117</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抗环瓜氨酸肽抗体定性</w:t>
                  </w:r>
                  <w:r>
                    <w:rPr>
                      <w:sz w:val="21"/>
                    </w:rPr>
                    <w:t>(CCP)</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抗精子抗体</w:t>
                  </w:r>
                  <w:r>
                    <w:rPr>
                      <w:sz w:val="21"/>
                    </w:rPr>
                    <w:t>(AsAb)</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28.8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抗磷脂酰丝氨酸</w:t>
                  </w:r>
                  <w:r>
                    <w:rPr>
                      <w:sz w:val="21"/>
                    </w:rPr>
                    <w:t>IgG抗体</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200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抗磷脂酰丝氨酸</w:t>
                  </w:r>
                  <w:r>
                    <w:rPr>
                      <w:sz w:val="21"/>
                    </w:rPr>
                    <w:t>IgG抗体，酶联免疫法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200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抗磷脂酰丝氨酸</w:t>
                  </w:r>
                  <w:r>
                    <w:rPr>
                      <w:sz w:val="21"/>
                    </w:rPr>
                    <w:t>IgM抗体</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200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抗磷脂酰丝氨酸</w:t>
                  </w:r>
                  <w:r>
                    <w:rPr>
                      <w:sz w:val="21"/>
                    </w:rPr>
                    <w:t>IgM抗体，酶联免疫法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200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抗卵巢抗体</w:t>
                  </w:r>
                  <w:r>
                    <w:rPr>
                      <w:sz w:val="21"/>
                    </w:rPr>
                    <w:t>(AoAb)</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63</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抗卵细胞透明带抗体</w:t>
                  </w:r>
                  <w:r>
                    <w:rPr>
                      <w:sz w:val="21"/>
                    </w:rPr>
                    <w:t>(ZP)</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56.7</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抗双链</w:t>
                  </w:r>
                  <w:r>
                    <w:rPr>
                      <w:sz w:val="21"/>
                    </w:rPr>
                    <w:t>DNA抗体定量，化学发光法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抗心磷脂抗体</w:t>
                  </w:r>
                  <w:r>
                    <w:rPr>
                      <w:sz w:val="21"/>
                    </w:rPr>
                    <w:t>(ACA)</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抗子宫内膜抗体</w:t>
                  </w:r>
                  <w:r>
                    <w:rPr>
                      <w:sz w:val="21"/>
                    </w:rPr>
                    <w:t>(EmAb)</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41.4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柯萨奇病毒</w:t>
                  </w:r>
                  <w:r>
                    <w:rPr>
                      <w:sz w:val="21"/>
                    </w:rPr>
                    <w:t>A16型(CA16-RNA)定性</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PCR法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可溶性白细胞介素</w:t>
                  </w:r>
                  <w:r>
                    <w:rPr>
                      <w:sz w:val="21"/>
                    </w:rPr>
                    <w:t>2受体（sCD25）</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狼疮样抗凝物质筛查（</w:t>
                  </w:r>
                  <w:r>
                    <w:rPr>
                      <w:sz w:val="21"/>
                    </w:rPr>
                    <w:t>LA1+LA2）</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凝固法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硫酸去氢表雄酮</w:t>
                  </w:r>
                  <w:r>
                    <w:rPr>
                      <w:sz w:val="21"/>
                    </w:rPr>
                    <w:t>(DHS)</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51.3</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电化学发光法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免疫功能检测套餐</w:t>
                  </w:r>
                  <w:r>
                    <w:rPr>
                      <w:sz w:val="21"/>
                    </w:rPr>
                    <w:t>(122项)</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5,270.4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免疫荧光四项</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460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免疫荧光</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尿蛋白电泳定量（带</w:t>
                  </w:r>
                  <w:r>
                    <w:rPr>
                      <w:sz w:val="21"/>
                    </w:rPr>
                    <w:t>M蛋白）</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73</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尿香草扁桃酸</w:t>
                  </w:r>
                  <w:r>
                    <w:rPr>
                      <w:sz w:val="21"/>
                    </w:rPr>
                    <w:t>(VMA)，均相酶免法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均相酶免法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尿</w:t>
                  </w:r>
                  <w:r>
                    <w:rPr>
                      <w:sz w:val="21"/>
                    </w:rPr>
                    <w:t>β2微球蛋白</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泊沙康唑，</w:t>
                  </w:r>
                  <w:r>
                    <w:rPr>
                      <w:sz w:val="21"/>
                    </w:rPr>
                    <w:t>LC-MS/MS</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色谱法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醛固酮</w:t>
                  </w:r>
                  <w:r>
                    <w:rPr>
                      <w:sz w:val="21"/>
                    </w:rPr>
                    <w:t>(ALD)</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51.3</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染色体异常</w:t>
                  </w:r>
                  <w:r>
                    <w:rPr>
                      <w:sz w:val="21"/>
                    </w:rPr>
                    <w:t>FISH检测（FISH）</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815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荧光原位杂交</w:t>
                  </w:r>
                  <w:r>
                    <w:rPr>
                      <w:sz w:val="21"/>
                    </w:rPr>
                    <w:t>(FISH)</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人类白细胞分化抗原</w:t>
                  </w:r>
                  <w:r>
                    <w:rPr>
                      <w:sz w:val="21"/>
                    </w:rPr>
                    <w:t>B27(HLA-B27)筛查</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207</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绒毛染色体非整倍体基因检测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1,114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多重连接探针扩增技术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腮腺炎病毒</w:t>
                  </w:r>
                  <w:r>
                    <w:rPr>
                      <w:sz w:val="21"/>
                    </w:rPr>
                    <w:t>IgM抗体，ELISA法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病毒血清学试验</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肾脏全套电镜检查与诊断</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345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透射电镜检查</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食物特异性</w:t>
                  </w:r>
                  <w:r>
                    <w:rPr>
                      <w:sz w:val="21"/>
                    </w:rPr>
                    <w:t>IgG检测14项（水果组合），免疫印迹法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302.4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食物特异性</w:t>
                  </w:r>
                  <w:r>
                    <w:rPr>
                      <w:sz w:val="21"/>
                    </w:rPr>
                    <w:t>IgG抗体90项，免疫印迹法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1,944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食物特异性</w:t>
                  </w:r>
                  <w:r>
                    <w:rPr>
                      <w:sz w:val="21"/>
                    </w:rPr>
                    <w:t>lgG检测14项（经典组合）</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302.4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食物特异性</w:t>
                  </w:r>
                  <w:r>
                    <w:rPr>
                      <w:sz w:val="21"/>
                    </w:rPr>
                    <w:t>lgG检测7项（海鲜组合）</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189</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视黄醇结合蛋白，免疫比浊法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免疫比浊法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手足口病二项</w:t>
                  </w:r>
                  <w:r>
                    <w:rPr>
                      <w:sz w:val="21"/>
                    </w:rPr>
                    <w:t>(CA16、EV71)</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288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实时</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水痘</w:t>
                  </w:r>
                  <w:r>
                    <w:rPr>
                      <w:sz w:val="21"/>
                    </w:rPr>
                    <w:t>-带状疱疹病毒IgM(VZV-IgM)</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PCR 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水痘</w:t>
                  </w:r>
                  <w:r>
                    <w:rPr>
                      <w:sz w:val="21"/>
                    </w:rPr>
                    <w:t>-带状疱疹病毒抗体IgG(VZV-IgG)</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36</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他克莫司</w:t>
                  </w:r>
                  <w:r>
                    <w:rPr>
                      <w:sz w:val="21"/>
                    </w:rPr>
                    <w:t>(普乐可复/FK506)</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色谱法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糖链抗原（</w:t>
                  </w:r>
                  <w:r>
                    <w:rPr>
                      <w:sz w:val="21"/>
                    </w:rPr>
                    <w:t>CA242）化学发光法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糖链抗原</w:t>
                  </w:r>
                  <w:r>
                    <w:rPr>
                      <w:sz w:val="21"/>
                    </w:rPr>
                    <w:t>CA72-4</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铁三项</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15.3</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亚铁嗪法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铜蓝蛋白</w:t>
                  </w:r>
                  <w:r>
                    <w:rPr>
                      <w:sz w:val="21"/>
                    </w:rPr>
                    <w:t>(CER)</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20.7</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免疫透射比浊法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脱氢表雄酮（</w:t>
                  </w:r>
                  <w:r>
                    <w:rPr>
                      <w:sz w:val="21"/>
                    </w:rPr>
                    <w:t>DHEA）</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51.3</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外显子水平缺失重复检测</w:t>
                  </w:r>
                  <w:r>
                    <w:rPr>
                      <w:sz w:val="21"/>
                    </w:rPr>
                    <w:t>(DMD/SMA等单病)</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920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高通量测序</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外周血</w:t>
                  </w:r>
                  <w:r>
                    <w:rPr>
                      <w:sz w:val="21"/>
                    </w:rPr>
                    <w:t>B淋巴细胞(CD3-CD19+)</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外周血</w:t>
                  </w:r>
                  <w:r>
                    <w:rPr>
                      <w:sz w:val="21"/>
                    </w:rPr>
                    <w:t>NK细胞 (CD3-CD16+或CD56+)</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外周血</w:t>
                  </w:r>
                  <w:r>
                    <w:rPr>
                      <w:sz w:val="21"/>
                    </w:rPr>
                    <w:t>NK细胞、B细胞绝对计数</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486</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外周血</w:t>
                  </w:r>
                  <w:r>
                    <w:rPr>
                      <w:sz w:val="21"/>
                    </w:rPr>
                    <w:t>T淋巴细胞亚群</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外周血</w:t>
                  </w:r>
                  <w:r>
                    <w:rPr>
                      <w:sz w:val="21"/>
                    </w:rPr>
                    <w:t>T淋巴细胞亚群绝对计数</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486</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150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外周血染色体核型分析</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664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培养法</w:t>
                  </w:r>
                  <w:r>
                    <w:rPr>
                      <w:sz w:val="21"/>
                    </w:rPr>
                    <w:t>G显带或C显带</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151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萎缩性胃炎抗体两项套餐</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55.8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152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微小残留白血病检测</w:t>
                  </w:r>
                  <w:r>
                    <w:rPr>
                      <w:sz w:val="21"/>
                    </w:rPr>
                    <w:t>(15CD，提供即往完整表型信息)</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810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153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微小残留白血病检测</w:t>
                  </w:r>
                  <w:r>
                    <w:rPr>
                      <w:sz w:val="21"/>
                    </w:rPr>
                    <w:t>(28CD，既往无完整免疫表型信息)</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1512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154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胃肠道抗体</w:t>
                  </w:r>
                  <w:r>
                    <w:rPr>
                      <w:sz w:val="21"/>
                    </w:rPr>
                    <w:t>ASCA两项</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129.6</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155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胃肠道抗体</w:t>
                  </w:r>
                  <w:r>
                    <w:rPr>
                      <w:sz w:val="21"/>
                    </w:rPr>
                    <w:t>GP2两项</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129.6</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156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胃肠道抗体检测</w:t>
                  </w:r>
                  <w:r>
                    <w:rPr>
                      <w:sz w:val="21"/>
                    </w:rPr>
                    <w:t>4项</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259.2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157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戊型肝炎病毒</w:t>
                  </w:r>
                  <w:r>
                    <w:rPr>
                      <w:sz w:val="21"/>
                    </w:rPr>
                    <w:t>(HEV)RNA检测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实时</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158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戊型肝炎病毒抗体</w:t>
                  </w:r>
                  <w:r>
                    <w:rPr>
                      <w:sz w:val="21"/>
                    </w:rPr>
                    <w:t>IgG(HEV-IgG)</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159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戊型肝炎病毒抗体</w:t>
                  </w:r>
                  <w:r>
                    <w:rPr>
                      <w:sz w:val="21"/>
                    </w:rPr>
                    <w:t>IgG(HEV-IgG)，化学发光法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戊型肝炎病毒抗体</w:t>
                  </w:r>
                  <w:r>
                    <w:rPr>
                      <w:sz w:val="21"/>
                    </w:rPr>
                    <w:t>IgM(HEV-IgM)</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戊型肝炎病毒抗体</w:t>
                  </w:r>
                  <w:r>
                    <w:rPr>
                      <w:sz w:val="21"/>
                    </w:rPr>
                    <w:t>IgM(HEV-IgM)，化学发光法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西罗莫司，全血，高效液相色谱</w:t>
                  </w:r>
                  <w:r>
                    <w:rPr>
                      <w:sz w:val="21"/>
                    </w:rPr>
                    <w:t>-串联质谱法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色谱法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细胞病理特殊染色</w:t>
                  </w:r>
                  <w:r>
                    <w:rPr>
                      <w:sz w:val="21"/>
                    </w:rPr>
                    <w:t>1项</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特殊染色</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细胞角蛋白</w:t>
                  </w:r>
                  <w:r>
                    <w:rPr>
                      <w:sz w:val="21"/>
                    </w:rPr>
                    <w:t>19片段(CYFRA21-1)</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电化学发光法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细胞蜡块</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HE 染色</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腺病毒病毒培养与免疫荧光鉴定</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63</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病毒培养法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新筛</w:t>
                  </w:r>
                  <w:r>
                    <w:rPr>
                      <w:sz w:val="21"/>
                    </w:rPr>
                    <w:t>17a-OHP复筛</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51.3</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胸</w:t>
                  </w:r>
                  <w:r>
                    <w:rPr>
                      <w:sz w:val="21"/>
                    </w:rPr>
                    <w:t>(腹)水腺苷脱氨酶(ADA)</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速率法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雄烯二酮</w:t>
                  </w:r>
                  <w:r>
                    <w:rPr>
                      <w:sz w:val="21"/>
                    </w:rPr>
                    <w:t>(AD)，血清，LC-MS/MS</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82.8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质谱法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170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血管性血友病因子</w:t>
                  </w:r>
                  <w:r>
                    <w:rPr>
                      <w:sz w:val="21"/>
                    </w:rPr>
                    <w:t>(vWF:Ag)</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免疫比浊法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171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血管炎五项</w:t>
                  </w:r>
                  <w:r>
                    <w:rPr>
                      <w:sz w:val="21"/>
                    </w:rPr>
                    <w:t>(P-ANCA、C-ANCA，MPO-Ab，PR3-Ab，ACA)</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268.7</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间接免疫荧光法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172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血浆蛋白</w:t>
                  </w:r>
                  <w:r>
                    <w:rPr>
                      <w:sz w:val="21"/>
                    </w:rPr>
                    <w:t>C活性(PC)+蛋白S活性(PS)测定</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252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凝固法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173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血浆凝血因子全套</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864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凝固法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174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血培养</w:t>
                  </w:r>
                  <w:r>
                    <w:rPr>
                      <w:sz w:val="21"/>
                    </w:rPr>
                    <w:t>( 厌氧 )+追加药敏，培养法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126</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细菌培养法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175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血清免疫固定电泳</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180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琼脂糖凝胶电泳</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176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血清腺苷脱氨酶</w:t>
                  </w:r>
                  <w:r>
                    <w:rPr>
                      <w:sz w:val="21"/>
                    </w:rPr>
                    <w:t>(ADA)</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速率法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177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血</w:t>
                  </w:r>
                  <w:r>
                    <w:rPr>
                      <w:sz w:val="21"/>
                    </w:rPr>
                    <w:t>β2微球蛋白</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178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乙型流感病毒</w:t>
                  </w:r>
                  <w:r>
                    <w:rPr>
                      <w:sz w:val="21"/>
                    </w:rPr>
                    <w:t>FluB核酸检测，PCR法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实时</w:t>
                  </w:r>
                  <w:r>
                    <w:rPr>
                      <w:sz w:val="21"/>
                    </w:rPr>
                    <w:t>PCR</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179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乙型流感病毒培养与免疫荧光鉴定</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63</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病毒培养法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180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隐性遗传病携带者筛查</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1,610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高通量测序</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181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中枢神经系统多种病原体靶向测序，多重靶向扩增</w:t>
                  </w:r>
                  <w:r>
                    <w:rPr>
                      <w:sz w:val="21"/>
                    </w:rPr>
                    <w:t>-高通量测序法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920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高通量测序</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182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肿瘤坏死因子</w:t>
                  </w:r>
                  <w:r>
                    <w:rPr>
                      <w:sz w:val="21"/>
                    </w:rPr>
                    <w:t>(TNF-α)</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64.8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183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子宫内膜癌相关基因测序检测中级套餐，</w:t>
                  </w:r>
                  <w:r>
                    <w:rPr>
                      <w:sz w:val="21"/>
                    </w:rPr>
                    <w:t>组织</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7,728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184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总</w:t>
                  </w:r>
                  <w:r>
                    <w:rPr>
                      <w:sz w:val="21"/>
                    </w:rPr>
                    <w:t>IgE</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63</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电化学发光法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185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总</w:t>
                  </w:r>
                  <w:r>
                    <w:rPr>
                      <w:sz w:val="21"/>
                    </w:rPr>
                    <w:t>Ⅰ型胶原氨基端延长肽(PINP)</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电化学发光法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β2糖蛋白1抗体(β2-GP1-Ab)</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酶联免疫吸附法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5572"/>
                  <w:gridSpan w:val="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二、高通量项目（包含无创项目、病原学诊断核酸）</w:t>
                  </w: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序号</w:t>
                  </w:r>
                </w:p>
              </w:tc>
              <w:tc>
                <w:tcPr>
                  <w:tcW w:type="dxa" w:w="226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项目名称</w:t>
                  </w:r>
                </w:p>
              </w:tc>
              <w:tc>
                <w:tcPr>
                  <w:tcW w:type="dxa" w:w="79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收费标准最高限价</w:t>
                  </w:r>
                  <w:r>
                    <w:rPr>
                      <w:sz w:val="21"/>
                      <w:b/>
                    </w:rPr>
                    <w:t>（元）</w:t>
                  </w:r>
                </w:p>
              </w:tc>
              <w:tc>
                <w:tcPr>
                  <w:tcW w:type="dxa" w:w="143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检验方法</w:t>
                  </w:r>
                </w:p>
              </w:tc>
              <w:tc>
                <w:tcPr>
                  <w:tcW w:type="dxa" w:w="62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备注</w:t>
                  </w: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低深度全基因组测序（</w:t>
                  </w:r>
                  <w:r>
                    <w:rPr>
                      <w:sz w:val="21"/>
                    </w:rPr>
                    <w:t>CNV-seq，外周血）</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2,530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w:t>
                  </w:r>
                  <w:r>
                    <w:rPr>
                      <w:sz w:val="21"/>
                    </w:rPr>
                    <w:t>+生信分析</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低深度全基因组拷贝数变异检测（</w:t>
                  </w:r>
                  <w:r>
                    <w:rPr>
                      <w:sz w:val="21"/>
                    </w:rPr>
                    <w:t>CNV-seq，流产物）</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2,530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w:t>
                  </w:r>
                  <w:r>
                    <w:rPr>
                      <w:sz w:val="21"/>
                    </w:rPr>
                    <w:t>+生信分析</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胎儿染色体非整倍体无创产前基因检测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1,535</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脱氧核糖核酸</w:t>
                  </w:r>
                  <w:r>
                    <w:rPr>
                      <w:sz w:val="21"/>
                    </w:rPr>
                    <w:t>(DNA)测序</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特定点突变测序</w:t>
                  </w:r>
                  <w:r>
                    <w:rPr>
                      <w:sz w:val="21"/>
                    </w:rPr>
                    <w:t>(单项)</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460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一代测序</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16S宏基因组肠道菌群检测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920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DNA-病原微生物宏基因组检测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2760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HLA高分辨基因分型（6位点）</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1,840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MetaCAP病原微生物核酸高通量测序，探针捕获高通量测序法</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2,024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MPN相关基因突变及融合检测（中级套餐）（组合）</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4784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安全用药基因检测基础套餐</w:t>
                  </w:r>
                  <w:r>
                    <w:rPr>
                      <w:sz w:val="21"/>
                    </w:rPr>
                    <w:t>(NGS)</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1656</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地中海贫血基因检测（</w:t>
                  </w:r>
                  <w:r>
                    <w:rPr>
                      <w:sz w:val="21"/>
                    </w:rPr>
                    <w:t>621位点）</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690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癫痫相关基因整体测序</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4048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呼吸道多种病原体靶向测序</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736</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上呼吸道多种病原体靶向测序</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552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生殖道多种病原体靶向测序</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552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感染</w:t>
                  </w:r>
                  <w:r>
                    <w:rPr>
                      <w:sz w:val="21"/>
                    </w:rPr>
                    <w:t>1000 项目（MetaCAP）</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1,380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结核分枝杆菌复合群及耐药基因靶向测序</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690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分枝杆菌靶向测序</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920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中枢神经系统多种病原体靶向测序</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920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流感核酸检测套餐</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288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PCR</w:t>
                  </w:r>
                  <w:r>
                    <w:rPr>
                      <w:sz w:val="21"/>
                    </w:rPr>
                    <w:t>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家族成员样本特定变异位点检测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460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一代测序</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流产物全外显子组测序检测（先证者、父母三人家系）</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12144</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卵巢癌相关基因测序检测（中级套餐，</w:t>
                  </w:r>
                  <w:r>
                    <w:rPr>
                      <w:sz w:val="21"/>
                    </w:rPr>
                    <w:t>FFPE）</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7,728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全外测序检测（家系，羊水）</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9936</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染色体微阵列分析</w:t>
                  </w:r>
                  <w:r>
                    <w:rPr>
                      <w:sz w:val="21"/>
                    </w:rPr>
                    <w:t>- 产前与不孕(CytoScan750K)</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3,800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微阵列法</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生长激素缺乏症及身材矮小相关基因检测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3680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先天性骨髓衰竭综合征相关基因测序检测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3,680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线粒体基因组全长检测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2760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血液肿瘤</w:t>
                  </w:r>
                  <w:r>
                    <w:rPr>
                      <w:sz w:val="21"/>
                    </w:rPr>
                    <w:t>CRLF2基因突变检测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460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血液肿瘤</w:t>
                  </w:r>
                  <w:r>
                    <w:rPr>
                      <w:sz w:val="21"/>
                    </w:rPr>
                    <w:t>KRAS基因突变检测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1,380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血液肿瘤</w:t>
                  </w:r>
                  <w:r>
                    <w:rPr>
                      <w:sz w:val="21"/>
                    </w:rPr>
                    <w:t>NGS阳性位点后续检测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1,380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血液肿瘤</w:t>
                  </w:r>
                  <w:r>
                    <w:rPr>
                      <w:sz w:val="21"/>
                    </w:rPr>
                    <w:t>NOTCH1基因突变检测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1,380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血液肿瘤</w:t>
                  </w:r>
                  <w:r>
                    <w:rPr>
                      <w:sz w:val="21"/>
                    </w:rPr>
                    <w:t>NRAS基因突变检测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1,380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遗传病全外显子组基因测序</w:t>
                  </w:r>
                  <w:r>
                    <w:rPr>
                      <w:sz w:val="21"/>
                    </w:rPr>
                    <w:t>(单样本，Solo)</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4232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spacing w:after="225"/>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遗传病全外显子组家系检测</w:t>
                  </w:r>
                  <w:r>
                    <w:rPr>
                      <w:sz w:val="21"/>
                    </w:rPr>
                    <w:t>(Trio)</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6808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遗传性白化病相关基因测序</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3680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遗传性大疱性表皮松解症相关基因测序检测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3128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38</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遗传性耳聋携带者筛查</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3680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39</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遗传性免疫缺陷相关基因测序检测</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3680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40</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遗传性眼病相关基因测序</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4,048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胎儿染色体无创产前</w:t>
                  </w:r>
                  <w:r>
                    <w:rPr>
                      <w:sz w:val="21"/>
                    </w:rPr>
                    <w:t>DNA检测PLUS</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2300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高通量测序技术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低深度全基因组测序（</w:t>
                  </w:r>
                  <w:r>
                    <w:rPr>
                      <w:sz w:val="21"/>
                    </w:rPr>
                    <w:t>CNV-seq，羊水）</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2530</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高通量测序</w:t>
                  </w:r>
                  <w:r>
                    <w:rPr>
                      <w:sz w:val="21"/>
                    </w:rPr>
                    <w:t>+生信分析</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5572"/>
                  <w:gridSpan w:val="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三、流式项目</w:t>
                  </w: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序号</w:t>
                  </w:r>
                </w:p>
              </w:tc>
              <w:tc>
                <w:tcPr>
                  <w:tcW w:type="dxa" w:w="226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项目名称</w:t>
                  </w:r>
                </w:p>
              </w:tc>
              <w:tc>
                <w:tcPr>
                  <w:tcW w:type="dxa" w:w="79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收费标准最高限价</w:t>
                  </w:r>
                  <w:r>
                    <w:rPr>
                      <w:sz w:val="21"/>
                      <w:b/>
                    </w:rPr>
                    <w:t>（元）</w:t>
                  </w:r>
                </w:p>
              </w:tc>
              <w:tc>
                <w:tcPr>
                  <w:tcW w:type="dxa" w:w="143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检验方法</w:t>
                  </w:r>
                </w:p>
              </w:tc>
              <w:tc>
                <w:tcPr>
                  <w:tcW w:type="dxa" w:w="624"/>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备注</w:t>
                  </w: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CD34+细胞绝对计数</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外周血</w:t>
                  </w:r>
                  <w:r>
                    <w:rPr>
                      <w:sz w:val="21"/>
                    </w:rPr>
                    <w:t>B淋巴细胞(CD3-CD19+)</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外周血</w:t>
                  </w:r>
                  <w:r>
                    <w:rPr>
                      <w:sz w:val="21"/>
                    </w:rPr>
                    <w:t>NK细胞 (CD3-CD16+或CD56+)</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108</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外周血</w:t>
                  </w:r>
                  <w:r>
                    <w:rPr>
                      <w:sz w:val="21"/>
                    </w:rPr>
                    <w:t>NK细胞、B细胞绝对计数</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475.2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外周血</w:t>
                  </w:r>
                  <w:r>
                    <w:rPr>
                      <w:sz w:val="21"/>
                    </w:rPr>
                    <w:t>T淋巴细胞亚群</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162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外周血</w:t>
                  </w:r>
                  <w:r>
                    <w:rPr>
                      <w:sz w:val="21"/>
                    </w:rPr>
                    <w:t>T淋巴细胞亚群绝对计数</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475.2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r>
              <w:tc>
                <w:tcPr>
                  <w:tcW w:type="dxa" w:w="4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w:t>
                  </w:r>
                </w:p>
              </w:tc>
              <w:tc>
                <w:tcPr>
                  <w:tcW w:type="dxa" w:w="226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left"/>
                  </w:pPr>
                  <w:r>
                    <w:rPr>
                      <w:sz w:val="21"/>
                    </w:rPr>
                    <w:t>自身免疫性淋巴细胞增生症</w:t>
                  </w:r>
                  <w:r>
                    <w:rPr>
                      <w:sz w:val="21"/>
                    </w:rPr>
                    <w:t>(ALPS)流式筛查，流式细胞术</w:t>
                  </w:r>
                </w:p>
              </w:tc>
              <w:tc>
                <w:tcPr>
                  <w:tcW w:type="dxa" w:w="79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475.2</w:t>
                  </w:r>
                </w:p>
              </w:tc>
              <w:tc>
                <w:tcPr>
                  <w:tcW w:type="dxa" w:w="14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流式细胞术</w:t>
                  </w:r>
                </w:p>
              </w:tc>
              <w:tc>
                <w:tcPr>
                  <w:tcW w:type="dxa" w:w="62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p>
              </w:tc>
            </w:tr>
          </w:tbl>
          <w:p>
            <w:pPr>
              <w:pStyle w:val="null3"/>
              <w:jc w:val="both"/>
            </w:pPr>
            <w:r>
              <w:rPr>
                <w:sz w:val="21"/>
              </w:rPr>
              <w:t>注：政策有价格调整，以政府指导价为准。</w:t>
            </w:r>
          </w:p>
        </w:tc>
      </w:tr>
      <w:tr>
        <w:tc>
          <w:tcPr>
            <w:tcW w:type="dxa" w:w="2076"/>
          </w:tcPr>
          <w:p/>
        </w:tc>
        <w:tc>
          <w:tcPr>
            <w:tcW w:type="dxa" w:w="415"/>
          </w:tcPr>
          <w:p>
            <w:pPr>
              <w:pStyle w:val="null3"/>
            </w:pPr>
            <w:r>
              <w:rPr/>
              <w:t>4</w:t>
            </w:r>
          </w:p>
        </w:tc>
        <w:tc>
          <w:tcPr>
            <w:tcW w:type="dxa" w:w="5814"/>
          </w:tcPr>
          <w:p>
            <w:pPr>
              <w:pStyle w:val="null3"/>
            </w:pPr>
            <w:r>
              <w:rPr/>
              <w:t>二、服务要求 1.供应商每天不少于一次（含周六日）到采购人处收取标本，时间为8:30-17:00，遇到特殊标本或紧急标本可随时机动收取。检测报告需按照供应商投标承诺的检测项目出报告时间出具不超过30个自然日。运送条件：冷链特种车运送，车辆必须配备专用车载冰箱或保温箱，冰箱或保温箱必须有相应的温度记录表。</w:t>
            </w:r>
          </w:p>
        </w:tc>
      </w:tr>
      <w:tr>
        <w:tc>
          <w:tcPr>
            <w:tcW w:type="dxa" w:w="2076"/>
          </w:tcPr>
          <w:p/>
        </w:tc>
        <w:tc>
          <w:tcPr>
            <w:tcW w:type="dxa" w:w="415"/>
          </w:tcPr>
          <w:p>
            <w:pPr>
              <w:pStyle w:val="null3"/>
            </w:pPr>
            <w:r>
              <w:rPr/>
              <w:t>5</w:t>
            </w:r>
          </w:p>
        </w:tc>
        <w:tc>
          <w:tcPr>
            <w:tcW w:type="dxa" w:w="5814"/>
          </w:tcPr>
          <w:p>
            <w:pPr>
              <w:pStyle w:val="null3"/>
            </w:pPr>
            <w:r>
              <w:rPr/>
              <w:t>2.提供血液采集试管及特殊检查耗材(如普通试管等)提供标本采集指南并应明确规定标本的采集方法和处理要求。</w:t>
            </w:r>
          </w:p>
        </w:tc>
      </w:tr>
      <w:tr>
        <w:tc>
          <w:tcPr>
            <w:tcW w:type="dxa" w:w="2076"/>
          </w:tcPr>
          <w:p/>
        </w:tc>
        <w:tc>
          <w:tcPr>
            <w:tcW w:type="dxa" w:w="415"/>
          </w:tcPr>
          <w:p>
            <w:pPr>
              <w:pStyle w:val="null3"/>
            </w:pPr>
            <w:r>
              <w:rPr/>
              <w:t>6</w:t>
            </w:r>
          </w:p>
        </w:tc>
        <w:tc>
          <w:tcPr>
            <w:tcW w:type="dxa" w:w="5814"/>
          </w:tcPr>
          <w:p>
            <w:pPr>
              <w:pStyle w:val="null3"/>
            </w:pPr>
            <w:r>
              <w:rPr/>
              <w:t>3.为采购人提供检验单补单服务。</w:t>
            </w:r>
          </w:p>
        </w:tc>
      </w:tr>
      <w:tr>
        <w:tc>
          <w:tcPr>
            <w:tcW w:type="dxa" w:w="2076"/>
          </w:tcPr>
          <w:p/>
        </w:tc>
        <w:tc>
          <w:tcPr>
            <w:tcW w:type="dxa" w:w="415"/>
          </w:tcPr>
          <w:p>
            <w:pPr>
              <w:pStyle w:val="null3"/>
            </w:pPr>
            <w:r>
              <w:rPr/>
              <w:t>7</w:t>
            </w:r>
          </w:p>
        </w:tc>
        <w:tc>
          <w:tcPr>
            <w:tcW w:type="dxa" w:w="5814"/>
          </w:tcPr>
          <w:p>
            <w:pPr>
              <w:pStyle w:val="null3"/>
            </w:pPr>
            <w:r>
              <w:rPr/>
              <w:t>4.供应商需提供LIS接入服务，所有检测项目须与医院检验信息系统(LIS系统)实施对接，需符合国家信息安全有关的规定和要求，可以通过LIS 系统查询打印结果。与采购人做好系统对接及至终端报告单打印。供应商承担对接产生的费用。需做到检验报告在医院公众号能进行查询，并可以在医院自助机打印报告。</w:t>
            </w:r>
          </w:p>
        </w:tc>
      </w:tr>
      <w:tr>
        <w:tc>
          <w:tcPr>
            <w:tcW w:type="dxa" w:w="2076"/>
          </w:tcPr>
          <w:p/>
        </w:tc>
        <w:tc>
          <w:tcPr>
            <w:tcW w:type="dxa" w:w="415"/>
          </w:tcPr>
          <w:p>
            <w:pPr>
              <w:pStyle w:val="null3"/>
            </w:pPr>
            <w:r>
              <w:rPr/>
              <w:t>8</w:t>
            </w:r>
          </w:p>
        </w:tc>
        <w:tc>
          <w:tcPr>
            <w:tcW w:type="dxa" w:w="5814"/>
          </w:tcPr>
          <w:p>
            <w:pPr>
              <w:pStyle w:val="null3"/>
            </w:pPr>
            <w:r>
              <w:rPr/>
              <w:t>5.如因突发情况，供应商可提供临时外送标本服务。</w:t>
            </w:r>
          </w:p>
        </w:tc>
      </w:tr>
      <w:tr>
        <w:tc>
          <w:tcPr>
            <w:tcW w:type="dxa" w:w="2076"/>
          </w:tcPr>
          <w:p/>
        </w:tc>
        <w:tc>
          <w:tcPr>
            <w:tcW w:type="dxa" w:w="415"/>
          </w:tcPr>
          <w:p>
            <w:pPr>
              <w:pStyle w:val="null3"/>
            </w:pPr>
            <w:r>
              <w:rPr/>
              <w:t>9</w:t>
            </w:r>
          </w:p>
        </w:tc>
        <w:tc>
          <w:tcPr>
            <w:tcW w:type="dxa" w:w="5814"/>
          </w:tcPr>
          <w:p>
            <w:pPr>
              <w:pStyle w:val="null3"/>
            </w:pPr>
            <w:r>
              <w:rPr/>
              <w:t>6.具备在线结果查询功能。</w:t>
            </w:r>
          </w:p>
        </w:tc>
      </w:tr>
      <w:tr>
        <w:tc>
          <w:tcPr>
            <w:tcW w:type="dxa" w:w="2076"/>
          </w:tcPr>
          <w:p/>
        </w:tc>
        <w:tc>
          <w:tcPr>
            <w:tcW w:type="dxa" w:w="415"/>
          </w:tcPr>
          <w:p>
            <w:pPr>
              <w:pStyle w:val="null3"/>
            </w:pPr>
            <w:r>
              <w:rPr/>
              <w:t>10</w:t>
            </w:r>
          </w:p>
        </w:tc>
        <w:tc>
          <w:tcPr>
            <w:tcW w:type="dxa" w:w="5814"/>
          </w:tcPr>
          <w:p>
            <w:pPr>
              <w:pStyle w:val="null3"/>
            </w:pPr>
            <w:r>
              <w:rPr/>
              <w:t>7.可提供临床需求项目临床知识培训、标本采集要求培训。</w:t>
            </w:r>
          </w:p>
        </w:tc>
      </w:tr>
      <w:tr>
        <w:tc>
          <w:tcPr>
            <w:tcW w:type="dxa" w:w="2076"/>
          </w:tcPr>
          <w:p/>
        </w:tc>
        <w:tc>
          <w:tcPr>
            <w:tcW w:type="dxa" w:w="415"/>
          </w:tcPr>
          <w:p>
            <w:pPr>
              <w:pStyle w:val="null3"/>
            </w:pPr>
            <w:r>
              <w:rPr/>
              <w:t>11</w:t>
            </w:r>
          </w:p>
        </w:tc>
        <w:tc>
          <w:tcPr>
            <w:tcW w:type="dxa" w:w="5814"/>
          </w:tcPr>
          <w:p>
            <w:pPr>
              <w:pStyle w:val="null3"/>
            </w:pPr>
            <w:r>
              <w:rPr/>
              <w:t>8.在采购人科研项目有检测需求时，可提供优惠或便利服务，协助提供相关原始数据。</w:t>
            </w:r>
          </w:p>
        </w:tc>
      </w:tr>
      <w:tr>
        <w:tc>
          <w:tcPr>
            <w:tcW w:type="dxa" w:w="2076"/>
          </w:tcPr>
          <w:p/>
        </w:tc>
        <w:tc>
          <w:tcPr>
            <w:tcW w:type="dxa" w:w="415"/>
          </w:tcPr>
          <w:p>
            <w:pPr>
              <w:pStyle w:val="null3"/>
            </w:pPr>
            <w:r>
              <w:rPr/>
              <w:t>12</w:t>
            </w:r>
          </w:p>
        </w:tc>
        <w:tc>
          <w:tcPr>
            <w:tcW w:type="dxa" w:w="5814"/>
          </w:tcPr>
          <w:p>
            <w:pPr>
              <w:pStyle w:val="null3"/>
            </w:pPr>
            <w:r>
              <w:rPr/>
              <w:t>9.根据采购人的项目设定单项检查项目和组合检查项目。</w:t>
            </w:r>
          </w:p>
        </w:tc>
      </w:tr>
      <w:tr>
        <w:tc>
          <w:tcPr>
            <w:tcW w:type="dxa" w:w="2076"/>
          </w:tcPr>
          <w:p/>
        </w:tc>
        <w:tc>
          <w:tcPr>
            <w:tcW w:type="dxa" w:w="415"/>
          </w:tcPr>
          <w:p>
            <w:pPr>
              <w:pStyle w:val="null3"/>
            </w:pPr>
            <w:r>
              <w:rPr/>
              <w:t>13</w:t>
            </w:r>
          </w:p>
        </w:tc>
        <w:tc>
          <w:tcPr>
            <w:tcW w:type="dxa" w:w="5814"/>
          </w:tcPr>
          <w:p>
            <w:pPr>
              <w:pStyle w:val="null3"/>
            </w:pPr>
            <w:r>
              <w:rPr/>
              <w:t>10.供应商仅是获得服务资格，采购人不预计或保证供应商固定的检验任务量，检验任务量以实际委托检验数量为准。</w:t>
            </w:r>
          </w:p>
        </w:tc>
      </w:tr>
      <w:tr>
        <w:tc>
          <w:tcPr>
            <w:tcW w:type="dxa" w:w="2076"/>
          </w:tcPr>
          <w:p/>
        </w:tc>
        <w:tc>
          <w:tcPr>
            <w:tcW w:type="dxa" w:w="415"/>
          </w:tcPr>
          <w:p>
            <w:pPr>
              <w:pStyle w:val="null3"/>
            </w:pPr>
            <w:r>
              <w:rPr/>
              <w:t>14</w:t>
            </w:r>
          </w:p>
        </w:tc>
        <w:tc>
          <w:tcPr>
            <w:tcW w:type="dxa" w:w="5814"/>
          </w:tcPr>
          <w:p>
            <w:pPr>
              <w:pStyle w:val="null3"/>
            </w:pPr>
            <w:r>
              <w:rPr/>
              <w:t>11.在项目服务期间，如有上级政策规定由特定机构开展的项目，采购人有权根据上级规定执行，终止与供应商相关项目的合作，供应商应予以配合。</w:t>
            </w:r>
          </w:p>
        </w:tc>
      </w:tr>
      <w:tr>
        <w:tc>
          <w:tcPr>
            <w:tcW w:type="dxa" w:w="2076"/>
          </w:tcPr>
          <w:p/>
        </w:tc>
        <w:tc>
          <w:tcPr>
            <w:tcW w:type="dxa" w:w="415"/>
          </w:tcPr>
          <w:p>
            <w:pPr>
              <w:pStyle w:val="null3"/>
            </w:pPr>
            <w:r>
              <w:rPr/>
              <w:t>15</w:t>
            </w:r>
          </w:p>
        </w:tc>
        <w:tc>
          <w:tcPr>
            <w:tcW w:type="dxa" w:w="5814"/>
          </w:tcPr>
          <w:p>
            <w:pPr>
              <w:pStyle w:val="null3"/>
            </w:pPr>
            <w:r>
              <w:rPr/>
              <w:t>12.未经采购人同意，不得将采购人标本用于他用。</w:t>
            </w:r>
          </w:p>
        </w:tc>
      </w:tr>
      <w:tr>
        <w:tc>
          <w:tcPr>
            <w:tcW w:type="dxa" w:w="2076"/>
          </w:tcPr>
          <w:p/>
        </w:tc>
        <w:tc>
          <w:tcPr>
            <w:tcW w:type="dxa" w:w="415"/>
          </w:tcPr>
          <w:p>
            <w:pPr>
              <w:pStyle w:val="null3"/>
            </w:pPr>
            <w:r>
              <w:rPr/>
              <w:t>16</w:t>
            </w:r>
          </w:p>
        </w:tc>
        <w:tc>
          <w:tcPr>
            <w:tcW w:type="dxa" w:w="5814"/>
          </w:tcPr>
          <w:p>
            <w:pPr>
              <w:pStyle w:val="null3"/>
            </w:pPr>
            <w:r>
              <w:rPr/>
              <w:t>13.供应商根据采购人实际需求派驻人员到采购人工作，负责日常项目检测技术指导。</w:t>
            </w:r>
          </w:p>
        </w:tc>
      </w:tr>
      <w:tr>
        <w:tc>
          <w:tcPr>
            <w:tcW w:type="dxa" w:w="2076"/>
          </w:tcPr>
          <w:p/>
        </w:tc>
        <w:tc>
          <w:tcPr>
            <w:tcW w:type="dxa" w:w="415"/>
          </w:tcPr>
          <w:p>
            <w:pPr>
              <w:pStyle w:val="null3"/>
            </w:pPr>
            <w:r>
              <w:rPr/>
              <w:t>17</w:t>
            </w:r>
          </w:p>
        </w:tc>
        <w:tc>
          <w:tcPr>
            <w:tcW w:type="dxa" w:w="5814"/>
          </w:tcPr>
          <w:p>
            <w:pPr>
              <w:pStyle w:val="null3"/>
            </w:pPr>
            <w:r>
              <w:rPr/>
              <w:t>14.及实验室内务工作，接受采购人管理，遵守各项规章制度，并完成相关项目检测的工作及要求。</w:t>
            </w:r>
          </w:p>
        </w:tc>
      </w:tr>
      <w:tr>
        <w:tc>
          <w:tcPr>
            <w:tcW w:type="dxa" w:w="2076"/>
          </w:tcPr>
          <w:p/>
        </w:tc>
        <w:tc>
          <w:tcPr>
            <w:tcW w:type="dxa" w:w="415"/>
          </w:tcPr>
          <w:p>
            <w:pPr>
              <w:pStyle w:val="null3"/>
            </w:pPr>
            <w:r>
              <w:rPr/>
              <w:t>18</w:t>
            </w:r>
          </w:p>
        </w:tc>
        <w:tc>
          <w:tcPr>
            <w:tcW w:type="dxa" w:w="5814"/>
          </w:tcPr>
          <w:p>
            <w:pPr>
              <w:pStyle w:val="null3"/>
            </w:pPr>
            <w:r>
              <w:rPr/>
              <w:t>15.供应商开发区域性物流收样系统，具备物流跟踪功能，并承担开发所需的所有成本；</w:t>
            </w:r>
          </w:p>
        </w:tc>
      </w:tr>
      <w:tr>
        <w:tc>
          <w:tcPr>
            <w:tcW w:type="dxa" w:w="2076"/>
          </w:tcPr>
          <w:p/>
        </w:tc>
        <w:tc>
          <w:tcPr>
            <w:tcW w:type="dxa" w:w="415"/>
          </w:tcPr>
          <w:p>
            <w:pPr>
              <w:pStyle w:val="null3"/>
            </w:pPr>
            <w:r>
              <w:rPr/>
              <w:t>19</w:t>
            </w:r>
          </w:p>
        </w:tc>
        <w:tc>
          <w:tcPr>
            <w:tcW w:type="dxa" w:w="5814"/>
          </w:tcPr>
          <w:p>
            <w:pPr>
              <w:pStyle w:val="null3"/>
            </w:pPr>
            <w:r>
              <w:rPr/>
              <w:t>16.供应商系统须对接采购人系统，系统对接要求，提供多种报告格式，并且具系统必须具备样本追踪、危急值回传功能，所有成本由供应商承担。</w:t>
            </w:r>
          </w:p>
        </w:tc>
      </w:tr>
      <w:tr>
        <w:tc>
          <w:tcPr>
            <w:tcW w:type="dxa" w:w="2076"/>
          </w:tcPr>
          <w:p/>
        </w:tc>
        <w:tc>
          <w:tcPr>
            <w:tcW w:type="dxa" w:w="415"/>
          </w:tcPr>
          <w:p>
            <w:pPr>
              <w:pStyle w:val="null3"/>
            </w:pPr>
            <w:r>
              <w:rPr/>
              <w:t>20</w:t>
            </w:r>
          </w:p>
        </w:tc>
        <w:tc>
          <w:tcPr>
            <w:tcW w:type="dxa" w:w="5814"/>
          </w:tcPr>
          <w:p>
            <w:pPr>
              <w:pStyle w:val="null3"/>
            </w:pPr>
            <w:r>
              <w:rPr/>
              <w:t>17.投标供应商为医疗机构及医学检验所检验结果互认单位。</w:t>
            </w:r>
          </w:p>
        </w:tc>
      </w:tr>
      <w:tr>
        <w:tc>
          <w:tcPr>
            <w:tcW w:type="dxa" w:w="2076"/>
          </w:tcPr>
          <w:p/>
        </w:tc>
        <w:tc>
          <w:tcPr>
            <w:tcW w:type="dxa" w:w="415"/>
          </w:tcPr>
          <w:p>
            <w:pPr>
              <w:pStyle w:val="null3"/>
            </w:pPr>
            <w:r>
              <w:rPr/>
              <w:t>21</w:t>
            </w:r>
          </w:p>
        </w:tc>
        <w:tc>
          <w:tcPr>
            <w:tcW w:type="dxa" w:w="5814"/>
          </w:tcPr>
          <w:p>
            <w:pPr>
              <w:pStyle w:val="null3"/>
            </w:pPr>
            <w:r>
              <w:rPr/>
              <w:t>18.投标供应商需为采购单位提供区域内第三方医院样本接收、报告发放服务，周一至周六至少每天一次（重大节假日由采购单位决定收样时间安排）。</w:t>
            </w:r>
          </w:p>
        </w:tc>
      </w:tr>
      <w:tr>
        <w:tc>
          <w:tcPr>
            <w:tcW w:type="dxa" w:w="2076"/>
          </w:tcPr>
          <w:p/>
        </w:tc>
        <w:tc>
          <w:tcPr>
            <w:tcW w:type="dxa" w:w="415"/>
          </w:tcPr>
          <w:p>
            <w:pPr>
              <w:pStyle w:val="null3"/>
            </w:pPr>
            <w:r>
              <w:rPr/>
              <w:t>22</w:t>
            </w:r>
          </w:p>
        </w:tc>
        <w:tc>
          <w:tcPr>
            <w:tcW w:type="dxa" w:w="5814"/>
          </w:tcPr>
          <w:p>
            <w:pPr>
              <w:pStyle w:val="null3"/>
            </w:pPr>
            <w:r>
              <w:rPr/>
              <w:t>三、检验结果质量要求： 1.检验结果差错比≤1/10000。</w:t>
            </w:r>
          </w:p>
        </w:tc>
      </w:tr>
      <w:tr>
        <w:tc>
          <w:tcPr>
            <w:tcW w:type="dxa" w:w="2076"/>
          </w:tcPr>
          <w:p/>
        </w:tc>
        <w:tc>
          <w:tcPr>
            <w:tcW w:type="dxa" w:w="415"/>
          </w:tcPr>
          <w:p>
            <w:pPr>
              <w:pStyle w:val="null3"/>
            </w:pPr>
            <w:r>
              <w:rPr/>
              <w:t>23</w:t>
            </w:r>
          </w:p>
        </w:tc>
        <w:tc>
          <w:tcPr>
            <w:tcW w:type="dxa" w:w="5814"/>
          </w:tcPr>
          <w:p>
            <w:pPr>
              <w:pStyle w:val="null3"/>
            </w:pPr>
            <w:r>
              <w:rPr/>
              <w:t>2.检验结果与诊断报告相符程度 (不可前后矛盾)≥99%。</w:t>
            </w:r>
          </w:p>
        </w:tc>
      </w:tr>
      <w:tr>
        <w:tc>
          <w:tcPr>
            <w:tcW w:type="dxa" w:w="2076"/>
          </w:tcPr>
          <w:p/>
        </w:tc>
        <w:tc>
          <w:tcPr>
            <w:tcW w:type="dxa" w:w="415"/>
          </w:tcPr>
          <w:p>
            <w:pPr>
              <w:pStyle w:val="null3"/>
            </w:pPr>
            <w:r>
              <w:rPr/>
              <w:t>24</w:t>
            </w:r>
          </w:p>
        </w:tc>
        <w:tc>
          <w:tcPr>
            <w:tcW w:type="dxa" w:w="5814"/>
          </w:tcPr>
          <w:p>
            <w:pPr>
              <w:pStyle w:val="null3"/>
            </w:pPr>
            <w:r>
              <w:rPr/>
              <w:t>3.报告内容与报告结论吻合。</w:t>
            </w:r>
          </w:p>
        </w:tc>
      </w:tr>
      <w:tr>
        <w:tc>
          <w:tcPr>
            <w:tcW w:type="dxa" w:w="2076"/>
          </w:tcPr>
          <w:p/>
        </w:tc>
        <w:tc>
          <w:tcPr>
            <w:tcW w:type="dxa" w:w="415"/>
          </w:tcPr>
          <w:p>
            <w:pPr>
              <w:pStyle w:val="null3"/>
            </w:pPr>
            <w:r>
              <w:rPr/>
              <w:t>25</w:t>
            </w:r>
          </w:p>
        </w:tc>
        <w:tc>
          <w:tcPr>
            <w:tcW w:type="dxa" w:w="5814"/>
          </w:tcPr>
          <w:p>
            <w:pPr>
              <w:pStyle w:val="null3"/>
            </w:pPr>
            <w:r>
              <w:rPr/>
              <w:t>4.检验标本丢失、运送错误率:累计每季度≤1/10000。</w:t>
            </w:r>
          </w:p>
        </w:tc>
      </w:tr>
      <w:tr>
        <w:tc>
          <w:tcPr>
            <w:tcW w:type="dxa" w:w="2076"/>
          </w:tcPr>
          <w:p/>
        </w:tc>
        <w:tc>
          <w:tcPr>
            <w:tcW w:type="dxa" w:w="415"/>
          </w:tcPr>
          <w:p>
            <w:pPr>
              <w:pStyle w:val="null3"/>
            </w:pPr>
            <w:r>
              <w:rPr/>
              <w:t>26</w:t>
            </w:r>
          </w:p>
        </w:tc>
        <w:tc>
          <w:tcPr>
            <w:tcW w:type="dxa" w:w="5814"/>
          </w:tcPr>
          <w:p>
            <w:pPr>
              <w:pStyle w:val="null3"/>
            </w:pPr>
            <w:r>
              <w:rPr/>
              <w:t>5.报告的延误送达率：服务期限内≤1/10000。</w:t>
            </w:r>
          </w:p>
        </w:tc>
      </w:tr>
      <w:tr>
        <w:tc>
          <w:tcPr>
            <w:tcW w:type="dxa" w:w="2076"/>
          </w:tcPr>
          <w:p/>
        </w:tc>
        <w:tc>
          <w:tcPr>
            <w:tcW w:type="dxa" w:w="415"/>
          </w:tcPr>
          <w:p>
            <w:pPr>
              <w:pStyle w:val="null3"/>
            </w:pPr>
            <w:r>
              <w:rPr/>
              <w:t>27</w:t>
            </w:r>
          </w:p>
        </w:tc>
        <w:tc>
          <w:tcPr>
            <w:tcW w:type="dxa" w:w="5814"/>
          </w:tcPr>
          <w:p>
            <w:pPr>
              <w:pStyle w:val="null3"/>
            </w:pPr>
            <w:r>
              <w:rPr/>
              <w:t>6.检验项目必须与采购人开单项目吻合。</w:t>
            </w:r>
          </w:p>
        </w:tc>
      </w:tr>
      <w:tr>
        <w:tc>
          <w:tcPr>
            <w:tcW w:type="dxa" w:w="2076"/>
          </w:tcPr>
          <w:p/>
        </w:tc>
        <w:tc>
          <w:tcPr>
            <w:tcW w:type="dxa" w:w="415"/>
          </w:tcPr>
          <w:p>
            <w:pPr>
              <w:pStyle w:val="null3"/>
            </w:pPr>
            <w:r>
              <w:rPr/>
              <w:t>28</w:t>
            </w:r>
          </w:p>
        </w:tc>
        <w:tc>
          <w:tcPr>
            <w:tcW w:type="dxa" w:w="5814"/>
          </w:tcPr>
          <w:p>
            <w:pPr>
              <w:pStyle w:val="null3"/>
            </w:pPr>
            <w:r>
              <w:rPr/>
              <w:t>四、质量保证要求： 1.供应商需保证委托检验项目检测质量，具备委托检验项目的相应检测设备、技术人才，并有检验前、检验中、检验后质量保障措施。检验前质量保障措施包括标本采集要求培训，标本箱运送温度控制及安全性保障；检验中质量保障措施包括标准化的操作规范、室内质控、室间质控等；检验后质量保障措施包括异常结果处理流程、临床提出异议的检验报告处理流程等。</w:t>
            </w:r>
          </w:p>
        </w:tc>
      </w:tr>
      <w:tr>
        <w:tc>
          <w:tcPr>
            <w:tcW w:type="dxa" w:w="2076"/>
          </w:tcPr>
          <w:p/>
        </w:tc>
        <w:tc>
          <w:tcPr>
            <w:tcW w:type="dxa" w:w="415"/>
          </w:tcPr>
          <w:p>
            <w:pPr>
              <w:pStyle w:val="null3"/>
            </w:pPr>
            <w:r>
              <w:rPr/>
              <w:t>29</w:t>
            </w:r>
          </w:p>
        </w:tc>
        <w:tc>
          <w:tcPr>
            <w:tcW w:type="dxa" w:w="5814"/>
          </w:tcPr>
          <w:p>
            <w:pPr>
              <w:pStyle w:val="null3"/>
            </w:pPr>
            <w:r>
              <w:rPr/>
              <w:t>2.供应商的实验室具有完善的质量管理体系，每次检测都有严格的室内质控，每年参加卫生部、省临检中心的质量控制和室间质量评估工作，以控制诊断结果的质量；实验室通过检验相关认证，定期参与质量评审。因投标实验室质量因素导致的医疗纠纷、事故等不良后果的，由此产生的赔偿责任由供应商承担。</w:t>
            </w:r>
          </w:p>
        </w:tc>
      </w:tr>
      <w:tr>
        <w:tc>
          <w:tcPr>
            <w:tcW w:type="dxa" w:w="2076"/>
          </w:tcPr>
          <w:p/>
        </w:tc>
        <w:tc>
          <w:tcPr>
            <w:tcW w:type="dxa" w:w="415"/>
          </w:tcPr>
          <w:p>
            <w:pPr>
              <w:pStyle w:val="null3"/>
            </w:pPr>
            <w:r>
              <w:rPr/>
              <w:t>30</w:t>
            </w:r>
          </w:p>
        </w:tc>
        <w:tc>
          <w:tcPr>
            <w:tcW w:type="dxa" w:w="5814"/>
          </w:tcPr>
          <w:p>
            <w:pPr>
              <w:pStyle w:val="null3"/>
            </w:pPr>
            <w:r>
              <w:rPr/>
              <w:t>五、标本接收送检要求： 1.供应商标本物流接收须有冷链，物流时间节点在温控箱里面有记录，具有规范的标本接收、登记和包装流程 ，保证标本质量和安全，确保标本顺利交接，方便查核。</w:t>
            </w:r>
          </w:p>
        </w:tc>
      </w:tr>
      <w:tr>
        <w:tc>
          <w:tcPr>
            <w:tcW w:type="dxa" w:w="2076"/>
          </w:tcPr>
          <w:p/>
        </w:tc>
        <w:tc>
          <w:tcPr>
            <w:tcW w:type="dxa" w:w="415"/>
          </w:tcPr>
          <w:p>
            <w:pPr>
              <w:pStyle w:val="null3"/>
            </w:pPr>
            <w:r>
              <w:rPr/>
              <w:t>31</w:t>
            </w:r>
          </w:p>
        </w:tc>
        <w:tc>
          <w:tcPr>
            <w:tcW w:type="dxa" w:w="5814"/>
          </w:tcPr>
          <w:p>
            <w:pPr>
              <w:pStyle w:val="null3"/>
            </w:pPr>
            <w:r>
              <w:rPr/>
              <w:t>2.供应商标本接收人员要通过严格培训，负责标本质量的初检、标识的核对，标本的接收登记及包装储存。</w:t>
            </w:r>
          </w:p>
        </w:tc>
      </w:tr>
      <w:tr>
        <w:tc>
          <w:tcPr>
            <w:tcW w:type="dxa" w:w="2076"/>
          </w:tcPr>
          <w:p/>
        </w:tc>
        <w:tc>
          <w:tcPr>
            <w:tcW w:type="dxa" w:w="415"/>
          </w:tcPr>
          <w:p>
            <w:pPr>
              <w:pStyle w:val="null3"/>
            </w:pPr>
            <w:r>
              <w:rPr/>
              <w:t>32</w:t>
            </w:r>
          </w:p>
        </w:tc>
        <w:tc>
          <w:tcPr>
            <w:tcW w:type="dxa" w:w="5814"/>
          </w:tcPr>
          <w:p>
            <w:pPr>
              <w:pStyle w:val="null3"/>
            </w:pPr>
            <w:r>
              <w:rPr/>
              <w:t>3.供应商必须确保及时接收、送检标本和及时检验。标本不符合检验要求时，应及时通知采购人重新取样。</w:t>
            </w:r>
          </w:p>
        </w:tc>
      </w:tr>
      <w:tr>
        <w:tc>
          <w:tcPr>
            <w:tcW w:type="dxa" w:w="2076"/>
          </w:tcPr>
          <w:p/>
        </w:tc>
        <w:tc>
          <w:tcPr>
            <w:tcW w:type="dxa" w:w="415"/>
          </w:tcPr>
          <w:p>
            <w:pPr>
              <w:pStyle w:val="null3"/>
            </w:pPr>
            <w:r>
              <w:rPr/>
              <w:t>33</w:t>
            </w:r>
          </w:p>
        </w:tc>
        <w:tc>
          <w:tcPr>
            <w:tcW w:type="dxa" w:w="5814"/>
          </w:tcPr>
          <w:p>
            <w:pPr>
              <w:pStyle w:val="null3"/>
            </w:pPr>
            <w:r>
              <w:rPr/>
              <w:t>4.标本在送检过程中出现延迟、遗漏、丢失等情况，供应商应有完善的应急预案予以妥善解决，否则供应商应承担相应责任。</w:t>
            </w:r>
          </w:p>
        </w:tc>
      </w:tr>
      <w:tr>
        <w:tc>
          <w:tcPr>
            <w:tcW w:type="dxa" w:w="2076"/>
          </w:tcPr>
          <w:p/>
        </w:tc>
        <w:tc>
          <w:tcPr>
            <w:tcW w:type="dxa" w:w="415"/>
          </w:tcPr>
          <w:p>
            <w:pPr>
              <w:pStyle w:val="null3"/>
            </w:pPr>
            <w:r>
              <w:rPr/>
              <w:t>34</w:t>
            </w:r>
          </w:p>
        </w:tc>
        <w:tc>
          <w:tcPr>
            <w:tcW w:type="dxa" w:w="5814"/>
          </w:tcPr>
          <w:p>
            <w:pPr>
              <w:pStyle w:val="null3"/>
            </w:pPr>
            <w:r>
              <w:rPr/>
              <w:t>5.部分特殊检查项目需要的采样器、知情同意书、专用的患者资料登记中请单等由供应商提供。</w:t>
            </w:r>
          </w:p>
        </w:tc>
      </w:tr>
      <w:tr>
        <w:tc>
          <w:tcPr>
            <w:tcW w:type="dxa" w:w="2076"/>
          </w:tcPr>
          <w:p/>
        </w:tc>
        <w:tc>
          <w:tcPr>
            <w:tcW w:type="dxa" w:w="415"/>
          </w:tcPr>
          <w:p>
            <w:pPr>
              <w:pStyle w:val="null3"/>
            </w:pPr>
            <w:r>
              <w:rPr/>
              <w:t>35</w:t>
            </w:r>
          </w:p>
        </w:tc>
        <w:tc>
          <w:tcPr>
            <w:tcW w:type="dxa" w:w="5814"/>
          </w:tcPr>
          <w:p>
            <w:pPr>
              <w:pStyle w:val="null3"/>
            </w:pPr>
            <w:r>
              <w:rPr/>
              <w:t>六、检验报告签发要求： 检验报告必须由具备相应资质的检验人员签发，上级检验师或医师复核。出现因检验结果错误导致采购人医疗纠纷等不良后果，责任由供应商承担。</w:t>
            </w:r>
          </w:p>
        </w:tc>
      </w:tr>
      <w:tr>
        <w:tc>
          <w:tcPr>
            <w:tcW w:type="dxa" w:w="2076"/>
          </w:tcPr>
          <w:p/>
        </w:tc>
        <w:tc>
          <w:tcPr>
            <w:tcW w:type="dxa" w:w="415"/>
          </w:tcPr>
          <w:p>
            <w:pPr>
              <w:pStyle w:val="null3"/>
            </w:pPr>
            <w:r>
              <w:rPr/>
              <w:t>36</w:t>
            </w:r>
          </w:p>
        </w:tc>
        <w:tc>
          <w:tcPr>
            <w:tcW w:type="dxa" w:w="5814"/>
          </w:tcPr>
          <w:p>
            <w:pPr>
              <w:pStyle w:val="null3"/>
            </w:pPr>
            <w:r>
              <w:rPr/>
              <w:t>七、结果查询及咨询服务要求： 1.供应商需提供服务电话、网络查询等多种渠道供业务咨询、报告查询、账单查询统计功能。</w:t>
            </w:r>
          </w:p>
        </w:tc>
      </w:tr>
      <w:tr>
        <w:tc>
          <w:tcPr>
            <w:tcW w:type="dxa" w:w="2076"/>
          </w:tcPr>
          <w:p/>
        </w:tc>
        <w:tc>
          <w:tcPr>
            <w:tcW w:type="dxa" w:w="415"/>
          </w:tcPr>
          <w:p>
            <w:pPr>
              <w:pStyle w:val="null3"/>
            </w:pPr>
            <w:r>
              <w:rPr/>
              <w:t>37</w:t>
            </w:r>
          </w:p>
        </w:tc>
        <w:tc>
          <w:tcPr>
            <w:tcW w:type="dxa" w:w="5814"/>
          </w:tcPr>
          <w:p>
            <w:pPr>
              <w:pStyle w:val="null3"/>
            </w:pPr>
            <w:r>
              <w:rPr/>
              <w:t>2.所有检测项目须与采购人检验信息系统（LIS系统）实施对接，需符合国家信息安全 有关的规定和要求，可以通过LIS系统查询打印结果。对接产生的费用由供应商承担。</w:t>
            </w:r>
          </w:p>
        </w:tc>
      </w:tr>
      <w:tr>
        <w:tc>
          <w:tcPr>
            <w:tcW w:type="dxa" w:w="2076"/>
          </w:tcPr>
          <w:p/>
        </w:tc>
        <w:tc>
          <w:tcPr>
            <w:tcW w:type="dxa" w:w="415"/>
          </w:tcPr>
          <w:p>
            <w:pPr>
              <w:pStyle w:val="null3"/>
            </w:pPr>
            <w:r>
              <w:rPr/>
              <w:t>38</w:t>
            </w:r>
          </w:p>
        </w:tc>
        <w:tc>
          <w:tcPr>
            <w:tcW w:type="dxa" w:w="5814"/>
          </w:tcPr>
          <w:p>
            <w:pPr>
              <w:pStyle w:val="null3"/>
            </w:pPr>
            <w:r>
              <w:rPr/>
              <w:t>3.提供网上查询服务，以供随时查询进度和结果。</w:t>
            </w:r>
          </w:p>
        </w:tc>
      </w:tr>
      <w:tr>
        <w:tc>
          <w:tcPr>
            <w:tcW w:type="dxa" w:w="2076"/>
          </w:tcPr>
          <w:p/>
        </w:tc>
        <w:tc>
          <w:tcPr>
            <w:tcW w:type="dxa" w:w="415"/>
          </w:tcPr>
          <w:p>
            <w:pPr>
              <w:pStyle w:val="null3"/>
            </w:pPr>
            <w:r>
              <w:rPr/>
              <w:t>39</w:t>
            </w:r>
          </w:p>
        </w:tc>
        <w:tc>
          <w:tcPr>
            <w:tcW w:type="dxa" w:w="5814"/>
          </w:tcPr>
          <w:p>
            <w:pPr>
              <w:pStyle w:val="null3"/>
            </w:pPr>
            <w:r>
              <w:rPr/>
              <w:t>4.提供电话查询服务，危急检验项目有专人电话跟进，确保患者检测信息与临床医生传达的畅通。</w:t>
            </w:r>
          </w:p>
        </w:tc>
      </w:tr>
      <w:tr>
        <w:tc>
          <w:tcPr>
            <w:tcW w:type="dxa" w:w="2076"/>
          </w:tcPr>
          <w:p/>
        </w:tc>
        <w:tc>
          <w:tcPr>
            <w:tcW w:type="dxa" w:w="415"/>
          </w:tcPr>
          <w:p>
            <w:pPr>
              <w:pStyle w:val="null3"/>
            </w:pPr>
            <w:r>
              <w:rPr/>
              <w:t>40</w:t>
            </w:r>
          </w:p>
        </w:tc>
        <w:tc>
          <w:tcPr>
            <w:tcW w:type="dxa" w:w="5814"/>
          </w:tcPr>
          <w:p>
            <w:pPr>
              <w:pStyle w:val="null3"/>
            </w:pPr>
            <w:r>
              <w:rPr/>
              <w:t>5.按照供应商承诺的检测报告时间及时提供检测结果，并能满足采购人急诊项目的优先检测。</w:t>
            </w:r>
          </w:p>
        </w:tc>
      </w:tr>
      <w:tr>
        <w:tc>
          <w:tcPr>
            <w:tcW w:type="dxa" w:w="2076"/>
          </w:tcPr>
          <w:p/>
        </w:tc>
        <w:tc>
          <w:tcPr>
            <w:tcW w:type="dxa" w:w="415"/>
          </w:tcPr>
          <w:p>
            <w:pPr>
              <w:pStyle w:val="null3"/>
            </w:pPr>
            <w:r>
              <w:rPr/>
              <w:t>41</w:t>
            </w:r>
          </w:p>
        </w:tc>
        <w:tc>
          <w:tcPr>
            <w:tcW w:type="dxa" w:w="5814"/>
          </w:tcPr>
          <w:p>
            <w:pPr>
              <w:pStyle w:val="null3"/>
            </w:pPr>
            <w:r>
              <w:rPr/>
              <w:t>八、合作检测建设平台要求 主要为：无创项目、流式项目、病原学诊断核酸高通量测序项目等平台合作技术建设项目。 （一）合作检测平台项目要求： 1.派驻人员：流式细胞平台至少1名符合资质的检验技术人员，无创测序平台不少于4名符合资质的检验技术人员（检验技术资格证、PCR上岗证）和2名客服人员，病原学诊断核酸高通量测序平台至少1名符合资质检验技术人员。</w:t>
            </w:r>
          </w:p>
        </w:tc>
      </w:tr>
      <w:tr>
        <w:tc>
          <w:tcPr>
            <w:tcW w:type="dxa" w:w="2076"/>
          </w:tcPr>
          <w:p/>
        </w:tc>
        <w:tc>
          <w:tcPr>
            <w:tcW w:type="dxa" w:w="415"/>
          </w:tcPr>
          <w:p>
            <w:pPr>
              <w:pStyle w:val="null3"/>
            </w:pPr>
            <w:r>
              <w:rPr/>
              <w:t>42</w:t>
            </w:r>
          </w:p>
        </w:tc>
        <w:tc>
          <w:tcPr>
            <w:tcW w:type="dxa" w:w="5814"/>
          </w:tcPr>
          <w:p>
            <w:pPr>
              <w:pStyle w:val="null3"/>
            </w:pPr>
            <w:r>
              <w:rPr/>
              <w:t>2.设备要求：根据采购人平台建设需要，配置相关设备，其中病原学诊断核酸高通量测序平台至少配置B2生物安全柜1台、消毒机1台、高压灭菌炉1台、DNA提取仪、PCR仪、测序仪等所需设备。</w:t>
            </w:r>
          </w:p>
        </w:tc>
      </w:tr>
      <w:tr>
        <w:tc>
          <w:tcPr>
            <w:tcW w:type="dxa" w:w="2076"/>
          </w:tcPr>
          <w:p/>
        </w:tc>
        <w:tc>
          <w:tcPr>
            <w:tcW w:type="dxa" w:w="415"/>
          </w:tcPr>
          <w:p>
            <w:pPr>
              <w:pStyle w:val="null3"/>
            </w:pPr>
            <w:r>
              <w:rPr/>
              <w:t>43</w:t>
            </w:r>
          </w:p>
        </w:tc>
        <w:tc>
          <w:tcPr>
            <w:tcW w:type="dxa" w:w="5814"/>
          </w:tcPr>
          <w:p>
            <w:pPr>
              <w:pStyle w:val="null3"/>
            </w:pPr>
            <w:r>
              <w:rPr/>
              <w:t>3.无创测序平台与病原学诊断核酸高通量测序平台相关检测项目均采用经国家药品监督管理局批准的高通量测序仪进行高通量测序并结合生物信息分析方法进行检测，保证结果准确可靠。（投标时投标人需提供相关证明材料。或投标人提供承诺函，承诺如中标须在签订合同前满足本项目需求</w:t>
            </w:r>
          </w:p>
        </w:tc>
      </w:tr>
      <w:tr>
        <w:tc>
          <w:tcPr>
            <w:tcW w:type="dxa" w:w="2076"/>
          </w:tcPr>
          <w:p/>
        </w:tc>
        <w:tc>
          <w:tcPr>
            <w:tcW w:type="dxa" w:w="415"/>
          </w:tcPr>
          <w:p>
            <w:pPr>
              <w:pStyle w:val="null3"/>
            </w:pPr>
            <w:r>
              <w:rPr/>
              <w:t>44</w:t>
            </w:r>
          </w:p>
        </w:tc>
        <w:tc>
          <w:tcPr>
            <w:tcW w:type="dxa" w:w="5814"/>
          </w:tcPr>
          <w:p>
            <w:pPr>
              <w:pStyle w:val="null3"/>
            </w:pPr>
            <w:r>
              <w:rPr/>
              <w:t>4.供应商承担各平台日常检测运行的所有试剂耗材、设备维护维修、设备计量校准检测等所有费用。</w:t>
            </w:r>
          </w:p>
        </w:tc>
      </w:tr>
      <w:tr>
        <w:tc>
          <w:tcPr>
            <w:tcW w:type="dxa" w:w="2076"/>
          </w:tcPr>
          <w:p/>
        </w:tc>
        <w:tc>
          <w:tcPr>
            <w:tcW w:type="dxa" w:w="415"/>
          </w:tcPr>
          <w:p>
            <w:pPr>
              <w:pStyle w:val="null3"/>
            </w:pPr>
            <w:r>
              <w:rPr/>
              <w:t>45</w:t>
            </w:r>
          </w:p>
        </w:tc>
        <w:tc>
          <w:tcPr>
            <w:tcW w:type="dxa" w:w="5814"/>
          </w:tcPr>
          <w:p>
            <w:pPr>
              <w:pStyle w:val="null3"/>
            </w:pPr>
            <w:r>
              <w:rPr/>
              <w:t>5.无创测序平台NIPT相关检测为每一例检测涉及的受检者及胎儿提供医疗保险，供应商承担由检测带来的法律风险。承担保密义务，不得向送检方以外的任何单位或个人泄露医疗信息。</w:t>
            </w:r>
          </w:p>
        </w:tc>
      </w:tr>
      <w:tr>
        <w:tc>
          <w:tcPr>
            <w:tcW w:type="dxa" w:w="2076"/>
          </w:tcPr>
          <w:p/>
        </w:tc>
        <w:tc>
          <w:tcPr>
            <w:tcW w:type="dxa" w:w="415"/>
          </w:tcPr>
          <w:p>
            <w:pPr>
              <w:pStyle w:val="null3"/>
            </w:pPr>
            <w:r>
              <w:rPr/>
              <w:t>46</w:t>
            </w:r>
          </w:p>
        </w:tc>
        <w:tc>
          <w:tcPr>
            <w:tcW w:type="dxa" w:w="5814"/>
          </w:tcPr>
          <w:p>
            <w:pPr>
              <w:pStyle w:val="null3"/>
            </w:pPr>
            <w:r>
              <w:rPr/>
              <w:t>6.无创测序平台NIPT购买保险的保额不能低于40万元。（投标时投标人需提供相关证明材料。或投标人提供承诺函，承诺如中标须在签订合同前满足本项目需求）</w:t>
            </w:r>
          </w:p>
        </w:tc>
      </w:tr>
      <w:tr>
        <w:tc>
          <w:tcPr>
            <w:tcW w:type="dxa" w:w="2076"/>
          </w:tcPr>
          <w:p/>
        </w:tc>
        <w:tc>
          <w:tcPr>
            <w:tcW w:type="dxa" w:w="415"/>
          </w:tcPr>
          <w:p>
            <w:pPr>
              <w:pStyle w:val="null3"/>
            </w:pPr>
            <w:r>
              <w:rPr/>
              <w:t>47</w:t>
            </w:r>
          </w:p>
        </w:tc>
        <w:tc>
          <w:tcPr>
            <w:tcW w:type="dxa" w:w="5814"/>
          </w:tcPr>
          <w:p>
            <w:pPr>
              <w:pStyle w:val="null3"/>
            </w:pPr>
            <w:r>
              <w:rPr/>
              <w:t>7.供应商承担检测申请单、知情同意书、保险合同、样本收取、样本采集的全部耗材、报告发放及由此产生的费用。提供标本采集指南并应明确规定标本的采集方法和处理要求。</w:t>
            </w:r>
          </w:p>
        </w:tc>
      </w:tr>
      <w:tr>
        <w:tc>
          <w:tcPr>
            <w:tcW w:type="dxa" w:w="2076"/>
          </w:tcPr>
          <w:p/>
        </w:tc>
        <w:tc>
          <w:tcPr>
            <w:tcW w:type="dxa" w:w="415"/>
          </w:tcPr>
          <w:p>
            <w:pPr>
              <w:pStyle w:val="null3"/>
            </w:pPr>
            <w:r>
              <w:rPr/>
              <w:t>48</w:t>
            </w:r>
          </w:p>
        </w:tc>
        <w:tc>
          <w:tcPr>
            <w:tcW w:type="dxa" w:w="5814"/>
          </w:tcPr>
          <w:p>
            <w:pPr>
              <w:pStyle w:val="null3"/>
            </w:pPr>
            <w:r>
              <w:rPr/>
              <w:t>8供应商配备完善医疗物流系统，保证标本接收、送检运输过程的安全与规范，在医院检验科进行标本交接。</w:t>
            </w:r>
          </w:p>
        </w:tc>
      </w:tr>
      <w:tr>
        <w:tc>
          <w:tcPr>
            <w:tcW w:type="dxa" w:w="2076"/>
          </w:tcPr>
          <w:p/>
        </w:tc>
        <w:tc>
          <w:tcPr>
            <w:tcW w:type="dxa" w:w="415"/>
          </w:tcPr>
          <w:p>
            <w:pPr>
              <w:pStyle w:val="null3"/>
            </w:pPr>
            <w:r>
              <w:rPr/>
              <w:t>49</w:t>
            </w:r>
          </w:p>
        </w:tc>
        <w:tc>
          <w:tcPr>
            <w:tcW w:type="dxa" w:w="5814"/>
          </w:tcPr>
          <w:p>
            <w:pPr>
              <w:pStyle w:val="null3"/>
            </w:pPr>
            <w:r>
              <w:rPr/>
              <w:t>9.合作项目结算价格包含标本采集耗材、样本收取、检测、报告发放、保险、相关病人投诉处理费用。</w:t>
            </w:r>
          </w:p>
        </w:tc>
      </w:tr>
      <w:tr>
        <w:tc>
          <w:tcPr>
            <w:tcW w:type="dxa" w:w="2076"/>
          </w:tcPr>
          <w:p/>
        </w:tc>
        <w:tc>
          <w:tcPr>
            <w:tcW w:type="dxa" w:w="415"/>
          </w:tcPr>
          <w:p>
            <w:pPr>
              <w:pStyle w:val="null3"/>
            </w:pPr>
            <w:r>
              <w:rPr/>
              <w:t>50</w:t>
            </w:r>
          </w:p>
        </w:tc>
        <w:tc>
          <w:tcPr>
            <w:tcW w:type="dxa" w:w="5814"/>
          </w:tcPr>
          <w:p>
            <w:pPr>
              <w:pStyle w:val="null3"/>
            </w:pPr>
            <w:r>
              <w:rPr/>
              <w:t>10.发报告要求： （1）无创测序平台相关项目接收标本后10天内发出报告，报告应为具备产前诊断资质的医疗机构并由其具备产前诊断资质的医生签名后发出的临床报告，对有异议的结果在规定的检测周期内复检；</w:t>
            </w:r>
          </w:p>
        </w:tc>
      </w:tr>
      <w:tr>
        <w:tc>
          <w:tcPr>
            <w:tcW w:type="dxa" w:w="2076"/>
          </w:tcPr>
          <w:p/>
        </w:tc>
        <w:tc>
          <w:tcPr>
            <w:tcW w:type="dxa" w:w="415"/>
          </w:tcPr>
          <w:p>
            <w:pPr>
              <w:pStyle w:val="null3"/>
            </w:pPr>
            <w:r>
              <w:rPr/>
              <w:t>51</w:t>
            </w:r>
          </w:p>
        </w:tc>
        <w:tc>
          <w:tcPr>
            <w:tcW w:type="dxa" w:w="5814"/>
          </w:tcPr>
          <w:p>
            <w:pPr>
              <w:pStyle w:val="null3"/>
            </w:pPr>
            <w:r>
              <w:rPr/>
              <w:t>（2）病原学诊断核酸高通量测序平台相关检测项目接收标本后48h内发出报告，对有异议的结果在规定的检测周期内复检；</w:t>
            </w:r>
          </w:p>
        </w:tc>
      </w:tr>
      <w:tr>
        <w:tc>
          <w:tcPr>
            <w:tcW w:type="dxa" w:w="2076"/>
          </w:tcPr>
          <w:p/>
        </w:tc>
        <w:tc>
          <w:tcPr>
            <w:tcW w:type="dxa" w:w="415"/>
          </w:tcPr>
          <w:p>
            <w:pPr>
              <w:pStyle w:val="null3"/>
            </w:pPr>
            <w:r>
              <w:rPr/>
              <w:t>52</w:t>
            </w:r>
          </w:p>
        </w:tc>
        <w:tc>
          <w:tcPr>
            <w:tcW w:type="dxa" w:w="5814"/>
          </w:tcPr>
          <w:p>
            <w:pPr>
              <w:pStyle w:val="null3"/>
            </w:pPr>
            <w:r>
              <w:rPr/>
              <w:t>（3）流式细胞平台相关检测项目在接收标本后2天内发出报告，对有异议的结果在规定的检测周期2天内复检；</w:t>
            </w:r>
          </w:p>
        </w:tc>
      </w:tr>
      <w:tr>
        <w:tc>
          <w:tcPr>
            <w:tcW w:type="dxa" w:w="2076"/>
          </w:tcPr>
          <w:p/>
        </w:tc>
        <w:tc>
          <w:tcPr>
            <w:tcW w:type="dxa" w:w="415"/>
          </w:tcPr>
          <w:p>
            <w:pPr>
              <w:pStyle w:val="null3"/>
            </w:pPr>
            <w:r>
              <w:rPr/>
              <w:t>53</w:t>
            </w:r>
          </w:p>
        </w:tc>
        <w:tc>
          <w:tcPr>
            <w:tcW w:type="dxa" w:w="5814"/>
          </w:tcPr>
          <w:p>
            <w:pPr>
              <w:pStyle w:val="null3"/>
            </w:pPr>
            <w:r>
              <w:rPr/>
              <w:t>（二）合作检测平台项目对供应商实验室的一般要求； 1.供应商实验室符合国家卫健委《医疗机构临床实验室管理办法》等法律法规要求。</w:t>
            </w:r>
          </w:p>
        </w:tc>
      </w:tr>
      <w:tr>
        <w:tc>
          <w:tcPr>
            <w:tcW w:type="dxa" w:w="2076"/>
          </w:tcPr>
          <w:p/>
        </w:tc>
        <w:tc>
          <w:tcPr>
            <w:tcW w:type="dxa" w:w="415"/>
          </w:tcPr>
          <w:p>
            <w:pPr>
              <w:pStyle w:val="null3"/>
            </w:pPr>
            <w:r>
              <w:rPr/>
              <w:t>54</w:t>
            </w:r>
          </w:p>
        </w:tc>
        <w:tc>
          <w:tcPr>
            <w:tcW w:type="dxa" w:w="5814"/>
          </w:tcPr>
          <w:p>
            <w:pPr>
              <w:pStyle w:val="null3"/>
            </w:pPr>
            <w:r>
              <w:rPr/>
              <w:t>2.供应商通过中国合格评定国家认可委员会(CNAS)ISO 15189认可并加盖公章。</w:t>
            </w:r>
          </w:p>
        </w:tc>
      </w:tr>
      <w:tr>
        <w:tc>
          <w:tcPr>
            <w:tcW w:type="dxa" w:w="2076"/>
          </w:tcPr>
          <w:p/>
        </w:tc>
        <w:tc>
          <w:tcPr>
            <w:tcW w:type="dxa" w:w="415"/>
          </w:tcPr>
          <w:p>
            <w:pPr>
              <w:pStyle w:val="null3"/>
            </w:pPr>
            <w:r>
              <w:rPr/>
              <w:t>55</w:t>
            </w:r>
          </w:p>
        </w:tc>
        <w:tc>
          <w:tcPr>
            <w:tcW w:type="dxa" w:w="5814"/>
          </w:tcPr>
          <w:p>
            <w:pPr>
              <w:pStyle w:val="null3"/>
            </w:pPr>
            <w:r>
              <w:rPr/>
              <w:t>3.供应商检测后的剩余标本（如有），由供应商依法处置，供应商按照国家法律法规及相关行业规定的保存期限保存剩余标本，未经采购人及其患者知情同意不得用于标的项目检测外的任何用途，包括但不限于科学研究。检测样本、检测数据的所有权、使用权为采购人所有，未经许可不得挪作它用。</w:t>
            </w:r>
          </w:p>
        </w:tc>
      </w:tr>
      <w:tr>
        <w:tc>
          <w:tcPr>
            <w:tcW w:type="dxa" w:w="2076"/>
          </w:tcPr>
          <w:p/>
        </w:tc>
        <w:tc>
          <w:tcPr>
            <w:tcW w:type="dxa" w:w="415"/>
          </w:tcPr>
          <w:p>
            <w:pPr>
              <w:pStyle w:val="null3"/>
            </w:pPr>
            <w:r>
              <w:rPr/>
              <w:t>56</w:t>
            </w:r>
          </w:p>
        </w:tc>
        <w:tc>
          <w:tcPr>
            <w:tcW w:type="dxa" w:w="5814"/>
          </w:tcPr>
          <w:p>
            <w:pPr>
              <w:pStyle w:val="null3"/>
            </w:pPr>
            <w:r>
              <w:rPr/>
              <w:t>4.供应商建立快速的客户服务反应机制，如有针对供应商或采购人与供应商双方的投诉或需处理的情况，供应商须派代表在半日内到达医院及时沟通处理；若主要针对采购人的投诉或需处理的情况，供应商有义务协助采购人及时沟通处理。</w:t>
            </w:r>
          </w:p>
        </w:tc>
      </w:tr>
      <w:tr>
        <w:tc>
          <w:tcPr>
            <w:tcW w:type="dxa" w:w="2076"/>
          </w:tcPr>
          <w:p/>
        </w:tc>
        <w:tc>
          <w:tcPr>
            <w:tcW w:type="dxa" w:w="415"/>
          </w:tcPr>
          <w:p>
            <w:pPr>
              <w:pStyle w:val="null3"/>
            </w:pPr>
            <w:r>
              <w:rPr/>
              <w:t>57</w:t>
            </w:r>
          </w:p>
        </w:tc>
        <w:tc>
          <w:tcPr>
            <w:tcW w:type="dxa" w:w="5814"/>
          </w:tcPr>
          <w:p>
            <w:pPr>
              <w:pStyle w:val="null3"/>
            </w:pPr>
            <w:r>
              <w:rPr/>
              <w:t>5.供应商如使用采购人提供的受检者标本发表科研成果，需经采购人同意，且采购人有署名权，署名排序按照文章发表时各方的贡献另行协商确定。</w:t>
            </w:r>
          </w:p>
        </w:tc>
      </w:tr>
      <w:tr>
        <w:tc>
          <w:tcPr>
            <w:tcW w:type="dxa" w:w="2076"/>
          </w:tcPr>
          <w:p/>
        </w:tc>
        <w:tc>
          <w:tcPr>
            <w:tcW w:type="dxa" w:w="415"/>
          </w:tcPr>
          <w:p>
            <w:pPr>
              <w:pStyle w:val="null3"/>
            </w:pPr>
            <w:r>
              <w:rPr/>
              <w:t>58</w:t>
            </w:r>
          </w:p>
        </w:tc>
        <w:tc>
          <w:tcPr>
            <w:tcW w:type="dxa" w:w="5814"/>
          </w:tcPr>
          <w:p>
            <w:pPr>
              <w:pStyle w:val="null3"/>
            </w:pPr>
            <w:r>
              <w:rPr/>
              <w:t>6.供应商应向采购人提供检验项目检测结果的原始数据数字化文件（包括但不限于二代测序的*.fastq格式、Q-PCR的原始数据、凝胶电泳图等）。</w:t>
            </w:r>
          </w:p>
        </w:tc>
      </w:tr>
      <w:tr>
        <w:tc>
          <w:tcPr>
            <w:tcW w:type="dxa" w:w="2076"/>
          </w:tcPr>
          <w:p/>
        </w:tc>
        <w:tc>
          <w:tcPr>
            <w:tcW w:type="dxa" w:w="415"/>
          </w:tcPr>
          <w:p>
            <w:pPr>
              <w:pStyle w:val="null3"/>
            </w:pPr>
            <w:r>
              <w:rPr/>
              <w:t>59</w:t>
            </w:r>
          </w:p>
        </w:tc>
        <w:tc>
          <w:tcPr>
            <w:tcW w:type="dxa" w:w="5814"/>
          </w:tcPr>
          <w:p>
            <w:pPr>
              <w:pStyle w:val="null3"/>
            </w:pPr>
            <w:r>
              <w:rPr/>
              <w:t>7.供应商应向采购人提供原始数据数字化的分析方法说明，并向采购人技术人员作必要的解释。</w:t>
            </w:r>
          </w:p>
        </w:tc>
      </w:tr>
      <w:tr>
        <w:tc>
          <w:tcPr>
            <w:tcW w:type="dxa" w:w="2076"/>
          </w:tcPr>
          <w:p/>
        </w:tc>
        <w:tc>
          <w:tcPr>
            <w:tcW w:type="dxa" w:w="415"/>
          </w:tcPr>
          <w:p>
            <w:pPr>
              <w:pStyle w:val="null3"/>
            </w:pPr>
            <w:r>
              <w:rPr/>
              <w:t>60</w:t>
            </w:r>
          </w:p>
        </w:tc>
        <w:tc>
          <w:tcPr>
            <w:tcW w:type="dxa" w:w="5814"/>
          </w:tcPr>
          <w:p>
            <w:pPr>
              <w:pStyle w:val="null3"/>
            </w:pPr>
            <w:r>
              <w:rPr/>
              <w:t>8.供应商向采购人提供除检测结果外的技术报告、提供所用试剂的厂家、货号或自配剂型的相关说明。</w:t>
            </w:r>
          </w:p>
        </w:tc>
      </w:tr>
      <w:tr>
        <w:tc>
          <w:tcPr>
            <w:tcW w:type="dxa" w:w="2076"/>
          </w:tcPr>
          <w:p/>
        </w:tc>
        <w:tc>
          <w:tcPr>
            <w:tcW w:type="dxa" w:w="415"/>
          </w:tcPr>
          <w:p>
            <w:pPr>
              <w:pStyle w:val="null3"/>
            </w:pPr>
            <w:r>
              <w:rPr/>
              <w:t>61</w:t>
            </w:r>
          </w:p>
        </w:tc>
        <w:tc>
          <w:tcPr>
            <w:tcW w:type="dxa" w:w="5814"/>
          </w:tcPr>
          <w:p>
            <w:pPr>
              <w:pStyle w:val="null3"/>
            </w:pPr>
            <w:r>
              <w:rPr/>
              <w:t>9.供应商需提供测序平台（感染病原方向）所需相关检测设备，协助采购人实现院内开展相关检测项目。</w:t>
            </w:r>
          </w:p>
        </w:tc>
      </w:tr>
      <w:tr>
        <w:tc>
          <w:tcPr>
            <w:tcW w:type="dxa" w:w="2076"/>
          </w:tcPr>
          <w:p/>
        </w:tc>
        <w:tc>
          <w:tcPr>
            <w:tcW w:type="dxa" w:w="415"/>
          </w:tcPr>
          <w:p>
            <w:pPr>
              <w:pStyle w:val="null3"/>
            </w:pPr>
            <w:r>
              <w:rPr/>
              <w:t>62</w:t>
            </w:r>
          </w:p>
        </w:tc>
        <w:tc>
          <w:tcPr>
            <w:tcW w:type="dxa" w:w="5814"/>
          </w:tcPr>
          <w:p>
            <w:pPr>
              <w:pStyle w:val="null3"/>
            </w:pPr>
            <w:r>
              <w:rPr/>
              <w:t>10.供应商实验室应具备流式、测序等技术平台，拥有相应检测技术能力，以保障采购人检验检测结果比对、平台升级、科研等需要。</w:t>
            </w:r>
          </w:p>
        </w:tc>
      </w:tr>
      <w:tr>
        <w:tc>
          <w:tcPr>
            <w:tcW w:type="dxa" w:w="2076"/>
          </w:tcPr>
          <w:p/>
        </w:tc>
        <w:tc>
          <w:tcPr>
            <w:tcW w:type="dxa" w:w="415"/>
          </w:tcPr>
          <w:p>
            <w:pPr>
              <w:pStyle w:val="null3"/>
            </w:pPr>
            <w:r>
              <w:rPr/>
              <w:t>63</w:t>
            </w:r>
          </w:p>
        </w:tc>
        <w:tc>
          <w:tcPr>
            <w:tcW w:type="dxa" w:w="5814"/>
          </w:tcPr>
          <w:p>
            <w:pPr>
              <w:pStyle w:val="null3"/>
            </w:pPr>
            <w:r>
              <w:rPr/>
              <w:t>11.供应商实验室须拥有完善的分子诊断技术平台，包括定性PCR、定量PCR、核型分析、荧光原位杂交、二代测序等相关技术平台。</w:t>
            </w:r>
          </w:p>
        </w:tc>
      </w:tr>
      <w:tr>
        <w:tc>
          <w:tcPr>
            <w:tcW w:type="dxa" w:w="2076"/>
          </w:tcPr>
          <w:p/>
        </w:tc>
        <w:tc>
          <w:tcPr>
            <w:tcW w:type="dxa" w:w="415"/>
          </w:tcPr>
          <w:p>
            <w:pPr>
              <w:pStyle w:val="null3"/>
            </w:pPr>
            <w:r>
              <w:rPr/>
              <w:t>64</w:t>
            </w:r>
          </w:p>
        </w:tc>
        <w:tc>
          <w:tcPr>
            <w:tcW w:type="dxa" w:w="5814"/>
          </w:tcPr>
          <w:p>
            <w:pPr>
              <w:pStyle w:val="null3"/>
            </w:pPr>
            <w:r>
              <w:rPr/>
              <w:t>（三）合作检测平台项目对服务合作方实验室的自身质量要求； 1.参加国家卫健委室间临床检验质量评价项目，PT成绩合格达95%以上。</w:t>
            </w:r>
          </w:p>
        </w:tc>
      </w:tr>
      <w:tr>
        <w:tc>
          <w:tcPr>
            <w:tcW w:type="dxa" w:w="2076"/>
          </w:tcPr>
          <w:p/>
        </w:tc>
        <w:tc>
          <w:tcPr>
            <w:tcW w:type="dxa" w:w="415"/>
          </w:tcPr>
          <w:p>
            <w:pPr>
              <w:pStyle w:val="null3"/>
            </w:pPr>
            <w:r>
              <w:rPr/>
              <w:t>65</w:t>
            </w:r>
          </w:p>
        </w:tc>
        <w:tc>
          <w:tcPr>
            <w:tcW w:type="dxa" w:w="5814"/>
          </w:tcPr>
          <w:p>
            <w:pPr>
              <w:pStyle w:val="null3"/>
            </w:pPr>
            <w:r>
              <w:rPr/>
              <w:t>2.检验结果的报告时限符合率≥90%。</w:t>
            </w:r>
          </w:p>
        </w:tc>
      </w:tr>
      <w:tr>
        <w:tc>
          <w:tcPr>
            <w:tcW w:type="dxa" w:w="2076"/>
          </w:tcPr>
          <w:p/>
        </w:tc>
        <w:tc>
          <w:tcPr>
            <w:tcW w:type="dxa" w:w="415"/>
          </w:tcPr>
          <w:p>
            <w:pPr>
              <w:pStyle w:val="null3"/>
            </w:pPr>
            <w:r>
              <w:rPr/>
              <w:t>66</w:t>
            </w:r>
          </w:p>
        </w:tc>
        <w:tc>
          <w:tcPr>
            <w:tcW w:type="dxa" w:w="5814"/>
          </w:tcPr>
          <w:p>
            <w:pPr>
              <w:pStyle w:val="null3"/>
            </w:pPr>
            <w:r>
              <w:rPr/>
              <w:t>3.检验报告合格率100%。</w:t>
            </w:r>
          </w:p>
        </w:tc>
      </w:tr>
      <w:tr>
        <w:tc>
          <w:tcPr>
            <w:tcW w:type="dxa" w:w="2076"/>
          </w:tcPr>
          <w:p/>
        </w:tc>
        <w:tc>
          <w:tcPr>
            <w:tcW w:type="dxa" w:w="415"/>
          </w:tcPr>
          <w:p>
            <w:pPr>
              <w:pStyle w:val="null3"/>
            </w:pPr>
            <w:r>
              <w:rPr/>
              <w:t>67</w:t>
            </w:r>
          </w:p>
        </w:tc>
        <w:tc>
          <w:tcPr>
            <w:tcW w:type="dxa" w:w="5814"/>
          </w:tcPr>
          <w:p>
            <w:pPr>
              <w:pStyle w:val="null3"/>
            </w:pPr>
            <w:r>
              <w:rPr/>
              <w:t>4.服务对象满意率≥95%。</w:t>
            </w:r>
          </w:p>
        </w:tc>
      </w:tr>
      <w:tr>
        <w:tc>
          <w:tcPr>
            <w:tcW w:type="dxa" w:w="2076"/>
          </w:tcPr>
          <w:p/>
        </w:tc>
        <w:tc>
          <w:tcPr>
            <w:tcW w:type="dxa" w:w="415"/>
          </w:tcPr>
          <w:p>
            <w:pPr>
              <w:pStyle w:val="null3"/>
            </w:pPr>
            <w:r>
              <w:rPr/>
              <w:t>68</w:t>
            </w:r>
          </w:p>
        </w:tc>
        <w:tc>
          <w:tcPr>
            <w:tcW w:type="dxa" w:w="5814"/>
          </w:tcPr>
          <w:p>
            <w:pPr>
              <w:pStyle w:val="null3"/>
            </w:pPr>
            <w:r>
              <w:rPr/>
              <w:t>5.供应商对采购人送检的合格样本结果进行负责，对于按照供应商取材要求进行取材的合格样本，若因供应商原因导致检测结果存在质量问题，由供应商承担相关责任。</w:t>
            </w:r>
          </w:p>
        </w:tc>
      </w:tr>
      <w:tr>
        <w:tc>
          <w:tcPr>
            <w:tcW w:type="dxa" w:w="2076"/>
          </w:tcPr>
          <w:p/>
        </w:tc>
        <w:tc>
          <w:tcPr>
            <w:tcW w:type="dxa" w:w="415"/>
          </w:tcPr>
          <w:p>
            <w:pPr>
              <w:pStyle w:val="null3"/>
            </w:pPr>
            <w:r>
              <w:rPr/>
              <w:t>69</w:t>
            </w:r>
          </w:p>
        </w:tc>
        <w:tc>
          <w:tcPr>
            <w:tcW w:type="dxa" w:w="5814"/>
          </w:tcPr>
          <w:p>
            <w:pPr>
              <w:pStyle w:val="null3"/>
            </w:pPr>
            <w:r>
              <w:rPr/>
              <w:t>6.供应商按日或检测批次对采购人委托项目进行室内质控，按季度提供室内质量控制报表，其内容包括质控检测数据、控制标准、质控分析、失控报告。</w:t>
            </w:r>
          </w:p>
        </w:tc>
      </w:tr>
      <w:tr>
        <w:tc>
          <w:tcPr>
            <w:tcW w:type="dxa" w:w="2076"/>
          </w:tcPr>
          <w:p/>
        </w:tc>
        <w:tc>
          <w:tcPr>
            <w:tcW w:type="dxa" w:w="415"/>
          </w:tcPr>
          <w:p>
            <w:pPr>
              <w:pStyle w:val="null3"/>
            </w:pPr>
            <w:r>
              <w:rPr/>
              <w:t>70</w:t>
            </w:r>
          </w:p>
        </w:tc>
        <w:tc>
          <w:tcPr>
            <w:tcW w:type="dxa" w:w="5814"/>
          </w:tcPr>
          <w:p>
            <w:pPr>
              <w:pStyle w:val="null3"/>
            </w:pPr>
            <w:r>
              <w:rPr/>
              <w:t>7.供应商参加国家卫健委室间质评，每半年提供委托项目的能力验证活动报告，没有能力验证的检验项目应提供与委托方认可的实验室结果一致性的证据。</w:t>
            </w:r>
          </w:p>
        </w:tc>
      </w:tr>
      <w:tr>
        <w:tc>
          <w:tcPr>
            <w:tcW w:type="dxa" w:w="2076"/>
          </w:tcPr>
          <w:p/>
        </w:tc>
        <w:tc>
          <w:tcPr>
            <w:tcW w:type="dxa" w:w="415"/>
          </w:tcPr>
          <w:p>
            <w:pPr>
              <w:pStyle w:val="null3"/>
            </w:pPr>
            <w:r>
              <w:rPr/>
              <w:t>71</w:t>
            </w:r>
          </w:p>
        </w:tc>
        <w:tc>
          <w:tcPr>
            <w:tcW w:type="dxa" w:w="5814"/>
          </w:tcPr>
          <w:p>
            <w:pPr>
              <w:pStyle w:val="null3"/>
            </w:pPr>
            <w:r>
              <w:rPr/>
              <w:t>8.按采购人要求，随时提供质量和技术资料，如更换试剂批号、仪器维修后、检验系统更换后的质控记录和性能验证报告。</w:t>
            </w:r>
          </w:p>
        </w:tc>
      </w:tr>
      <w:tr>
        <w:tc>
          <w:tcPr>
            <w:tcW w:type="dxa" w:w="2076"/>
          </w:tcPr>
          <w:p/>
        </w:tc>
        <w:tc>
          <w:tcPr>
            <w:tcW w:type="dxa" w:w="415"/>
          </w:tcPr>
          <w:p>
            <w:pPr>
              <w:pStyle w:val="null3"/>
            </w:pPr>
            <w:r>
              <w:rPr/>
              <w:t>72</w:t>
            </w:r>
          </w:p>
        </w:tc>
        <w:tc>
          <w:tcPr>
            <w:tcW w:type="dxa" w:w="5814"/>
          </w:tcPr>
          <w:p>
            <w:pPr>
              <w:pStyle w:val="null3"/>
            </w:pPr>
            <w:r>
              <w:rPr/>
              <w:t>9.供应商有专人负责采购人业务及质量、技术、培训等工作。</w:t>
            </w:r>
          </w:p>
        </w:tc>
      </w:tr>
      <w:tr>
        <w:tc>
          <w:tcPr>
            <w:tcW w:type="dxa" w:w="2076"/>
          </w:tcPr>
          <w:p/>
        </w:tc>
        <w:tc>
          <w:tcPr>
            <w:tcW w:type="dxa" w:w="415"/>
          </w:tcPr>
          <w:p>
            <w:pPr>
              <w:pStyle w:val="null3"/>
            </w:pPr>
            <w:r>
              <w:rPr/>
              <w:t>73</w:t>
            </w:r>
          </w:p>
        </w:tc>
        <w:tc>
          <w:tcPr>
            <w:tcW w:type="dxa" w:w="5814"/>
          </w:tcPr>
          <w:p>
            <w:pPr>
              <w:pStyle w:val="null3"/>
            </w:pPr>
            <w:r>
              <w:rPr/>
              <w:t>10.供应商随时接受并妥善安排采购人查阅项目检测、质量控制等情况。</w:t>
            </w:r>
          </w:p>
        </w:tc>
      </w:tr>
      <w:tr>
        <w:tc>
          <w:tcPr>
            <w:tcW w:type="dxa" w:w="2076"/>
          </w:tcPr>
          <w:p/>
        </w:tc>
        <w:tc>
          <w:tcPr>
            <w:tcW w:type="dxa" w:w="415"/>
          </w:tcPr>
          <w:p>
            <w:pPr>
              <w:pStyle w:val="null3"/>
            </w:pPr>
            <w:r>
              <w:rPr/>
              <w:t>74</w:t>
            </w:r>
          </w:p>
        </w:tc>
        <w:tc>
          <w:tcPr>
            <w:tcW w:type="dxa" w:w="5814"/>
          </w:tcPr>
          <w:p>
            <w:pPr>
              <w:pStyle w:val="null3"/>
            </w:pPr>
            <w:r>
              <w:rPr/>
              <w:t>11.若采购人患者对供应商出具的检测结果存有异议，因患者有充足的证据证明供应商所提供的检测结果有误导致采购人赔偿的，经法定的医疗争议解决途径确认采购人损失后，供应商对采购人予以赔偿；或者供应商无法协助采购人证明所出具结果准确性，如无法提供留存的标本委托法定的第三方检验、检测机构再次检验等，导致通过法定的医疗争议解决途径，采购人需要向检测患者或近亲属承担赔付责任的，供应商需要全数承担院方的经济损失。</w:t>
            </w:r>
          </w:p>
        </w:tc>
      </w:tr>
      <w:tr>
        <w:tc>
          <w:tcPr>
            <w:tcW w:type="dxa" w:w="2076"/>
          </w:tcPr>
          <w:p/>
        </w:tc>
        <w:tc>
          <w:tcPr>
            <w:tcW w:type="dxa" w:w="415"/>
          </w:tcPr>
          <w:p>
            <w:pPr>
              <w:pStyle w:val="null3"/>
            </w:pPr>
            <w:r>
              <w:rPr/>
              <w:t>75</w:t>
            </w:r>
          </w:p>
        </w:tc>
        <w:tc>
          <w:tcPr>
            <w:tcW w:type="dxa" w:w="5814"/>
          </w:tcPr>
          <w:p>
            <w:pPr>
              <w:pStyle w:val="null3"/>
            </w:pPr>
            <w:r>
              <w:rPr/>
              <w:t>12.样本运输要求直立、冷藏、封闭，符合《GBT28577-2012 冷链物流分类与基本要求》与生物安全要求，确保运输过程的样品质量和环境安全。</w:t>
            </w:r>
          </w:p>
        </w:tc>
      </w:tr>
      <w:tr>
        <w:tc>
          <w:tcPr>
            <w:tcW w:type="dxa" w:w="2076"/>
          </w:tcPr>
          <w:p/>
        </w:tc>
        <w:tc>
          <w:tcPr>
            <w:tcW w:type="dxa" w:w="415"/>
          </w:tcPr>
          <w:p>
            <w:pPr>
              <w:pStyle w:val="null3"/>
            </w:pPr>
            <w:r>
              <w:rPr/>
              <w:t>76</w:t>
            </w:r>
          </w:p>
        </w:tc>
        <w:tc>
          <w:tcPr>
            <w:tcW w:type="dxa" w:w="5814"/>
          </w:tcPr>
          <w:p>
            <w:pPr>
              <w:pStyle w:val="null3"/>
            </w:pPr>
            <w:r>
              <w:rPr/>
              <w:t>13.供应商接收后不合格样本率≤1/1000。</w:t>
            </w:r>
          </w:p>
        </w:tc>
      </w:tr>
      <w:tr>
        <w:tc>
          <w:tcPr>
            <w:tcW w:type="dxa" w:w="2076"/>
          </w:tcPr>
          <w:p/>
        </w:tc>
        <w:tc>
          <w:tcPr>
            <w:tcW w:type="dxa" w:w="415"/>
          </w:tcPr>
          <w:p>
            <w:pPr>
              <w:pStyle w:val="null3"/>
            </w:pPr>
            <w:r>
              <w:rPr/>
              <w:t>77</w:t>
            </w:r>
          </w:p>
        </w:tc>
        <w:tc>
          <w:tcPr>
            <w:tcW w:type="dxa" w:w="5814"/>
          </w:tcPr>
          <w:p>
            <w:pPr>
              <w:pStyle w:val="null3"/>
            </w:pPr>
            <w:r>
              <w:rPr/>
              <w:t>14.报告延误率≤1/1000。</w:t>
            </w:r>
          </w:p>
        </w:tc>
      </w:tr>
      <w:tr>
        <w:tc>
          <w:tcPr>
            <w:tcW w:type="dxa" w:w="2076"/>
          </w:tcPr>
          <w:p/>
        </w:tc>
        <w:tc>
          <w:tcPr>
            <w:tcW w:type="dxa" w:w="415"/>
          </w:tcPr>
          <w:p>
            <w:pPr>
              <w:pStyle w:val="null3"/>
            </w:pPr>
            <w:r>
              <w:rPr/>
              <w:t>78</w:t>
            </w:r>
          </w:p>
        </w:tc>
        <w:tc>
          <w:tcPr>
            <w:tcW w:type="dxa" w:w="5814"/>
          </w:tcPr>
          <w:p>
            <w:pPr>
              <w:pStyle w:val="null3"/>
            </w:pPr>
            <w:r>
              <w:rPr/>
              <w:t>合作技术平台检测服务内容概况：</w:t>
            </w:r>
          </w:p>
          <w:tbl>
            <w:tblPr>
              <w:tblInd w:type="dxa" w:w="165"/>
              <w:tblBorders>
                <w:top w:val="none" w:color="000000" w:sz="4"/>
                <w:left w:val="none" w:color="000000" w:sz="4"/>
                <w:bottom w:val="none" w:color="000000" w:sz="4"/>
                <w:right w:val="none" w:color="000000" w:sz="4"/>
                <w:insideH w:val="none"/>
                <w:insideV w:val="none"/>
              </w:tblBorders>
            </w:tblPr>
            <w:tblGrid>
              <w:gridCol w:w="929"/>
              <w:gridCol w:w="2051"/>
              <w:gridCol w:w="2618"/>
            </w:tblGrid>
            <w:tr>
              <w:tc>
                <w:tcPr>
                  <w:tcW w:type="dxa" w:w="929"/>
                  <w:tcBorders>
                    <w:top w:val="singl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序号</w:t>
                  </w:r>
                </w:p>
              </w:tc>
              <w:tc>
                <w:tcPr>
                  <w:tcW w:type="dxa" w:w="2051"/>
                  <w:tcBorders>
                    <w:top w:val="singl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检测技术平台</w:t>
                  </w:r>
                </w:p>
              </w:tc>
              <w:tc>
                <w:tcPr>
                  <w:tcW w:type="dxa" w:w="2618"/>
                  <w:tcBorders>
                    <w:top w:val="singl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检测内容</w:t>
                  </w:r>
                </w:p>
              </w:tc>
            </w:tr>
            <w:tr>
              <w:tc>
                <w:tcPr>
                  <w:tcW w:type="dxa" w:w="929"/>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1</w:t>
                  </w:r>
                </w:p>
              </w:tc>
              <w:tc>
                <w:tcPr>
                  <w:tcW w:type="dxa" w:w="2051"/>
                  <w:vMerge w:val="restart"/>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测序平台（优生遗传方向）</w:t>
                  </w:r>
                </w:p>
              </w:tc>
              <w:tc>
                <w:tcPr>
                  <w:tcW w:type="dxa" w:w="261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胎儿染色体非整倍体无创产前基因检测</w:t>
                  </w:r>
                  <w:r>
                    <w:rPr>
                      <w:sz w:val="21"/>
                    </w:rPr>
                    <w:t>（</w:t>
                  </w:r>
                  <w:r>
                    <w:rPr>
                      <w:sz w:val="21"/>
                    </w:rPr>
                    <w:t>NIPT</w:t>
                  </w:r>
                  <w:r>
                    <w:rPr>
                      <w:sz w:val="21"/>
                    </w:rPr>
                    <w:t>）</w:t>
                  </w:r>
                </w:p>
              </w:tc>
            </w:tr>
            <w:tr>
              <w:tc>
                <w:tcPr>
                  <w:tcW w:type="dxa" w:w="929"/>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2</w:t>
                  </w:r>
                </w:p>
              </w:tc>
              <w:tc>
                <w:tcPr>
                  <w:tcW w:type="dxa" w:w="2051"/>
                  <w:vMerge/>
                  <w:tcBorders>
                    <w:top w:val="none" w:color="000000" w:sz="4"/>
                    <w:left w:val="none" w:color="000000" w:sz="4"/>
                    <w:bottom w:val="single" w:color="000000" w:sz="4"/>
                    <w:right w:val="single" w:color="000000" w:sz="4"/>
                  </w:tcBorders>
                </w:tcPr>
                <w:p/>
              </w:tc>
              <w:tc>
                <w:tcPr>
                  <w:tcW w:type="dxa" w:w="261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胎儿染色体无创产前</w:t>
                  </w:r>
                  <w:r>
                    <w:rPr>
                      <w:sz w:val="21"/>
                    </w:rPr>
                    <w:t>DNA检测plus</w:t>
                  </w:r>
                  <w:r>
                    <w:rPr>
                      <w:sz w:val="21"/>
                    </w:rPr>
                    <w:t>（</w:t>
                  </w:r>
                  <w:r>
                    <w:rPr>
                      <w:sz w:val="21"/>
                    </w:rPr>
                    <w:t>NIPT-Plus</w:t>
                  </w:r>
                  <w:r>
                    <w:rPr>
                      <w:sz w:val="21"/>
                    </w:rPr>
                    <w:t>）</w:t>
                  </w:r>
                </w:p>
              </w:tc>
            </w:tr>
            <w:tr>
              <w:tc>
                <w:tcPr>
                  <w:tcW w:type="dxa" w:w="929"/>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3</w:t>
                  </w:r>
                </w:p>
              </w:tc>
              <w:tc>
                <w:tcPr>
                  <w:tcW w:type="dxa" w:w="2051"/>
                  <w:vMerge/>
                  <w:tcBorders>
                    <w:top w:val="none" w:color="000000" w:sz="4"/>
                    <w:left w:val="none" w:color="000000" w:sz="4"/>
                    <w:bottom w:val="single" w:color="000000" w:sz="4"/>
                    <w:right w:val="single" w:color="000000" w:sz="4"/>
                  </w:tcBorders>
                </w:tcPr>
                <w:p/>
              </w:tc>
              <w:tc>
                <w:tcPr>
                  <w:tcW w:type="dxa" w:w="261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低深度全基因组测序</w:t>
                  </w:r>
                  <w:r>
                    <w:rPr>
                      <w:sz w:val="21"/>
                    </w:rPr>
                    <w:t>（</w:t>
                  </w:r>
                  <w:r>
                    <w:rPr>
                      <w:sz w:val="21"/>
                    </w:rPr>
                    <w:t>CNV-seq</w:t>
                  </w:r>
                  <w:r>
                    <w:rPr>
                      <w:sz w:val="21"/>
                    </w:rPr>
                    <w:t>）</w:t>
                  </w:r>
                </w:p>
              </w:tc>
            </w:tr>
            <w:tr>
              <w:tc>
                <w:tcPr>
                  <w:tcW w:type="dxa" w:w="929"/>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4</w:t>
                  </w:r>
                </w:p>
              </w:tc>
              <w:tc>
                <w:tcPr>
                  <w:tcW w:type="dxa" w:w="2051"/>
                  <w:vMerge/>
                  <w:tcBorders>
                    <w:top w:val="none" w:color="000000" w:sz="4"/>
                    <w:left w:val="none" w:color="000000" w:sz="4"/>
                    <w:bottom w:val="single" w:color="000000" w:sz="4"/>
                    <w:right w:val="single" w:color="000000" w:sz="4"/>
                  </w:tcBorders>
                </w:tcPr>
                <w:p/>
              </w:tc>
              <w:tc>
                <w:tcPr>
                  <w:tcW w:type="dxa" w:w="261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低深度全基因组测序</w:t>
                  </w:r>
                  <w:r>
                    <w:rPr>
                      <w:sz w:val="21"/>
                    </w:rPr>
                    <w:t>-连锁分析（</w:t>
                  </w:r>
                  <w:r>
                    <w:rPr>
                      <w:sz w:val="21"/>
                    </w:rPr>
                    <w:t>CNV-STR</w:t>
                  </w:r>
                  <w:r>
                    <w:rPr>
                      <w:sz w:val="21"/>
                    </w:rPr>
                    <w:t>）</w:t>
                  </w:r>
                </w:p>
              </w:tc>
            </w:tr>
            <w:tr>
              <w:tc>
                <w:tcPr>
                  <w:tcW w:type="dxa" w:w="929"/>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5</w:t>
                  </w:r>
                </w:p>
              </w:tc>
              <w:tc>
                <w:tcPr>
                  <w:tcW w:type="dxa" w:w="2051"/>
                  <w:vMerge/>
                  <w:tcBorders>
                    <w:top w:val="none" w:color="000000" w:sz="4"/>
                    <w:left w:val="none" w:color="000000" w:sz="4"/>
                    <w:bottom w:val="single" w:color="000000" w:sz="4"/>
                    <w:right w:val="single" w:color="000000" w:sz="4"/>
                  </w:tcBorders>
                </w:tcPr>
                <w:p/>
              </w:tc>
              <w:tc>
                <w:tcPr>
                  <w:tcW w:type="dxa" w:w="261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基于测序平台</w:t>
                  </w:r>
                </w:p>
                <w:p>
                  <w:pPr>
                    <w:pStyle w:val="null3"/>
                    <w:jc w:val="center"/>
                  </w:pPr>
                  <w:r>
                    <w:rPr>
                      <w:sz w:val="21"/>
                    </w:rPr>
                    <w:t>的其它优生遗传拓展项目</w:t>
                  </w:r>
                </w:p>
              </w:tc>
            </w:tr>
            <w:tr>
              <w:tc>
                <w:tcPr>
                  <w:tcW w:type="dxa" w:w="929"/>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6</w:t>
                  </w:r>
                </w:p>
              </w:tc>
              <w:tc>
                <w:tcPr>
                  <w:tcW w:type="dxa" w:w="2051"/>
                  <w:vMerge w:val="restart"/>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测序平台（感染病原方向）</w:t>
                  </w:r>
                </w:p>
              </w:tc>
              <w:tc>
                <w:tcPr>
                  <w:tcW w:type="dxa" w:w="261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呼吸道多种病原体靶向测序</w:t>
                  </w:r>
                </w:p>
              </w:tc>
            </w:tr>
            <w:tr>
              <w:tc>
                <w:tcPr>
                  <w:tcW w:type="dxa" w:w="929"/>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7</w:t>
                  </w:r>
                </w:p>
              </w:tc>
              <w:tc>
                <w:tcPr>
                  <w:tcW w:type="dxa" w:w="2051"/>
                  <w:vMerge/>
                  <w:tcBorders>
                    <w:top w:val="none" w:color="000000" w:sz="4"/>
                    <w:left w:val="none" w:color="000000" w:sz="4"/>
                    <w:bottom w:val="single" w:color="000000" w:sz="4"/>
                    <w:right w:val="single" w:color="000000" w:sz="4"/>
                  </w:tcBorders>
                </w:tcPr>
                <w:p/>
              </w:tc>
              <w:tc>
                <w:tcPr>
                  <w:tcW w:type="dxa" w:w="261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生殖道多种病原体靶向测序</w:t>
                  </w:r>
                </w:p>
              </w:tc>
            </w:tr>
            <w:tr>
              <w:tc>
                <w:tcPr>
                  <w:tcW w:type="dxa" w:w="929"/>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8</w:t>
                  </w:r>
                </w:p>
              </w:tc>
              <w:tc>
                <w:tcPr>
                  <w:tcW w:type="dxa" w:w="2051"/>
                  <w:vMerge/>
                  <w:tcBorders>
                    <w:top w:val="none" w:color="000000" w:sz="4"/>
                    <w:left w:val="none" w:color="000000" w:sz="4"/>
                    <w:bottom w:val="single" w:color="000000" w:sz="4"/>
                    <w:right w:val="single" w:color="000000" w:sz="4"/>
                  </w:tcBorders>
                </w:tcPr>
                <w:p/>
              </w:tc>
              <w:tc>
                <w:tcPr>
                  <w:tcW w:type="dxa" w:w="261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病原微生物高通量测序（捕获法）</w:t>
                  </w:r>
                </w:p>
              </w:tc>
            </w:tr>
            <w:tr>
              <w:tc>
                <w:tcPr>
                  <w:tcW w:type="dxa" w:w="929"/>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9</w:t>
                  </w:r>
                </w:p>
              </w:tc>
              <w:tc>
                <w:tcPr>
                  <w:tcW w:type="dxa" w:w="2051"/>
                  <w:vMerge/>
                  <w:tcBorders>
                    <w:top w:val="none" w:color="000000" w:sz="4"/>
                    <w:left w:val="none" w:color="000000" w:sz="4"/>
                    <w:bottom w:val="single" w:color="000000" w:sz="4"/>
                    <w:right w:val="single" w:color="000000" w:sz="4"/>
                  </w:tcBorders>
                </w:tcPr>
                <w:p/>
              </w:tc>
              <w:tc>
                <w:tcPr>
                  <w:tcW w:type="dxa" w:w="261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基于测序平台</w:t>
                  </w:r>
                </w:p>
                <w:p>
                  <w:pPr>
                    <w:pStyle w:val="null3"/>
                    <w:jc w:val="center"/>
                  </w:pPr>
                  <w:r>
                    <w:rPr>
                      <w:sz w:val="21"/>
                    </w:rPr>
                    <w:t>的其它感染病原拓展项目</w:t>
                  </w:r>
                </w:p>
              </w:tc>
            </w:tr>
            <w:tr>
              <w:tc>
                <w:tcPr>
                  <w:tcW w:type="dxa" w:w="929"/>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10</w:t>
                  </w:r>
                </w:p>
              </w:tc>
              <w:tc>
                <w:tcPr>
                  <w:tcW w:type="dxa" w:w="2051"/>
                  <w:vMerge w:val="restart"/>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流式细胞平台</w:t>
                  </w:r>
                </w:p>
              </w:tc>
              <w:tc>
                <w:tcPr>
                  <w:tcW w:type="dxa" w:w="261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外周血</w:t>
                  </w:r>
                  <w:r>
                    <w:rPr>
                      <w:sz w:val="21"/>
                    </w:rPr>
                    <w:t>NK细胞 (CD3-CD16+或CD56+)</w:t>
                  </w:r>
                </w:p>
              </w:tc>
            </w:tr>
            <w:tr>
              <w:tc>
                <w:tcPr>
                  <w:tcW w:type="dxa" w:w="929"/>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11</w:t>
                  </w:r>
                </w:p>
              </w:tc>
              <w:tc>
                <w:tcPr>
                  <w:tcW w:type="dxa" w:w="2051"/>
                  <w:vMerge/>
                  <w:tcBorders>
                    <w:top w:val="none" w:color="000000" w:sz="4"/>
                    <w:left w:val="none" w:color="000000" w:sz="4"/>
                    <w:bottom w:val="single" w:color="000000" w:sz="4"/>
                    <w:right w:val="single" w:color="000000" w:sz="4"/>
                  </w:tcBorders>
                </w:tcPr>
                <w:p/>
              </w:tc>
              <w:tc>
                <w:tcPr>
                  <w:tcW w:type="dxa" w:w="261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外周血</w:t>
                  </w:r>
                  <w:r>
                    <w:rPr>
                      <w:sz w:val="21"/>
                    </w:rPr>
                    <w:t>NK细胞、B细胞绝对计数</w:t>
                  </w:r>
                </w:p>
              </w:tc>
            </w:tr>
            <w:tr>
              <w:tc>
                <w:tcPr>
                  <w:tcW w:type="dxa" w:w="929"/>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12</w:t>
                  </w:r>
                </w:p>
              </w:tc>
              <w:tc>
                <w:tcPr>
                  <w:tcW w:type="dxa" w:w="2051"/>
                  <w:vMerge/>
                  <w:tcBorders>
                    <w:top w:val="none" w:color="000000" w:sz="4"/>
                    <w:left w:val="none" w:color="000000" w:sz="4"/>
                    <w:bottom w:val="single" w:color="000000" w:sz="4"/>
                    <w:right w:val="single" w:color="000000" w:sz="4"/>
                  </w:tcBorders>
                </w:tcPr>
                <w:p/>
              </w:tc>
              <w:tc>
                <w:tcPr>
                  <w:tcW w:type="dxa" w:w="261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外周血</w:t>
                  </w:r>
                  <w:r>
                    <w:rPr>
                      <w:sz w:val="21"/>
                    </w:rPr>
                    <w:t>T淋巴细胞亚群</w:t>
                  </w:r>
                </w:p>
              </w:tc>
            </w:tr>
            <w:tr>
              <w:tc>
                <w:tcPr>
                  <w:tcW w:type="dxa" w:w="929"/>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13</w:t>
                  </w:r>
                </w:p>
              </w:tc>
              <w:tc>
                <w:tcPr>
                  <w:tcW w:type="dxa" w:w="2051"/>
                  <w:vMerge/>
                  <w:tcBorders>
                    <w:top w:val="none" w:color="000000" w:sz="4"/>
                    <w:left w:val="none" w:color="000000" w:sz="4"/>
                    <w:bottom w:val="single" w:color="000000" w:sz="4"/>
                    <w:right w:val="single" w:color="000000" w:sz="4"/>
                  </w:tcBorders>
                </w:tcPr>
                <w:p/>
              </w:tc>
              <w:tc>
                <w:tcPr>
                  <w:tcW w:type="dxa" w:w="261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免疫功能检测套餐</w:t>
                  </w:r>
                  <w:r>
                    <w:rPr>
                      <w:sz w:val="21"/>
                    </w:rPr>
                    <w:t>(122项)</w:t>
                  </w:r>
                </w:p>
              </w:tc>
            </w:tr>
            <w:tr>
              <w:tc>
                <w:tcPr>
                  <w:tcW w:type="dxa" w:w="929"/>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14</w:t>
                  </w:r>
                </w:p>
              </w:tc>
              <w:tc>
                <w:tcPr>
                  <w:tcW w:type="dxa" w:w="2051"/>
                  <w:vMerge/>
                  <w:tcBorders>
                    <w:top w:val="none" w:color="000000" w:sz="4"/>
                    <w:left w:val="none" w:color="000000" w:sz="4"/>
                    <w:bottom w:val="single" w:color="000000" w:sz="4"/>
                    <w:right w:val="single" w:color="000000" w:sz="4"/>
                  </w:tcBorders>
                </w:tcPr>
                <w:p/>
              </w:tc>
              <w:tc>
                <w:tcPr>
                  <w:tcW w:type="dxa" w:w="261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外周血</w:t>
                  </w:r>
                  <w:r>
                    <w:rPr>
                      <w:sz w:val="21"/>
                    </w:rPr>
                    <w:t>B淋巴细胞(CD3-CD19+)</w:t>
                  </w:r>
                </w:p>
              </w:tc>
            </w:tr>
            <w:tr>
              <w:tc>
                <w:tcPr>
                  <w:tcW w:type="dxa" w:w="929"/>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15</w:t>
                  </w:r>
                </w:p>
              </w:tc>
              <w:tc>
                <w:tcPr>
                  <w:tcW w:type="dxa" w:w="2051"/>
                  <w:vMerge/>
                  <w:tcBorders>
                    <w:top w:val="none" w:color="000000" w:sz="4"/>
                    <w:left w:val="none" w:color="000000" w:sz="4"/>
                    <w:bottom w:val="single" w:color="000000" w:sz="4"/>
                    <w:right w:val="single" w:color="000000" w:sz="4"/>
                  </w:tcBorders>
                </w:tcPr>
                <w:p/>
              </w:tc>
              <w:tc>
                <w:tcPr>
                  <w:tcW w:type="dxa" w:w="261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CD34+细胞百分含量检查(3CD)</w:t>
                  </w:r>
                </w:p>
              </w:tc>
            </w:tr>
            <w:tr>
              <w:tc>
                <w:tcPr>
                  <w:tcW w:type="dxa" w:w="929"/>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16</w:t>
                  </w:r>
                </w:p>
              </w:tc>
              <w:tc>
                <w:tcPr>
                  <w:tcW w:type="dxa" w:w="2051"/>
                  <w:vMerge/>
                  <w:tcBorders>
                    <w:top w:val="none" w:color="000000" w:sz="4"/>
                    <w:left w:val="none" w:color="000000" w:sz="4"/>
                    <w:bottom w:val="single" w:color="000000" w:sz="4"/>
                    <w:right w:val="single" w:color="000000" w:sz="4"/>
                  </w:tcBorders>
                </w:tcPr>
                <w:p/>
              </w:tc>
              <w:tc>
                <w:tcPr>
                  <w:tcW w:type="dxa" w:w="261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CD34+细胞绝对计数</w:t>
                  </w:r>
                </w:p>
              </w:tc>
            </w:tr>
            <w:tr>
              <w:tc>
                <w:tcPr>
                  <w:tcW w:type="dxa" w:w="929"/>
                  <w:tcBorders>
                    <w:top w:val="none" w:color="000000" w:sz="4"/>
                    <w:left w:val="singl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17</w:t>
                  </w:r>
                </w:p>
              </w:tc>
              <w:tc>
                <w:tcPr>
                  <w:tcW w:type="dxa" w:w="2051"/>
                  <w:vMerge/>
                  <w:tcBorders>
                    <w:top w:val="none" w:color="000000" w:sz="4"/>
                    <w:left w:val="none" w:color="000000" w:sz="4"/>
                    <w:bottom w:val="single" w:color="000000" w:sz="4"/>
                    <w:right w:val="single" w:color="000000" w:sz="4"/>
                  </w:tcBorders>
                </w:tcPr>
                <w:p/>
              </w:tc>
              <w:tc>
                <w:tcPr>
                  <w:tcW w:type="dxa" w:w="2618"/>
                  <w:tcBorders>
                    <w:top w:val="none" w:color="000000" w:sz="4"/>
                    <w:left w:val="none" w:color="000000" w:sz="4"/>
                    <w:bottom w:val="single" w:color="000000" w:sz="4"/>
                    <w:right w:val="single" w:color="000000" w:sz="4"/>
                  </w:tcBorders>
                  <w:tcMar>
                    <w:top w:type="dxa" w:w="30"/>
                    <w:left w:type="dxa" w:w="30"/>
                    <w:bottom w:type="dxa" w:w="30"/>
                    <w:right w:type="dxa" w:w="30"/>
                  </w:tcMar>
                  <w:vAlign w:val="top"/>
                </w:tcPr>
                <w:p>
                  <w:pPr>
                    <w:pStyle w:val="null3"/>
                    <w:jc w:val="center"/>
                  </w:pPr>
                  <w:r>
                    <w:rPr>
                      <w:sz w:val="21"/>
                    </w:rPr>
                    <w:t>基于流式细胞平台的其它拓展项目</w:t>
                  </w:r>
                </w:p>
              </w:tc>
            </w:tr>
          </w:tbl>
          <w:p/>
        </w:tc>
      </w:tr>
      <w:tr>
        <w:tc>
          <w:tcPr>
            <w:tcW w:type="dxa" w:w="2076"/>
          </w:tcPr>
          <w:p/>
        </w:tc>
        <w:tc>
          <w:tcPr>
            <w:tcW w:type="dxa" w:w="415"/>
          </w:tcPr>
          <w:p>
            <w:pPr>
              <w:pStyle w:val="null3"/>
            </w:pPr>
            <w:r>
              <w:rPr/>
              <w:t>79</w:t>
            </w:r>
          </w:p>
        </w:tc>
        <w:tc>
          <w:tcPr>
            <w:tcW w:type="dxa" w:w="5814"/>
          </w:tcPr>
          <w:p>
            <w:pPr>
              <w:pStyle w:val="null3"/>
            </w:pPr>
            <w:r>
              <w:rPr/>
              <w:t>九、其他服务：协助采购人的其他服务。</w:t>
            </w:r>
          </w:p>
        </w:tc>
      </w:tr>
      <w:tr>
        <w:tc>
          <w:tcPr>
            <w:tcW w:type="dxa" w:w="2076"/>
          </w:tcPr>
          <w:p/>
        </w:tc>
        <w:tc>
          <w:tcPr>
            <w:tcW w:type="dxa" w:w="415"/>
          </w:tcPr>
          <w:p>
            <w:pPr>
              <w:pStyle w:val="null3"/>
            </w:pPr>
            <w:r>
              <w:rPr/>
              <w:t>80</w:t>
            </w:r>
          </w:p>
        </w:tc>
        <w:tc>
          <w:tcPr>
            <w:tcW w:type="dxa" w:w="5814"/>
          </w:tcPr>
          <w:p>
            <w:pPr>
              <w:pStyle w:val="null3"/>
            </w:pPr>
            <w:r>
              <w:rPr>
                <w:sz w:val="21"/>
                <w:shd w:fill="FFFFFF" w:val="clear"/>
              </w:rPr>
              <w:t>附件</w:t>
            </w:r>
          </w:p>
          <w:p>
            <w:pPr>
              <w:pStyle w:val="null3"/>
              <w:jc w:val="center"/>
            </w:pPr>
            <w:r>
              <w:rPr>
                <w:sz w:val="21"/>
                <w:b/>
              </w:rPr>
              <w:t>检验服务质量季度考核表</w:t>
            </w:r>
          </w:p>
          <w:tbl>
            <w:tblPr>
              <w:tblInd w:type="dxa" w:w="150"/>
              <w:tblBorders>
                <w:top w:val="none" w:color="000000" w:sz="4"/>
                <w:left w:val="none" w:color="000000" w:sz="4"/>
                <w:bottom w:val="none" w:color="000000" w:sz="4"/>
                <w:right w:val="none" w:color="000000" w:sz="4"/>
                <w:insideH w:val="none"/>
                <w:insideV w:val="none"/>
              </w:tblBorders>
            </w:tblPr>
            <w:tblGrid>
              <w:gridCol w:w="418"/>
              <w:gridCol w:w="627"/>
              <w:gridCol w:w="1881"/>
              <w:gridCol w:w="612"/>
              <w:gridCol w:w="2060"/>
            </w:tblGrid>
            <w:tr>
              <w:tc>
                <w:tcPr>
                  <w:tcW w:type="dxa" w:w="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1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满分值</w:t>
                  </w:r>
                </w:p>
              </w:tc>
              <w:tc>
                <w:tcPr>
                  <w:tcW w:type="dxa" w:w="20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扣分原则（不设上限）</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2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标本接收</w:t>
                  </w:r>
                  <w:r>
                    <w:br/>
                  </w:r>
                  <w:r>
                    <w:rPr>
                      <w:sz w:val="21"/>
                    </w:rPr>
                    <w:t>（</w:t>
                  </w:r>
                  <w:r>
                    <w:rPr>
                      <w:sz w:val="21"/>
                    </w:rPr>
                    <w:t>20分）</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标本接收是否及时、遗漏、丢失。</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标本未及时接收，每例扣</w:t>
                  </w:r>
                  <w:r>
                    <w:rPr>
                      <w:sz w:val="21"/>
                    </w:rPr>
                    <w:t>2分；标本遗失、标本丢失每例扣5分</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27"/>
                  <w:vMerge/>
                  <w:tcBorders>
                    <w:top w:val="none" w:color="000000" w:sz="4"/>
                    <w:left w:val="none" w:color="000000" w:sz="4"/>
                    <w:bottom w:val="none" w:color="000000" w:sz="4"/>
                    <w:right w:val="single" w:color="000000" w:sz="4"/>
                  </w:tcBorders>
                </w:tcP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是否按规范流程进行标本接收、登记和包装。</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未按规范进行标本登记每出现</w:t>
                  </w:r>
                  <w:r>
                    <w:rPr>
                      <w:sz w:val="21"/>
                    </w:rPr>
                    <w:t>1例扣1分</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27"/>
                  <w:vMerge/>
                  <w:tcBorders>
                    <w:top w:val="none" w:color="000000" w:sz="4"/>
                    <w:left w:val="none" w:color="000000" w:sz="4"/>
                    <w:bottom w:val="none" w:color="000000" w:sz="4"/>
                    <w:right w:val="single" w:color="000000" w:sz="4"/>
                  </w:tcBorders>
                </w:tcP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标本初检发现不合格标本是否及时通知医院。</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未及时报告医院每出现</w:t>
                  </w:r>
                  <w:r>
                    <w:rPr>
                      <w:sz w:val="21"/>
                    </w:rPr>
                    <w:t>1例扣1分</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27"/>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标本检验及结果报告（</w:t>
                  </w:r>
                  <w:r>
                    <w:rPr>
                      <w:sz w:val="21"/>
                    </w:rPr>
                    <w:t>40分）</w:t>
                  </w:r>
                </w:p>
                <w:p>
                  <w:pPr>
                    <w:pStyle w:val="null3"/>
                    <w:jc w:val="center"/>
                  </w:pP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标本送检过程中是否及时、遗漏、丢失。</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未按规定时间进行标本送检，每出现一例扣</w:t>
                  </w:r>
                  <w:r>
                    <w:rPr>
                      <w:sz w:val="21"/>
                    </w:rPr>
                    <w:t>2分；标本遗失、丢失每出现一例扣5分</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27"/>
                  <w:vMerge/>
                  <w:tcBorders>
                    <w:top w:val="single" w:color="000000" w:sz="4"/>
                    <w:left w:val="none" w:color="000000" w:sz="4"/>
                    <w:bottom w:val="none" w:color="000000" w:sz="4"/>
                    <w:right w:val="single" w:color="000000" w:sz="4"/>
                  </w:tcBorders>
                </w:tcP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报告单是否书写整洁、无错项、无漏项、签名易辨认、信息完整。</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报告单书写潦草、签名无法辨认、漏项、信息不完整每例扣</w:t>
                  </w:r>
                  <w:r>
                    <w:rPr>
                      <w:sz w:val="21"/>
                    </w:rPr>
                    <w:t>1分</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27"/>
                  <w:vMerge/>
                  <w:tcBorders>
                    <w:top w:val="single" w:color="000000" w:sz="4"/>
                    <w:left w:val="none" w:color="000000" w:sz="4"/>
                    <w:bottom w:val="none" w:color="000000" w:sz="4"/>
                    <w:right w:val="single" w:color="000000" w:sz="4"/>
                  </w:tcBorders>
                </w:tcP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发生设备、试剂耗材严重不良事件及其他特殊情况影响检测结果准确性或报告时限时，是否</w:t>
                  </w:r>
                  <w:r>
                    <w:rPr>
                      <w:sz w:val="21"/>
                    </w:rPr>
                    <w:t>4小时内通知采购人实验室并递交相应解决方案。</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未及时告知每例扣</w:t>
                  </w:r>
                  <w:r>
                    <w:rPr>
                      <w:sz w:val="21"/>
                    </w:rPr>
                    <w:t>2分，有告知但无解决方案每例扣2分</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27"/>
                  <w:vMerge/>
                  <w:tcBorders>
                    <w:top w:val="single" w:color="000000" w:sz="4"/>
                    <w:left w:val="none" w:color="000000" w:sz="4"/>
                    <w:bottom w:val="none" w:color="000000" w:sz="4"/>
                    <w:right w:val="single" w:color="000000" w:sz="4"/>
                  </w:tcBorders>
                </w:tcP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检验结果无差错</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检验结果出现</w:t>
                  </w:r>
                  <w:r>
                    <w:rPr>
                      <w:sz w:val="21"/>
                    </w:rPr>
                    <w:t>1例差错每例扣10分</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27"/>
                  <w:vMerge/>
                  <w:tcBorders>
                    <w:top w:val="single" w:color="000000" w:sz="4"/>
                    <w:left w:val="none" w:color="000000" w:sz="4"/>
                    <w:bottom w:val="none" w:color="000000" w:sz="4"/>
                    <w:right w:val="single" w:color="000000" w:sz="4"/>
                  </w:tcBorders>
                </w:tcP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检测结果存在疑议时，是否及时提供验证性检测服务</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未及时提供验证性检测服务每例扣</w:t>
                  </w:r>
                  <w:r>
                    <w:rPr>
                      <w:sz w:val="21"/>
                    </w:rPr>
                    <w:t>2分</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27"/>
                  <w:vMerge/>
                  <w:tcBorders>
                    <w:top w:val="single" w:color="000000" w:sz="4"/>
                    <w:left w:val="none" w:color="000000" w:sz="4"/>
                    <w:bottom w:val="none" w:color="000000" w:sz="4"/>
                    <w:right w:val="single" w:color="000000" w:sz="4"/>
                  </w:tcBorders>
                </w:tcP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检验结果是否及时报告、上传（含病理扫描切片链接），以供医院随时查询及调阅。</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检验结果未及时上传每例扣</w:t>
                  </w:r>
                  <w:r>
                    <w:rPr>
                      <w:sz w:val="21"/>
                    </w:rPr>
                    <w:t>1分</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危急值处理</w:t>
                  </w:r>
                  <w:r>
                    <w:br/>
                  </w:r>
                  <w:r>
                    <w:rPr>
                      <w:sz w:val="21"/>
                    </w:rPr>
                    <w:t>（</w:t>
                  </w:r>
                  <w:r>
                    <w:rPr>
                      <w:sz w:val="21"/>
                    </w:rPr>
                    <w:t>10分）</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出现危急值结果时，检查标本是否合格情况，质控达标情况运行是否正常，并对结果进行复查后登记。是否按危急值报告流程通知医院及主管医师。</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危急值迟报、漏报每例扣</w:t>
                  </w:r>
                  <w:r>
                    <w:rPr>
                      <w:sz w:val="21"/>
                    </w:rPr>
                    <w:t>5分</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2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服务响应（</w:t>
                  </w:r>
                  <w:r>
                    <w:rPr>
                      <w:sz w:val="21"/>
                    </w:rPr>
                    <w:t>30分）</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是否按采购人需求提供检验后样本（含病理玻片、核酸等）、原始数据等</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未提供每例扣</w:t>
                  </w:r>
                  <w:r>
                    <w:rPr>
                      <w:sz w:val="21"/>
                    </w:rPr>
                    <w:t>2分</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27"/>
                  <w:vMerge/>
                  <w:tcBorders>
                    <w:top w:val="none" w:color="000000" w:sz="4"/>
                    <w:left w:val="none" w:color="000000" w:sz="4"/>
                    <w:bottom w:val="none" w:color="000000" w:sz="4"/>
                    <w:right w:val="single" w:color="000000" w:sz="4"/>
                  </w:tcBorders>
                </w:tcP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是否按采购需求定期提供室间质评证书、实验室间比对结果、室内质量控制数据</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未按时提供每项目扣</w:t>
                  </w:r>
                  <w:r>
                    <w:rPr>
                      <w:sz w:val="21"/>
                    </w:rPr>
                    <w:t>2分</w:t>
                  </w:r>
                </w:p>
              </w:tc>
            </w:tr>
            <w:tr>
              <w:tc>
                <w:tcPr>
                  <w:tcW w:type="dxa" w:w="41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27"/>
                  <w:vMerge/>
                  <w:tcBorders>
                    <w:top w:val="none" w:color="000000" w:sz="4"/>
                    <w:left w:val="none" w:color="000000" w:sz="4"/>
                    <w:bottom w:val="none" w:color="000000" w:sz="4"/>
                    <w:right w:val="single" w:color="000000" w:sz="4"/>
                  </w:tcBorders>
                </w:tcPr>
                <w:p/>
              </w:tc>
              <w:tc>
                <w:tcPr>
                  <w:tcW w:type="dxa" w:w="188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是否及时响应针对检测项目产生的投诉或其他需处理的情况</w:t>
                  </w:r>
                </w:p>
              </w:tc>
              <w:tc>
                <w:tcPr>
                  <w:tcW w:type="dxa" w:w="61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6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无响应每次扣</w:t>
                  </w:r>
                  <w:r>
                    <w:rPr>
                      <w:sz w:val="21"/>
                    </w:rPr>
                    <w:t>5分，有响应但处理不及时导致不良后果每次扣2分</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92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广东医科大学顺德妇女儿童医院（佛山市顺德区妇幼保健院）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- 27%</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按折扣率65%执行，招标代理服务收费按差额定率累进法计算，以本项目预算金额作为收费的计算基数。中标金额的各部分费率如下表，本项目类型为服务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020-37860523/0540/0539</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外送第三方检验相关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采购包1（外送第三方检验相关服务项目）：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采购包1（外送第三方检验相关服务项目）：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在中华人民共和国境内注册的具有独立承担民事责任能力的法人或其他组织（如供应商已对接“粤省事”“粤商通”“粤信签”等系统且能通过系统查询到相关内容，则无须提供该项证明文件）。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须提供证明材料或《政府采购供应商资格信用承诺函》。 （1）证明材料要求：须同时提供以下两种证明材料：①投标截止日前6个月内任意1个月依法缴纳税收的有效证明材料和②投标截止日前6个月内任意1个月依法缴纳社会保险的凭据（专用收据或社会保险缴纳清单）相关证明材料。如依法免税或不需要缴纳社会保障资金的，提供相应证明材料。（2）《政府采购供应商资格信用承诺函》 要求：根据《佛山市政务服务数据管理局 佛山市财政局关于推行政府采购项目“承诺信用制”工作的通知》提供承诺函（格式详见公告附件）。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须提供证明材料或《政府采购供应商资格信用承诺函》）。 （1）证明材料要求：须提供以下两种证明材料之一：①提供2023或2024年度财务报告(要求：财务报告须由第三方会计师事务所或其它合法审计机构出具，能清晰显示第三方会计师事务所的印章)；②提供投标截止日前6个月内基本开户银行出具的资信证明，并同时提交开户（基本户）许可证扫描件，开户（基本户）许可证已取消的，应提供能体现基本开户银行的“基本存款账户编号”的相关证明），如成立时间不足6个月的，按成立时间提供）。 （2）《政府采购供应商资格信用承诺函》 要求：根据《佛山市政务服务数据管理局 佛山市财政局关于推行政府采购项目“承诺信用制”工作的通知》提供承诺函（格式详见公告附件）。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根据《佛山市政务服务数据管理局佛山市财政局关于推行政府采购项目“承诺信用制”工作的通知》提供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供应商具备卫生部门核发且在有效期内的《医疗机构执业许可证》，诊疗科目需包含医学检验科。</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供应商具备《临床基因扩增检验实验室技术审核合格证书》或《临床基因扩增检验实验室技术验收合格证书》。</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12</w:t>
            </w:r>
          </w:p>
        </w:tc>
        <w:tc>
          <w:tcPr>
            <w:tcW w:type="dxa" w:w="3178"/>
          </w:tcPr>
          <w:p>
            <w:pPr>
              <w:pStyle w:val="null3"/>
            </w:pPr>
            <w:r>
              <w:rPr/>
              <w:t>本项目落实政府采购政策需满足的资格要求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采购包1（外送第三方检验相关服务项目）：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1）投标折扣率报价：0%＜折扣率≤27% 2）对项目的内全部内容进行投标报价； 3）投标折扣率报价是唯一确定的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提供《投标函》，投标有效期为投标截止之日起90天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本项目采购本国服务</w:t>
            </w:r>
          </w:p>
        </w:tc>
        <w:tc>
          <w:tcPr>
            <w:tcW w:type="dxa" w:w="4238"/>
          </w:tcPr>
          <w:p>
            <w:pPr>
              <w:pStyle w:val="null3"/>
            </w:pPr>
            <w:r>
              <w:rPr/>
              <w:t>本项目采购本国服务</w:t>
            </w:r>
          </w:p>
        </w:tc>
      </w:tr>
      <w:tr>
        <w:tc>
          <w:tcPr>
            <w:tcW w:type="dxa" w:w="890"/>
          </w:tcPr>
          <w:p>
            <w:pPr>
              <w:pStyle w:val="null3"/>
            </w:pPr>
            <w:r>
              <w:rPr/>
              <w:t>5</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采购包1(外送第三方检验相关服务项目):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商务部分26.0分</w:t>
            </w:r>
          </w:p>
          <w:p>
            <w:pPr>
              <w:pStyle w:val="null3"/>
            </w:pPr>
            <w:r>
              <w:rPr/>
              <w:t>技术部分64.0分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项目实施方案A (2.0分)</w:t>
            </w:r>
          </w:p>
        </w:tc>
        <w:tc>
          <w:tcPr>
            <w:tcW w:type="dxa" w:w="5076"/>
          </w:tcPr>
          <w:p>
            <w:pPr>
              <w:pStyle w:val="null3"/>
              <w:jc w:val="left"/>
            </w:pPr>
            <w:r>
              <w:rPr/>
              <w:t>对投标供应商提供的项目实施方案：方案包括每周上门服务次数、咨询服务方案、检验方案、出具检测报告方案，得2分；无或不齐全的不得分。</w:t>
            </w:r>
          </w:p>
        </w:tc>
      </w:tr>
      <w:tr>
        <w:tc>
          <w:tcPr>
            <w:tcW w:type="dxa" w:w="922"/>
            <w:gridSpan w:val="2"/>
            <w:vMerge/>
          </w:tcPr>
          <w:p/>
        </w:tc>
        <w:tc>
          <w:tcPr>
            <w:tcW w:type="dxa" w:w="2307"/>
          </w:tcPr>
          <w:p>
            <w:pPr>
              <w:pStyle w:val="null3"/>
              <w:jc w:val="left"/>
            </w:pPr>
            <w:r>
              <w:rPr/>
              <w:t>项目实施方案B (11.0分)</w:t>
            </w:r>
          </w:p>
        </w:tc>
        <w:tc>
          <w:tcPr>
            <w:tcW w:type="dxa" w:w="5076"/>
          </w:tcPr>
          <w:p>
            <w:pPr>
              <w:pStyle w:val="null3"/>
              <w:jc w:val="left"/>
            </w:pPr>
            <w:r>
              <w:rPr/>
              <w:t>根据投标供应商提供的项目实施方案进行综合评审： （1）项目方案完整，实施方法可行，完全满足或优于项目需求，得11分； （2）项目方案完整，实施方法基本可行，基本满足项目需求，得7分； （3）项目方案较为完整，实施方法较为可行，部分完全满足项目需求，得3分； （4）项目方案不完整，实施方法基本可行，不能完全满足项目需求，得1分。 （5）不提供方案不得分。</w:t>
            </w:r>
          </w:p>
        </w:tc>
      </w:tr>
      <w:tr>
        <w:tc>
          <w:tcPr>
            <w:tcW w:type="dxa" w:w="922"/>
            <w:gridSpan w:val="2"/>
            <w:vMerge/>
          </w:tcPr>
          <w:p/>
        </w:tc>
        <w:tc>
          <w:tcPr>
            <w:tcW w:type="dxa" w:w="2307"/>
          </w:tcPr>
          <w:p>
            <w:pPr>
              <w:pStyle w:val="null3"/>
              <w:jc w:val="left"/>
            </w:pPr>
            <w:r>
              <w:rPr/>
              <w:t>标本收取及运输保管方案A (1.0分)</w:t>
            </w:r>
          </w:p>
        </w:tc>
        <w:tc>
          <w:tcPr>
            <w:tcW w:type="dxa" w:w="5076"/>
          </w:tcPr>
          <w:p>
            <w:pPr>
              <w:pStyle w:val="null3"/>
              <w:jc w:val="left"/>
            </w:pPr>
            <w:r>
              <w:rPr/>
              <w:t>根据投标供应商提供的标本收取及运输保管方案进行评审： 方案包括专人专车收取标本服务、对标本运输保管方案及其保障措施，得1分；无或不齐全的不得分。</w:t>
            </w:r>
          </w:p>
        </w:tc>
      </w:tr>
      <w:tr>
        <w:tc>
          <w:tcPr>
            <w:tcW w:type="dxa" w:w="922"/>
            <w:gridSpan w:val="2"/>
            <w:vMerge/>
          </w:tcPr>
          <w:p/>
        </w:tc>
        <w:tc>
          <w:tcPr>
            <w:tcW w:type="dxa" w:w="2307"/>
          </w:tcPr>
          <w:p>
            <w:pPr>
              <w:pStyle w:val="null3"/>
              <w:jc w:val="left"/>
            </w:pPr>
            <w:r>
              <w:rPr/>
              <w:t>标本收取及运输保管方案B (8.0分)</w:t>
            </w:r>
          </w:p>
        </w:tc>
        <w:tc>
          <w:tcPr>
            <w:tcW w:type="dxa" w:w="5076"/>
          </w:tcPr>
          <w:p>
            <w:pPr>
              <w:pStyle w:val="null3"/>
              <w:jc w:val="left"/>
            </w:pPr>
            <w:r>
              <w:rPr/>
              <w:t>根据方案进行综合评审： （1）方案全面详实、制度完善、运作流程清晰、可操作性强，上门收取标本服务及操作规范全面完善，得8分； （2）方案较详实、制度较完善、运作流程基本清晰、具有一定的可操作性，上门收取标本服务及操作规范完整但不够全面，得4分； （3）方案不够详实、或制度不完善、或运作流程不清晰、可操作性较一般，上门收取标本服务及操作规范不够具体、较为简略，得1分； （4）无提供方案不得分。</w:t>
            </w:r>
          </w:p>
        </w:tc>
      </w:tr>
      <w:tr>
        <w:tc>
          <w:tcPr>
            <w:tcW w:type="dxa" w:w="922"/>
            <w:gridSpan w:val="2"/>
            <w:vMerge/>
          </w:tcPr>
          <w:p/>
        </w:tc>
        <w:tc>
          <w:tcPr>
            <w:tcW w:type="dxa" w:w="2307"/>
          </w:tcPr>
          <w:p>
            <w:pPr>
              <w:pStyle w:val="null3"/>
              <w:jc w:val="left"/>
            </w:pPr>
            <w:r>
              <w:rPr/>
              <w:t>物流服务能力 (3.0分)</w:t>
            </w:r>
          </w:p>
        </w:tc>
        <w:tc>
          <w:tcPr>
            <w:tcW w:type="dxa" w:w="5076"/>
          </w:tcPr>
          <w:p>
            <w:pPr>
              <w:pStyle w:val="null3"/>
              <w:jc w:val="left"/>
            </w:pPr>
            <w:r>
              <w:rPr/>
              <w:t>物流团队符合GB/T 42186-2022《医学检验生物样本冷链物流运作规范》，得3分。 注：需提供相关证明文件的复印件并加盖投标供应商公章，未提供不得分。</w:t>
            </w:r>
          </w:p>
        </w:tc>
      </w:tr>
      <w:tr>
        <w:tc>
          <w:tcPr>
            <w:tcW w:type="dxa" w:w="922"/>
            <w:gridSpan w:val="2"/>
            <w:vMerge/>
          </w:tcPr>
          <w:p/>
        </w:tc>
        <w:tc>
          <w:tcPr>
            <w:tcW w:type="dxa" w:w="2307"/>
          </w:tcPr>
          <w:p>
            <w:pPr>
              <w:pStyle w:val="null3"/>
              <w:jc w:val="left"/>
            </w:pPr>
            <w:r>
              <w:rPr/>
              <w:t>检验信息化服务方案A (1.0分)</w:t>
            </w:r>
          </w:p>
        </w:tc>
        <w:tc>
          <w:tcPr>
            <w:tcW w:type="dxa" w:w="5076"/>
          </w:tcPr>
          <w:p>
            <w:pPr>
              <w:pStyle w:val="null3"/>
              <w:jc w:val="left"/>
            </w:pPr>
            <w:r>
              <w:rPr/>
              <w:t>根据投标供应商提供的检验信息化服务能力方案进行评审： 方案包括标本检测所需的信息化系统、与医院检验信息管理系统接入方案，得1分；无或不齐全的不得分。</w:t>
            </w:r>
          </w:p>
        </w:tc>
      </w:tr>
      <w:tr>
        <w:tc>
          <w:tcPr>
            <w:tcW w:type="dxa" w:w="922"/>
            <w:gridSpan w:val="2"/>
            <w:vMerge/>
          </w:tcPr>
          <w:p/>
        </w:tc>
        <w:tc>
          <w:tcPr>
            <w:tcW w:type="dxa" w:w="2307"/>
          </w:tcPr>
          <w:p>
            <w:pPr>
              <w:pStyle w:val="null3"/>
              <w:jc w:val="left"/>
            </w:pPr>
            <w:r>
              <w:rPr/>
              <w:t>检验信息化服务方案B (10.0分)</w:t>
            </w:r>
          </w:p>
        </w:tc>
        <w:tc>
          <w:tcPr>
            <w:tcW w:type="dxa" w:w="5076"/>
          </w:tcPr>
          <w:p>
            <w:pPr>
              <w:pStyle w:val="null3"/>
              <w:jc w:val="left"/>
            </w:pPr>
            <w:r>
              <w:rPr/>
              <w:t>根据方案进行综合评审： （1）方案清晰、完善，可行性高，且完全符合项目需求的，得10分； （2）方案完善，可行性高，基本符合项目需求，得6分； （3）方案基本完整，具备一定可行性，部分符合项目需求，得3分； （4）方案不完整，可行性一般，部分符合项目需求，得1分； 无提供方案不得分。</w:t>
            </w:r>
          </w:p>
        </w:tc>
      </w:tr>
      <w:tr>
        <w:tc>
          <w:tcPr>
            <w:tcW w:type="dxa" w:w="922"/>
            <w:gridSpan w:val="2"/>
            <w:vMerge/>
          </w:tcPr>
          <w:p/>
        </w:tc>
        <w:tc>
          <w:tcPr>
            <w:tcW w:type="dxa" w:w="2307"/>
          </w:tcPr>
          <w:p>
            <w:pPr>
              <w:pStyle w:val="null3"/>
              <w:jc w:val="left"/>
            </w:pPr>
            <w:r>
              <w:rPr/>
              <w:t>技术人员专业能力 (5.0分)</w:t>
            </w:r>
          </w:p>
        </w:tc>
        <w:tc>
          <w:tcPr>
            <w:tcW w:type="dxa" w:w="5076"/>
          </w:tcPr>
          <w:p>
            <w:pPr>
              <w:pStyle w:val="null3"/>
              <w:jc w:val="left"/>
            </w:pPr>
            <w:r>
              <w:rPr/>
              <w:t>投标供应商实验室检验人员配备应符合国家相关要求，包括但不限于检验师、人员数量、职称、专业可满足检测需求。 1.具备检验专业高级（副高及以上）职称专业人员：每提供一名人员得1分，本单项最高得3分。 2.具备检验专业中级职称专业人员：每提供一名人员得0.5分，本单项最高得2分。 注：同一人取得多个证书不重复计分；须提供人员证书复印件和近6个月任意一个月的投标供应商为其购买社保的证明文件复印件加盖投标供应商公章；若供应商未能提供以上人员社保证明的，可在响应文件中提供相关承诺（承诺书原件须加盖供应商公章，格式自拟，承诺书内容包括但不限于以下内容：若我单位成交，合同签订时保证按响应文件中所配备投入本项目的人员全部到位并提供所有人员的社保证明或用工合同，否则视为我单位放弃成交资格），视为满足社保评审要求。</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根据投标供应商提供的售后服务承诺方案，售后服务计划及方案是否合理、是否有针对项目制定完善、可靠的售后服务方案进行评分。 （1）投标供应商售后服务方案完整，实施方法可行，得6分； （2）投标供应商售后服务方案完整，实施方法基本可行，得3分； （3）投标供应商售后服务方案不完整，实施方法可行性低，得1分。 （4）不提供方案不得分。</w:t>
            </w:r>
          </w:p>
        </w:tc>
      </w:tr>
      <w:tr>
        <w:tc>
          <w:tcPr>
            <w:tcW w:type="dxa" w:w="922"/>
            <w:gridSpan w:val="2"/>
            <w:vMerge/>
          </w:tcPr>
          <w:p/>
        </w:tc>
        <w:tc>
          <w:tcPr>
            <w:tcW w:type="dxa" w:w="2307"/>
          </w:tcPr>
          <w:p>
            <w:pPr>
              <w:pStyle w:val="null3"/>
              <w:jc w:val="left"/>
            </w:pPr>
            <w:r>
              <w:rPr/>
              <w:t>整体建设运营服务方案A (3.0分)</w:t>
            </w:r>
          </w:p>
        </w:tc>
        <w:tc>
          <w:tcPr>
            <w:tcW w:type="dxa" w:w="5076"/>
          </w:tcPr>
          <w:p>
            <w:pPr>
              <w:pStyle w:val="null3"/>
              <w:jc w:val="left"/>
            </w:pPr>
            <w:r>
              <w:rPr/>
              <w:t>根据投标供应商的整体建设运营服务方案(内容至少包括：仪器设备、人员配备、检测方案)进行评审： 供应商能提供整体建设运营服务方案，内容完整包括①仪器设备、②人员配备、③检测方案，得3分；无或不齐全的不得分。</w:t>
            </w:r>
          </w:p>
        </w:tc>
      </w:tr>
      <w:tr>
        <w:tc>
          <w:tcPr>
            <w:tcW w:type="dxa" w:w="922"/>
            <w:gridSpan w:val="2"/>
            <w:vMerge/>
          </w:tcPr>
          <w:p/>
        </w:tc>
        <w:tc>
          <w:tcPr>
            <w:tcW w:type="dxa" w:w="2307"/>
          </w:tcPr>
          <w:p>
            <w:pPr>
              <w:pStyle w:val="null3"/>
              <w:jc w:val="left"/>
            </w:pPr>
            <w:r>
              <w:rPr/>
              <w:t>整体建设运营服务方案B (7.0分)</w:t>
            </w:r>
          </w:p>
        </w:tc>
        <w:tc>
          <w:tcPr>
            <w:tcW w:type="dxa" w:w="5076"/>
          </w:tcPr>
          <w:p>
            <w:pPr>
              <w:pStyle w:val="null3"/>
              <w:jc w:val="left"/>
            </w:pPr>
            <w:r>
              <w:rPr/>
              <w:t>投标供应商提供的整体建设运营服务方案的整体内容明确且优于或满足项目需求，服务措施有利于项目实施的得7分； 投标供应商提供的整体建设运营服务方案的整体内容清晰且基本满足项目需求，服务措施符合项目实施的得4分； 整体建设运营服务方案整体内容简单，但有部分内容满足项目的得1分； 其他情况或不响应，得0分。</w:t>
            </w:r>
          </w:p>
        </w:tc>
      </w:tr>
      <w:tr>
        <w:tc>
          <w:tcPr>
            <w:tcW w:type="dxa" w:w="922"/>
            <w:gridSpan w:val="2"/>
            <w:vMerge/>
          </w:tcPr>
          <w:p/>
        </w:tc>
        <w:tc>
          <w:tcPr>
            <w:tcW w:type="dxa" w:w="2307"/>
          </w:tcPr>
          <w:p>
            <w:pPr>
              <w:pStyle w:val="null3"/>
              <w:jc w:val="left"/>
            </w:pPr>
            <w:r>
              <w:rPr/>
              <w:t>其他服务方案 (7.0分)</w:t>
            </w:r>
          </w:p>
        </w:tc>
        <w:tc>
          <w:tcPr>
            <w:tcW w:type="dxa" w:w="5076"/>
          </w:tcPr>
          <w:p>
            <w:pPr>
              <w:pStyle w:val="null3"/>
              <w:jc w:val="left"/>
            </w:pPr>
            <w:r>
              <w:rPr/>
              <w:t>根据投标人响应“九、其他服务：协助采购人的其他服务。”提供的其他服务方案进行评审： 服务亮点鲜明、方案具体完善、合理可行，且符合项目需求的得7分； 服务有亮点、方案较为完善、具有一定合理性、可行性，且较符合项目需求的得4分； 服务亮点欠缺，方案欠具体，合理性、可行性一般，且不符合项目需求的得1分； 不提供以上方案不得分。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自2022年1月1日（以合同签订之日为准）以来，投标供应商具有同类业绩经验，每提供一项得2分，本项最高得6分。 【注：提供合同关键页（含签订合同双方的单位名称、合同项目名称、含签订合同双方的落款盖章、签订日期的关键页）复印件并加盖投标供应商公章，不提供不得分。】</w:t>
            </w:r>
          </w:p>
        </w:tc>
      </w:tr>
      <w:tr>
        <w:tc>
          <w:tcPr>
            <w:tcW w:type="dxa" w:w="922"/>
            <w:gridSpan w:val="2"/>
            <w:vMerge/>
          </w:tcPr>
          <w:p/>
        </w:tc>
        <w:tc>
          <w:tcPr>
            <w:tcW w:type="dxa" w:w="2307"/>
          </w:tcPr>
          <w:p>
            <w:pPr>
              <w:pStyle w:val="null3"/>
              <w:jc w:val="left"/>
            </w:pPr>
            <w:r>
              <w:rPr/>
              <w:t>满意度评价 (6.0分)</w:t>
            </w:r>
          </w:p>
        </w:tc>
        <w:tc>
          <w:tcPr>
            <w:tcW w:type="dxa" w:w="5076"/>
          </w:tcPr>
          <w:p>
            <w:pPr>
              <w:pStyle w:val="null3"/>
              <w:jc w:val="left"/>
            </w:pPr>
            <w:r>
              <w:rPr/>
              <w:t>自2022年1月1日（以合同签订之日为准）以来，投标供应商在上述有效的同类项目业绩中，每提供一份获得具有客户表述类似“满意”或“好评”或“合格”或打分制为85分（含）以上等评价的，得2分，最高得6分。 【注：投标供应商在上述“同类项目业绩”评审中所提供的业绩证明，根据业绩证明提供合同甲方或相关部门盖章的评价复印件并加盖供应商公章。】</w:t>
            </w:r>
          </w:p>
        </w:tc>
      </w:tr>
      <w:tr>
        <w:tc>
          <w:tcPr>
            <w:tcW w:type="dxa" w:w="922"/>
            <w:gridSpan w:val="2"/>
            <w:vMerge/>
          </w:tcPr>
          <w:p/>
        </w:tc>
        <w:tc>
          <w:tcPr>
            <w:tcW w:type="dxa" w:w="2307"/>
          </w:tcPr>
          <w:p>
            <w:pPr>
              <w:pStyle w:val="null3"/>
              <w:jc w:val="left"/>
            </w:pPr>
            <w:r>
              <w:rPr/>
              <w:t>供应商综合实力 (3.0分)</w:t>
            </w:r>
          </w:p>
        </w:tc>
        <w:tc>
          <w:tcPr>
            <w:tcW w:type="dxa" w:w="5076"/>
          </w:tcPr>
          <w:p>
            <w:pPr>
              <w:pStyle w:val="null3"/>
              <w:jc w:val="left"/>
            </w:pPr>
            <w:r>
              <w:rPr/>
              <w:t>投标供应商为医疗机构及医学检验所检验结果互认单位，得3分。 【注：需提供相关有效证明文件复印件并加盖投标供应商公章，不提供不得分。】</w:t>
            </w:r>
          </w:p>
        </w:tc>
      </w:tr>
      <w:tr>
        <w:tc>
          <w:tcPr>
            <w:tcW w:type="dxa" w:w="922"/>
            <w:gridSpan w:val="2"/>
            <w:vMerge/>
          </w:tcPr>
          <w:p/>
        </w:tc>
        <w:tc>
          <w:tcPr>
            <w:tcW w:type="dxa" w:w="2307"/>
          </w:tcPr>
          <w:p>
            <w:pPr>
              <w:pStyle w:val="null3"/>
              <w:jc w:val="left"/>
            </w:pPr>
            <w:r>
              <w:rPr/>
              <w:t>实验室认证情况 (5.0分)</w:t>
            </w:r>
          </w:p>
        </w:tc>
        <w:tc>
          <w:tcPr>
            <w:tcW w:type="dxa" w:w="5076"/>
          </w:tcPr>
          <w:p>
            <w:pPr>
              <w:pStyle w:val="null3"/>
              <w:jc w:val="left"/>
            </w:pPr>
            <w:r>
              <w:rPr/>
              <w:t>根据投标供应商提供的以下内容进行评分： 1、投标供应商通过ISO15189实验室认可项目，得3分：提供在有效期内的证书及附件的复印件，未提供证书或证书有效期过期的不得分。 2、供应商实验室近3年（即2022年1月1日至2024年12月31日）通过室间质评认证，得2分； 注：投标文件中需提供上述证书复印件并加盖供应商公章，未提供或提供的资料不符合要求的则不得分。</w:t>
            </w:r>
          </w:p>
        </w:tc>
      </w:tr>
      <w:tr>
        <w:tc>
          <w:tcPr>
            <w:tcW w:type="dxa" w:w="922"/>
            <w:gridSpan w:val="2"/>
            <w:vMerge/>
          </w:tcPr>
          <w:p/>
        </w:tc>
        <w:tc>
          <w:tcPr>
            <w:tcW w:type="dxa" w:w="2307"/>
          </w:tcPr>
          <w:p>
            <w:pPr>
              <w:pStyle w:val="null3"/>
              <w:jc w:val="left"/>
            </w:pPr>
            <w:r>
              <w:rPr/>
              <w:t>技术平台设备和能力要求 (6.0分)</w:t>
            </w:r>
          </w:p>
        </w:tc>
        <w:tc>
          <w:tcPr>
            <w:tcW w:type="dxa" w:w="5076"/>
          </w:tcPr>
          <w:p>
            <w:pPr>
              <w:pStyle w:val="null3"/>
              <w:jc w:val="left"/>
            </w:pPr>
            <w:r>
              <w:rPr/>
              <w:t>保障满足本项目开展，投标供应商需拥有完善的检测设备平台，按照采购人需要配置，包括以下6类：定性PCR、定量PCR、核型分析、二代测序技术平台、荧光原位杂交平台、流式细胞仪平台，每提供1类得1分，满分得6分。 【注：须提供平台设备的“实验室设备实物图片+购置发票复印件”或“实验室设备实物图片+租赁合同”，不提供不得分。】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广东医科大学顺德妇女儿童医院</w:t>
      </w:r>
    </w:p>
    <w:p>
      <w:pPr>
        <w:pStyle w:val="null3"/>
        <w:jc w:val="center"/>
      </w:pPr>
      <w:r>
        <w:rPr>
          <w:sz w:val="48"/>
          <w:b/>
        </w:rPr>
        <w:t>（佛山市顺德区妇幼保健院）</w:t>
      </w:r>
    </w:p>
    <w:p>
      <w:pPr>
        <w:pStyle w:val="null3"/>
        <w:jc w:val="center"/>
      </w:pPr>
      <w:r>
        <w:rPr>
          <w:sz w:val="48"/>
          <w:b/>
        </w:rPr>
        <w:t>服务采购</w:t>
      </w:r>
      <w:r>
        <w:rPr>
          <w:sz w:val="48"/>
          <w:b/>
        </w:rPr>
        <w:t>合同</w:t>
      </w:r>
      <w:r>
        <w:rPr>
          <w:sz w:val="48"/>
          <w:b/>
        </w:rPr>
        <w:t>书</w:t>
      </w:r>
    </w:p>
    <w:p>
      <w:pPr>
        <w:pStyle w:val="null3"/>
        <w:jc w:val="center"/>
      </w:pPr>
      <w:r>
        <w:rPr>
          <w:sz w:val="32"/>
          <w:b/>
        </w:rPr>
        <w:t>项目</w:t>
      </w:r>
      <w:r>
        <w:rPr>
          <w:sz w:val="32"/>
          <w:b/>
        </w:rPr>
        <w:t>名称</w:t>
      </w:r>
      <w:r>
        <w:rPr>
          <w:sz w:val="21"/>
          <w:b/>
        </w:rPr>
        <w:t xml:space="preserve">  </w:t>
      </w:r>
      <w:r>
        <w:rPr>
          <w:sz w:val="32"/>
          <w:b/>
        </w:rPr>
        <w:t>：</w:t>
      </w:r>
    </w:p>
    <w:p>
      <w:pPr>
        <w:pStyle w:val="null3"/>
      </w:pPr>
      <w:r>
        <w:rPr>
          <w:sz w:val="32"/>
          <w:b/>
        </w:rPr>
        <w:t>供</w:t>
      </w:r>
      <w:r>
        <w:rPr>
          <w:sz w:val="32"/>
          <w:b/>
        </w:rPr>
        <w:t xml:space="preserve">  </w:t>
      </w:r>
      <w:r>
        <w:rPr>
          <w:sz w:val="32"/>
          <w:b/>
        </w:rPr>
        <w:t>应</w:t>
      </w:r>
      <w:r>
        <w:rPr>
          <w:sz w:val="32"/>
          <w:b/>
        </w:rPr>
        <w:t xml:space="preserve">  </w:t>
      </w:r>
      <w:r>
        <w:rPr>
          <w:sz w:val="32"/>
          <w:b/>
        </w:rPr>
        <w:t>商：</w:t>
      </w:r>
    </w:p>
    <w:p>
      <w:pPr>
        <w:pStyle w:val="null3"/>
      </w:pPr>
      <w:r>
        <w:rPr>
          <w:sz w:val="32"/>
          <w:b/>
        </w:rPr>
        <w:t>合同总金额：</w:t>
      </w:r>
      <w:r>
        <w:rPr>
          <w:sz w:val="30"/>
        </w:rPr>
        <w:t>预算</w:t>
      </w:r>
      <w:r>
        <w:rPr>
          <w:sz w:val="30"/>
        </w:rPr>
        <w:t>¥     元</w:t>
      </w:r>
      <w:r>
        <w:rPr>
          <w:sz w:val="30"/>
        </w:rPr>
        <w:t>（以实际发生数量</w:t>
      </w:r>
      <w:r>
        <w:rPr>
          <w:sz w:val="30"/>
        </w:rPr>
        <w:t>*</w:t>
      </w:r>
      <w:r>
        <w:rPr>
          <w:sz w:val="30"/>
        </w:rPr>
        <w:t>协议单价为准）</w:t>
      </w:r>
    </w:p>
    <w:p>
      <w:pPr>
        <w:pStyle w:val="null3"/>
      </w:pPr>
      <w:r>
        <w:rPr>
          <w:sz w:val="32"/>
          <w:b/>
        </w:rPr>
        <w:t>合同签订日期：</w:t>
      </w:r>
    </w:p>
    <w:p>
      <w:pPr>
        <w:pStyle w:val="null3"/>
      </w:pPr>
      <w:r>
        <w:rPr>
          <w:sz w:val="32"/>
          <w:b/>
        </w:rPr>
        <w:t>院内合同编号：</w:t>
      </w:r>
    </w:p>
    <w:p>
      <w:pPr>
        <w:pStyle w:val="null3"/>
      </w:pPr>
      <w:r>
        <w:rPr>
          <w:sz w:val="32"/>
          <w:b/>
        </w:rPr>
        <w:t>合同性质：</w:t>
      </w:r>
    </w:p>
    <w:p>
      <w:pPr>
        <w:pStyle w:val="null3"/>
        <w:jc w:val="both"/>
      </w:pPr>
      <w:r>
        <w:rPr>
          <w:sz w:val="21"/>
          <w:b/>
        </w:rPr>
        <w:t xml:space="preserve">           </w:t>
      </w:r>
      <w:r>
        <w:rPr>
          <w:sz w:val="21"/>
          <w:b/>
        </w:rPr>
        <w:t xml:space="preserve">                   </w:t>
      </w:r>
    </w:p>
    <w:p>
      <w:pPr>
        <w:pStyle w:val="null3"/>
      </w:pPr>
      <w:r>
        <w:rPr>
          <w:sz w:val="44"/>
          <w:b/>
        </w:rPr>
        <w:t>服务</w:t>
      </w:r>
      <w:r>
        <w:rPr>
          <w:sz w:val="44"/>
          <w:b/>
        </w:rPr>
        <w:t>采购合同</w:t>
      </w:r>
    </w:p>
    <w:p>
      <w:pPr>
        <w:pStyle w:val="null3"/>
        <w:jc w:val="both"/>
      </w:pPr>
      <w:r>
        <w:rPr>
          <w:sz w:val="21"/>
          <w:b/>
        </w:rPr>
        <w:t>甲方</w:t>
      </w:r>
      <w:r>
        <w:rPr>
          <w:sz w:val="21"/>
          <w:b/>
        </w:rPr>
        <w:t>(采购方)</w:t>
      </w:r>
      <w:r>
        <w:rPr>
          <w:sz w:val="21"/>
          <w:b/>
        </w:rPr>
        <w:t>：广东医科大学顺德妇女</w:t>
      </w:r>
      <w:r>
        <w:rPr>
          <w:sz w:val="21"/>
          <w:b/>
        </w:rPr>
        <w:t>儿童</w:t>
      </w:r>
      <w:r>
        <w:rPr>
          <w:sz w:val="21"/>
          <w:b/>
        </w:rPr>
        <w:t>医院</w:t>
      </w:r>
      <w:r>
        <w:rPr>
          <w:sz w:val="21"/>
          <w:b/>
        </w:rPr>
        <w:t>（佛山市顺德区妇幼保健院）</w:t>
      </w:r>
      <w:r>
        <w:rPr>
          <w:sz w:val="21"/>
          <w:b/>
          <w:u w:val="single"/>
        </w:rPr>
        <w:t xml:space="preserve">                                           </w:t>
      </w:r>
    </w:p>
    <w:p>
      <w:pPr>
        <w:pStyle w:val="null3"/>
        <w:jc w:val="both"/>
      </w:pPr>
      <w:r>
        <w:rPr>
          <w:sz w:val="21"/>
          <w:b/>
        </w:rPr>
        <w:t>乙</w:t>
      </w:r>
      <w:r>
        <w:rPr>
          <w:sz w:val="21"/>
          <w:b/>
        </w:rPr>
        <w:t>方</w:t>
      </w:r>
      <w:r>
        <w:rPr>
          <w:sz w:val="21"/>
          <w:b/>
        </w:rPr>
        <w:t>(供应商)</w:t>
      </w:r>
      <w:r>
        <w:rPr>
          <w:sz w:val="21"/>
          <w:b/>
        </w:rPr>
        <w:t>：</w:t>
      </w:r>
    </w:p>
    <w:p>
      <w:pPr>
        <w:pStyle w:val="null3"/>
        <w:jc w:val="both"/>
      </w:pPr>
      <w:r>
        <w:rPr>
          <w:sz w:val="21"/>
          <w:u w:val="single"/>
        </w:rPr>
        <w:t xml:space="preserve">                                                   </w:t>
      </w:r>
      <w:r>
        <w:rPr>
          <w:sz w:val="21"/>
        </w:rPr>
        <w:t xml:space="preserve">                    </w:t>
      </w:r>
    </w:p>
    <w:p>
      <w:pPr>
        <w:pStyle w:val="null3"/>
        <w:ind w:right="180" w:firstLine="452"/>
        <w:jc w:val="both"/>
      </w:pPr>
      <w:r>
        <w:rPr>
          <w:sz w:val="21"/>
        </w:rPr>
        <w:t>根据《中华人民共和国民法典》、《中华人民共和国政府采购法》及有关法律规定，遵循平等、自愿、公平和诚实信用的原则，双方就有关事项协商一致，签订本合同，并共同遵守。</w:t>
      </w:r>
    </w:p>
    <w:p>
      <w:pPr>
        <w:pStyle w:val="null3"/>
        <w:numPr>
          <w:ilvl w:val="0"/>
          <w:numId w:val="1"/>
        </w:numPr>
        <w:ind w:firstLine="420"/>
        <w:jc w:val="center"/>
      </w:pPr>
      <w:r>
        <w:rPr>
          <w:sz w:val="32"/>
        </w:rPr>
        <w:t>通用条款</w:t>
      </w:r>
    </w:p>
    <w:p>
      <w:pPr>
        <w:pStyle w:val="null3"/>
        <w:jc w:val="both"/>
      </w:pPr>
      <w:r>
        <w:rPr>
          <w:sz w:val="21"/>
          <w:b/>
        </w:rPr>
        <w:t>1.</w:t>
      </w:r>
      <w:r>
        <w:rPr>
          <w:sz w:val="21"/>
          <w:b/>
        </w:rPr>
        <w:t>合同标的</w:t>
      </w:r>
    </w:p>
    <w:p>
      <w:pPr>
        <w:pStyle w:val="null3"/>
        <w:ind w:firstLine="210"/>
      </w:pPr>
      <w:r>
        <w:rPr>
          <w:sz w:val="21"/>
        </w:rPr>
        <w:t>1.1 项目名称：</w:t>
      </w:r>
    </w:p>
    <w:p>
      <w:pPr>
        <w:pStyle w:val="null3"/>
      </w:pPr>
      <w:r>
        <w:rPr>
          <w:sz w:val="21"/>
        </w:rPr>
        <w:t xml:space="preserve">  </w:t>
      </w:r>
      <w:r>
        <w:rPr>
          <w:sz w:val="21"/>
        </w:rPr>
        <w:t>1.2 服务内容：见附件1《服务清单要求》</w:t>
      </w:r>
      <w:r>
        <w:rPr>
          <w:u w:val="single"/>
        </w:rPr>
        <w:t xml:space="preserve"> </w:t>
      </w:r>
    </w:p>
    <w:p>
      <w:pPr>
        <w:pStyle w:val="null3"/>
        <w:ind w:right="180"/>
        <w:jc w:val="both"/>
      </w:pPr>
      <w:r>
        <w:rPr>
          <w:sz w:val="21"/>
          <w:b/>
        </w:rPr>
        <w:t>2.</w:t>
      </w:r>
      <w:r>
        <w:rPr>
          <w:sz w:val="21"/>
          <w:b/>
        </w:rPr>
        <w:t>合同金额</w:t>
      </w:r>
    </w:p>
    <w:p>
      <w:pPr>
        <w:pStyle w:val="null3"/>
        <w:ind w:right="180" w:firstLine="210"/>
        <w:jc w:val="both"/>
      </w:pPr>
      <w:r>
        <w:rPr>
          <w:sz w:val="21"/>
        </w:rPr>
        <w:t>2.1 合同预算价为</w:t>
      </w:r>
      <w:r>
        <w:rPr>
          <w:sz w:val="21"/>
          <w:u w:val="single"/>
        </w:rPr>
        <w:t>¥</w:t>
      </w:r>
      <w:r>
        <w:rPr>
          <w:sz w:val="21"/>
          <w:u w:val="single"/>
        </w:rPr>
        <w:t xml:space="preserve">        </w:t>
      </w:r>
      <w:r>
        <w:rPr>
          <w:sz w:val="21"/>
        </w:rPr>
        <w:t>元（大写：人民币</w:t>
      </w:r>
      <w:r>
        <w:rPr>
          <w:sz w:val="21"/>
          <w:u w:val="single"/>
        </w:rPr>
        <w:t xml:space="preserve">            </w:t>
      </w:r>
      <w:r>
        <w:rPr>
          <w:sz w:val="21"/>
        </w:rPr>
        <w:t xml:space="preserve"> </w:t>
      </w:r>
      <w:r>
        <w:rPr>
          <w:sz w:val="21"/>
        </w:rPr>
        <w:t>）</w:t>
      </w:r>
      <w:r>
        <w:rPr>
          <w:sz w:val="21"/>
        </w:rPr>
        <w:t xml:space="preserve">  </w:t>
      </w:r>
    </w:p>
    <w:p>
      <w:pPr>
        <w:pStyle w:val="null3"/>
        <w:ind w:right="180" w:firstLine="210"/>
        <w:jc w:val="both"/>
      </w:pPr>
      <w:r>
        <w:rPr>
          <w:sz w:val="21"/>
        </w:rPr>
        <w:t>最终合同总额根据合同期内实际供货数量（甲方验收合格入库的实际数量）进行结算，即合同总额</w:t>
      </w:r>
      <w:r>
        <w:rPr>
          <w:sz w:val="21"/>
        </w:rPr>
        <w:t>=∑合同期内实际供货数量*协议单价。</w:t>
      </w:r>
      <w:r>
        <w:rPr>
          <w:sz w:val="21"/>
          <w:u w:val="single"/>
        </w:rPr>
        <w:t xml:space="preserve">             </w:t>
      </w:r>
    </w:p>
    <w:p>
      <w:pPr>
        <w:pStyle w:val="null3"/>
        <w:ind w:right="180" w:firstLine="226"/>
        <w:jc w:val="both"/>
      </w:pPr>
      <w:r>
        <w:rPr>
          <w:sz w:val="21"/>
        </w:rPr>
        <w:t>2.2 合同金额包含乙方完成项目的一切费用，包括但不限于相关人员支出、设备支出、用具及用品、设计、制作、安装、送货、税费、合理利润、风险费用等服务过程中可预见和不可预见的一切费用。</w:t>
      </w:r>
    </w:p>
    <w:p>
      <w:pPr>
        <w:pStyle w:val="null3"/>
        <w:ind w:right="180" w:firstLine="210"/>
        <w:jc w:val="both"/>
      </w:pPr>
      <w:r>
        <w:rPr>
          <w:sz w:val="21"/>
        </w:rPr>
        <w:t>2.3 结算价格不因燃料、电费、运输费、任何税率、税种、货币汇率升降、工资、地方政府征收的有关费用、材料差价等引致的价格波动、配合服务等情况可能引致的费用而调整，并且乙方已充分考虑了其他可能因素所增加的费用。</w:t>
      </w:r>
    </w:p>
    <w:p>
      <w:pPr>
        <w:pStyle w:val="null3"/>
        <w:ind w:right="180" w:firstLine="226"/>
        <w:jc w:val="both"/>
      </w:pPr>
      <w:r>
        <w:rPr>
          <w:sz w:val="21"/>
        </w:rPr>
        <w:t>2.4 合同金额不限于完成《服务清单要求》的内容，如需完成清单外的项目内容，双方需</w:t>
      </w:r>
      <w:r>
        <w:rPr>
          <w:sz w:val="21"/>
        </w:rPr>
        <w:t>另外议定价格并签订补充协</w:t>
      </w:r>
      <w:r>
        <w:rPr>
          <w:sz w:val="21"/>
        </w:rPr>
        <w:t>议，并以此作为结算依据。</w:t>
      </w:r>
    </w:p>
    <w:p>
      <w:pPr>
        <w:pStyle w:val="null3"/>
        <w:ind w:right="180"/>
        <w:jc w:val="both"/>
      </w:pPr>
      <w:r>
        <w:rPr>
          <w:sz w:val="21"/>
          <w:b/>
        </w:rPr>
        <w:t>3.</w:t>
      </w:r>
      <w:r>
        <w:rPr>
          <w:sz w:val="21"/>
          <w:b/>
        </w:rPr>
        <w:t>服务期限及服务地点</w:t>
      </w:r>
      <w:r>
        <w:rPr>
          <w:sz w:val="21"/>
          <w:b/>
        </w:rPr>
        <w:t xml:space="preserve"> </w:t>
      </w:r>
    </w:p>
    <w:p>
      <w:pPr>
        <w:pStyle w:val="null3"/>
        <w:ind w:firstLine="210"/>
        <w:jc w:val="both"/>
      </w:pPr>
      <w:r>
        <w:rPr>
          <w:sz w:val="21"/>
        </w:rPr>
        <w:t xml:space="preserve">3.1 </w:t>
      </w:r>
      <w:r>
        <w:rPr>
          <w:sz w:val="21"/>
        </w:rPr>
        <w:t>服务</w:t>
      </w:r>
      <w:r>
        <w:rPr>
          <w:sz w:val="21"/>
        </w:rPr>
        <w:t>期限</w:t>
      </w:r>
      <w:r>
        <w:rPr>
          <w:sz w:val="21"/>
        </w:rPr>
        <w:t>：</w:t>
      </w:r>
      <w:r>
        <w:rPr>
          <w:sz w:val="21"/>
          <w:u w:val="single"/>
        </w:rPr>
        <w:t xml:space="preserve">    </w:t>
      </w:r>
      <w:r>
        <w:rPr>
          <w:sz w:val="21"/>
        </w:rPr>
        <w:t>个月，即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日（或：自合同签订之日起</w:t>
      </w:r>
      <w:r>
        <w:rPr>
          <w:sz w:val="21"/>
        </w:rPr>
        <w:t>xx个月）</w:t>
      </w:r>
      <w:r>
        <w:rPr>
          <w:sz w:val="21"/>
        </w:rPr>
        <w:t>。</w:t>
      </w:r>
    </w:p>
    <w:p>
      <w:pPr>
        <w:pStyle w:val="null3"/>
        <w:ind w:firstLine="210"/>
        <w:jc w:val="both"/>
      </w:pPr>
      <w:r>
        <w:rPr>
          <w:sz w:val="21"/>
        </w:rPr>
        <w:t xml:space="preserve">3.2 </w:t>
      </w:r>
      <w:r>
        <w:rPr>
          <w:sz w:val="21"/>
        </w:rPr>
        <w:t>服务地点：</w:t>
      </w:r>
      <w:r>
        <w:rPr>
          <w:sz w:val="21"/>
          <w:u w:val="single"/>
        </w:rPr>
        <w:t xml:space="preserve">                  </w:t>
      </w:r>
      <w:r>
        <w:rPr>
          <w:sz w:val="21"/>
        </w:rPr>
        <w:t>。</w:t>
      </w:r>
    </w:p>
    <w:p>
      <w:pPr>
        <w:pStyle w:val="null3"/>
        <w:ind w:firstLine="210"/>
        <w:jc w:val="both"/>
      </w:pPr>
      <w:r>
        <w:rPr>
          <w:sz w:val="21"/>
          <w:b/>
        </w:rPr>
        <w:t>4.</w:t>
      </w:r>
      <w:r>
        <w:rPr>
          <w:sz w:val="21"/>
          <w:b/>
        </w:rPr>
        <w:t>知识产权</w:t>
      </w:r>
    </w:p>
    <w:p>
      <w:pPr>
        <w:pStyle w:val="null3"/>
        <w:ind w:firstLine="210"/>
        <w:jc w:val="both"/>
      </w:pPr>
      <w:r>
        <w:rPr>
          <w:sz w:val="21"/>
        </w:rPr>
        <w:t xml:space="preserve">5.1 </w:t>
      </w:r>
      <w:r>
        <w:rPr>
          <w:sz w:val="21"/>
        </w:rPr>
        <w:t>乙方应保证所提供的服务或</w:t>
      </w:r>
      <w:r>
        <w:rPr>
          <w:sz w:val="21"/>
        </w:rPr>
        <w:t>产品</w:t>
      </w:r>
      <w:r>
        <w:rPr>
          <w:sz w:val="21"/>
        </w:rPr>
        <w:t>任何一部分均不会侵犯任何第三</w:t>
      </w:r>
      <w:r>
        <w:rPr>
          <w:sz w:val="21"/>
          <w:color w:val="000000"/>
        </w:rPr>
        <w:t>方的专利权、商标权或著作权等知识产权，由此产生的法律责任及赔偿责任由乙方承担，由此导致甲方承担相关责任的，甲方有权向乙方追偿其造成的损失及主张权利的合理费用（包括但不限于律师费、差旅费、保全费、公证费等）。</w:t>
      </w:r>
    </w:p>
    <w:p>
      <w:pPr>
        <w:pStyle w:val="null3"/>
        <w:ind w:firstLine="420"/>
        <w:jc w:val="left"/>
      </w:pPr>
      <w:r>
        <w:rPr>
          <w:sz w:val="21"/>
          <w:b/>
        </w:rPr>
        <w:t>5.</w:t>
      </w:r>
      <w:r>
        <w:rPr>
          <w:sz w:val="21"/>
          <w:b/>
        </w:rPr>
        <w:t>权利与义务</w:t>
      </w:r>
    </w:p>
    <w:p>
      <w:pPr>
        <w:pStyle w:val="null3"/>
        <w:ind w:firstLine="422"/>
        <w:jc w:val="both"/>
      </w:pPr>
      <w:r>
        <w:rPr>
          <w:sz w:val="21"/>
          <w:b/>
        </w:rPr>
        <w:t>6.1甲方权利与义务</w:t>
      </w:r>
    </w:p>
    <w:p>
      <w:pPr>
        <w:pStyle w:val="null3"/>
        <w:ind w:right="180" w:firstLine="210"/>
        <w:jc w:val="both"/>
      </w:pPr>
      <w:r>
        <w:rPr>
          <w:sz w:val="21"/>
        </w:rPr>
        <w:t>6.1.1 甲方有权对乙方的服务进行监督和检查。有权定期核对乙方提供服务所配备的人员数量，对甲方认为不合理的部分有权下达整改通知书，并要求乙方限期整改。</w:t>
      </w:r>
    </w:p>
    <w:p>
      <w:pPr>
        <w:pStyle w:val="null3"/>
        <w:ind w:right="180" w:firstLine="210"/>
        <w:jc w:val="both"/>
      </w:pPr>
      <w:r>
        <w:rPr>
          <w:sz w:val="21"/>
        </w:rPr>
        <w:t>6.1.2 甲方有权依据双方约定的考评办法对乙方提供的服务进行定期考评，当考评结果未达标，有权依据考评办法约定的数额扣除合同金额。</w:t>
      </w:r>
    </w:p>
    <w:p>
      <w:pPr>
        <w:pStyle w:val="null3"/>
        <w:ind w:right="180" w:firstLine="210"/>
        <w:jc w:val="both"/>
      </w:pPr>
      <w:r>
        <w:rPr>
          <w:sz w:val="21"/>
        </w:rPr>
        <w:t>6.1.3 乙方违反本合同的条款时，按合同规定对乙方作出责任追究。</w:t>
      </w:r>
    </w:p>
    <w:p>
      <w:pPr>
        <w:pStyle w:val="null3"/>
        <w:ind w:right="180" w:firstLine="210"/>
        <w:jc w:val="both"/>
      </w:pPr>
      <w:r>
        <w:rPr>
          <w:sz w:val="21"/>
        </w:rPr>
        <w:t>6.1.4 甲方有义务根据本合同规定支付服务费。</w:t>
      </w:r>
    </w:p>
    <w:p>
      <w:pPr>
        <w:pStyle w:val="null3"/>
        <w:ind w:right="180" w:firstLine="210"/>
        <w:jc w:val="both"/>
      </w:pPr>
      <w:r>
        <w:rPr>
          <w:sz w:val="21"/>
        </w:rPr>
        <w:t>6.1.5 甲方在订立合同、合同履约过程中知悉的商业秘密或者其他应当保密的信息，不得泄露或者不正当使用。</w:t>
      </w:r>
    </w:p>
    <w:p>
      <w:pPr>
        <w:pStyle w:val="null3"/>
        <w:ind w:right="180" w:firstLine="210"/>
        <w:jc w:val="both"/>
      </w:pPr>
      <w:r>
        <w:rPr>
          <w:sz w:val="21"/>
        </w:rPr>
        <w:t>6.1.6 未经乙方同意，甲方不得转让本合同中所享受的权利。</w:t>
      </w:r>
    </w:p>
    <w:p>
      <w:pPr>
        <w:pStyle w:val="null3"/>
        <w:ind w:right="180" w:firstLine="210"/>
        <w:jc w:val="both"/>
      </w:pPr>
      <w:r>
        <w:rPr>
          <w:sz w:val="21"/>
        </w:rPr>
        <w:t>6.1.7若本合同第二部分专用条款内有其他甲方权利与义务规定，仍作为甲方权利与义务。</w:t>
      </w:r>
    </w:p>
    <w:p>
      <w:pPr>
        <w:pStyle w:val="null3"/>
        <w:ind w:firstLine="211"/>
        <w:jc w:val="both"/>
      </w:pPr>
      <w:r>
        <w:rPr>
          <w:sz w:val="21"/>
          <w:b/>
        </w:rPr>
        <w:t>6.2 乙方权利与义务</w:t>
      </w:r>
    </w:p>
    <w:p>
      <w:pPr>
        <w:pStyle w:val="null3"/>
        <w:ind w:right="180" w:firstLine="210"/>
        <w:jc w:val="both"/>
      </w:pPr>
      <w:r>
        <w:rPr>
          <w:sz w:val="21"/>
        </w:rPr>
        <w:t>6.2.1 对本合同规定的委托服务范围内的项目享有管理权及服务义务。</w:t>
      </w:r>
    </w:p>
    <w:p>
      <w:pPr>
        <w:pStyle w:val="null3"/>
        <w:ind w:right="180" w:firstLine="210"/>
        <w:jc w:val="both"/>
      </w:pPr>
      <w:r>
        <w:rPr>
          <w:sz w:val="21"/>
        </w:rPr>
        <w:t>6.2.2 根据本合同规定收取服务费。</w:t>
      </w:r>
    </w:p>
    <w:p>
      <w:pPr>
        <w:pStyle w:val="null3"/>
        <w:ind w:right="180" w:firstLine="210"/>
        <w:jc w:val="both"/>
      </w:pPr>
      <w:r>
        <w:rPr>
          <w:sz w:val="21"/>
        </w:rPr>
        <w:t>6.2.3 严格按照合同及有关附件内容所做的承诺提供服务，并接受甲方的监督及检查。</w:t>
      </w:r>
    </w:p>
    <w:p>
      <w:pPr>
        <w:pStyle w:val="null3"/>
        <w:ind w:right="180" w:firstLine="210"/>
        <w:jc w:val="both"/>
      </w:pPr>
      <w:r>
        <w:rPr>
          <w:sz w:val="21"/>
        </w:rPr>
        <w:t>6.2.4 及时向甲方通告本项目服务范围内有关的重要事项，及时配合处理投诉。</w:t>
      </w:r>
    </w:p>
    <w:p>
      <w:pPr>
        <w:pStyle w:val="null3"/>
        <w:ind w:right="180" w:firstLine="210"/>
        <w:jc w:val="both"/>
      </w:pPr>
      <w:r>
        <w:rPr>
          <w:sz w:val="21"/>
        </w:rPr>
        <w:t>6.2.5 乙方及其工作人员对因履行本合同而获知的甲方的任何信息均负有保密义务，不得将其用于本合同以外的用途或向任何第三方泄露。并且该保密义务不因本合同的终止而终止。</w:t>
      </w:r>
    </w:p>
    <w:p>
      <w:pPr>
        <w:pStyle w:val="null3"/>
        <w:ind w:right="180" w:firstLine="210"/>
        <w:jc w:val="both"/>
      </w:pPr>
      <w:r>
        <w:rPr>
          <w:sz w:val="21"/>
        </w:rPr>
        <w:t>6.2.6 合同终止后，乙方应尽力协助甲方做好交接和善后工作，撤场时应做好财产交接工作，对属于甲方的场地、设备和工具不得破坏和丢失，离场时应自觉接受甲方检查，否则按违约处理。</w:t>
      </w:r>
    </w:p>
    <w:p>
      <w:pPr>
        <w:pStyle w:val="null3"/>
        <w:ind w:right="180" w:firstLine="210"/>
        <w:jc w:val="both"/>
      </w:pPr>
      <w:r>
        <w:rPr>
          <w:sz w:val="21"/>
        </w:rPr>
        <w:t>6.2.7 未经甲方书面同意，不得部分或全部转让本合同项下的权利和义务。</w:t>
      </w:r>
    </w:p>
    <w:p>
      <w:pPr>
        <w:pStyle w:val="null3"/>
        <w:ind w:right="180" w:firstLine="210"/>
        <w:jc w:val="both"/>
      </w:pPr>
      <w:r>
        <w:rPr>
          <w:sz w:val="21"/>
        </w:rPr>
        <w:t>6.2.8若本合同第二部分专用条款内有其他乙方权利与义务规定，仍作为乙方权利与义务。</w:t>
      </w:r>
    </w:p>
    <w:p>
      <w:pPr>
        <w:pStyle w:val="null3"/>
        <w:jc w:val="both"/>
      </w:pPr>
      <w:r>
        <w:rPr>
          <w:sz w:val="21"/>
          <w:b/>
        </w:rPr>
        <w:t>6.</w:t>
      </w:r>
      <w:r>
        <w:rPr>
          <w:sz w:val="21"/>
          <w:b/>
        </w:rPr>
        <w:t xml:space="preserve"> </w:t>
      </w:r>
      <w:r>
        <w:rPr>
          <w:sz w:val="21"/>
          <w:b/>
        </w:rPr>
        <w:t>违约责任</w:t>
      </w:r>
    </w:p>
    <w:p>
      <w:pPr>
        <w:pStyle w:val="null3"/>
        <w:ind w:firstLine="211"/>
        <w:jc w:val="both"/>
      </w:pPr>
      <w:r>
        <w:rPr>
          <w:sz w:val="21"/>
          <w:b/>
        </w:rPr>
        <w:t xml:space="preserve">6.1 </w:t>
      </w:r>
      <w:r>
        <w:rPr>
          <w:sz w:val="21"/>
          <w:b/>
        </w:rPr>
        <w:t>甲方违约责任</w:t>
      </w:r>
    </w:p>
    <w:p>
      <w:pPr>
        <w:pStyle w:val="null3"/>
        <w:ind w:right="180" w:firstLine="210"/>
        <w:jc w:val="both"/>
      </w:pPr>
      <w:r>
        <w:rPr>
          <w:sz w:val="21"/>
        </w:rPr>
        <w:t>6.1.1 签订本合同后，服务未开始提供前，甲方单方原因提出解除合同的，应向乙方支付中标金额20%的违约金，即       元（人民币         元整），因本合同而预付给乙方的款项应退回给甲方，甲方不再承担赔偿责任。</w:t>
      </w:r>
    </w:p>
    <w:p>
      <w:pPr>
        <w:pStyle w:val="null3"/>
        <w:ind w:right="180" w:firstLine="210"/>
        <w:jc w:val="both"/>
      </w:pPr>
      <w:r>
        <w:rPr>
          <w:sz w:val="21"/>
        </w:rPr>
        <w:t xml:space="preserve">6.1.2 </w:t>
      </w:r>
      <w:r>
        <w:rPr>
          <w:sz w:val="21"/>
        </w:rPr>
        <w:t>甲方逾期支付款项，每逾期一天，按照应付未付的合同款的</w:t>
      </w:r>
      <w:r>
        <w:rPr>
          <w:sz w:val="21"/>
        </w:rPr>
        <w:t>1‰支付违约金，违约金累计不超过合同预算金额20%。</w:t>
      </w:r>
    </w:p>
    <w:p>
      <w:pPr>
        <w:pStyle w:val="null3"/>
        <w:ind w:right="180" w:firstLine="210"/>
        <w:jc w:val="both"/>
      </w:pPr>
      <w:r>
        <w:rPr>
          <w:sz w:val="21"/>
        </w:rPr>
        <w:t>6.1.3 因泄露或者不正当使用在订立合同、合同履约过程中知悉的商业秘密或者其他应当保密的信息，导致乙方损失的，应当承担赔偿责任。</w:t>
      </w:r>
    </w:p>
    <w:p>
      <w:pPr>
        <w:pStyle w:val="null3"/>
        <w:ind w:right="180" w:firstLine="210"/>
        <w:jc w:val="both"/>
      </w:pPr>
      <w:r>
        <w:rPr>
          <w:sz w:val="21"/>
        </w:rPr>
        <w:t>6.1.4 未经乙方同意，将本合同的权利部分或全部事项转让给其他第三方的，乙方有权解除合同，甲方需向乙方支付合同金额20%的违约金，已经预付给乙方的款项应退回给甲方。</w:t>
      </w:r>
    </w:p>
    <w:p>
      <w:pPr>
        <w:pStyle w:val="null3"/>
        <w:ind w:right="180" w:firstLine="210"/>
        <w:jc w:val="both"/>
      </w:pPr>
      <w:r>
        <w:rPr>
          <w:sz w:val="21"/>
        </w:rPr>
        <w:t>6.1.5若本合同第二部分专用条款内有甲方违约责任规定，仍作为甲方违约责任。</w:t>
      </w:r>
    </w:p>
    <w:p>
      <w:pPr>
        <w:pStyle w:val="null3"/>
        <w:ind w:firstLine="211"/>
        <w:jc w:val="both"/>
      </w:pPr>
      <w:r>
        <w:rPr>
          <w:sz w:val="21"/>
          <w:b/>
        </w:rPr>
        <w:t xml:space="preserve">6.2 </w:t>
      </w:r>
      <w:r>
        <w:rPr>
          <w:sz w:val="21"/>
          <w:b/>
        </w:rPr>
        <w:t>乙方违约责任</w:t>
      </w:r>
    </w:p>
    <w:p>
      <w:pPr>
        <w:pStyle w:val="null3"/>
        <w:ind w:right="180" w:firstLine="210"/>
        <w:jc w:val="both"/>
      </w:pPr>
      <w:r>
        <w:rPr>
          <w:sz w:val="21"/>
        </w:rPr>
        <w:t>6.2.1 合同期满前，乙方单方原因提出解除合同的，应向甲方支付本合同金额20%的违约金，因本合同而预付给乙方的款项应退回给甲方，甲方不承担任何赔偿责任，甲方有权将乙方列入甲方供应商的黑名单内。</w:t>
      </w:r>
    </w:p>
    <w:p>
      <w:pPr>
        <w:pStyle w:val="null3"/>
        <w:ind w:right="180" w:firstLine="210"/>
        <w:jc w:val="both"/>
      </w:pPr>
      <w:r>
        <w:rPr>
          <w:sz w:val="21"/>
        </w:rPr>
        <w:t>6.2.2 乙方未能按本合同规定的时间提供服务，从逾期之日起乙方每天应向甲方支付本合同金额1‰的违约金，逾期15个自然日及以上的，甲方有权单方终止合同，乙方需向甲方支付合同金额20%的违约金，因本合同而预付给乙方的款项应退回给甲方，甲方不承担任何赔偿责任，甲方有权将乙方列入甲方供应商的黑名单内。</w:t>
      </w:r>
    </w:p>
    <w:p>
      <w:pPr>
        <w:pStyle w:val="null3"/>
        <w:ind w:right="180" w:firstLine="210"/>
        <w:jc w:val="both"/>
      </w:pPr>
      <w:r>
        <w:rPr>
          <w:sz w:val="21"/>
        </w:rPr>
        <w:t>6.2.3 乙方提供的服务不符合本合同规定的，甲方有权拒收，乙方应自拒收之日起5个自然日内作出整改，逾期整改的，从逾期之日起每天应向甲方支付本合同金额1‰的违约金，逾期15个自然日及以上的，甲方有权单方终止合同，乙方需向甲方支付合同金额20%的违约金，因本合同而预付给乙方的款项应退回给甲方，甲方不承担任何赔偿责任，甲方有权将乙方列入甲方供应商的黑名单内。</w:t>
      </w:r>
    </w:p>
    <w:p>
      <w:pPr>
        <w:pStyle w:val="null3"/>
        <w:ind w:right="180" w:firstLine="210"/>
        <w:jc w:val="both"/>
      </w:pPr>
      <w:r>
        <w:rPr>
          <w:sz w:val="21"/>
        </w:rPr>
        <w:t>6.2.4 乙方因泄露或者不正当使用其知悉的商业秘密或者其他应当保密的信息，导致甲方损失的，应当承担赔偿责任。</w:t>
      </w:r>
    </w:p>
    <w:p>
      <w:pPr>
        <w:pStyle w:val="null3"/>
        <w:ind w:right="180" w:firstLine="210"/>
        <w:jc w:val="both"/>
      </w:pPr>
      <w:r>
        <w:rPr>
          <w:sz w:val="21"/>
        </w:rPr>
        <w:t>6.2.5 未经甲方书面同意，乙方将本合同委托的部分或全部事项转委托其他第三方的，甲方有权单方解除合同，乙方需向甲方支付合同金额20%的违约金，已经预付给乙方的款项应退回给甲方。</w:t>
      </w:r>
    </w:p>
    <w:p>
      <w:pPr>
        <w:pStyle w:val="null3"/>
        <w:ind w:right="180" w:firstLine="210"/>
        <w:jc w:val="both"/>
      </w:pPr>
      <w:r>
        <w:rPr>
          <w:sz w:val="21"/>
        </w:rPr>
        <w:t>6.2.6 合同终止后，乙方未尽力协助甲方做好交接和善后工作的，需向甲方支付合同金额20%的违约金，甲方有权将乙方列入甲方供应商的黑名单内。对甲方的场地、设备和工具如有破坏和丢失的，乙方需赔偿并承担相关法律责任。</w:t>
      </w:r>
    </w:p>
    <w:p>
      <w:pPr>
        <w:pStyle w:val="null3"/>
        <w:ind w:right="180" w:firstLine="210"/>
        <w:jc w:val="both"/>
      </w:pPr>
      <w:r>
        <w:rPr>
          <w:sz w:val="21"/>
        </w:rPr>
        <w:t>6.2.7若本合同第二部分专用条款内有乙方违约责任规定，仍作为乙方违约责任。</w:t>
      </w:r>
    </w:p>
    <w:p>
      <w:pPr>
        <w:pStyle w:val="null3"/>
        <w:ind w:right="180" w:firstLine="210"/>
        <w:jc w:val="both"/>
      </w:pPr>
      <w:r>
        <w:rPr>
          <w:sz w:val="21"/>
          <w:b/>
        </w:rPr>
        <w:t>7.</w:t>
      </w:r>
      <w:r>
        <w:rPr>
          <w:sz w:val="21"/>
          <w:b/>
        </w:rPr>
        <w:t>合同终止</w:t>
      </w:r>
    </w:p>
    <w:p>
      <w:pPr>
        <w:pStyle w:val="null3"/>
        <w:ind w:right="180" w:firstLine="210"/>
        <w:jc w:val="both"/>
      </w:pPr>
      <w:r>
        <w:rPr>
          <w:sz w:val="21"/>
        </w:rPr>
        <w:t>7.1 出现下列情形之一的，本项目合同终止：</w:t>
      </w:r>
    </w:p>
    <w:p>
      <w:pPr>
        <w:pStyle w:val="null3"/>
        <w:ind w:right="180" w:firstLine="210"/>
        <w:jc w:val="both"/>
      </w:pPr>
      <w:r>
        <w:rPr>
          <w:sz w:val="21"/>
        </w:rPr>
        <w:t>7.1.1 本项目合同期满。</w:t>
      </w:r>
    </w:p>
    <w:p>
      <w:pPr>
        <w:pStyle w:val="null3"/>
        <w:ind w:right="180" w:firstLine="210"/>
        <w:jc w:val="both"/>
      </w:pPr>
      <w:r>
        <w:rPr>
          <w:sz w:val="21"/>
        </w:rPr>
        <w:t>7.1.2 经双方协商一致解除本项目合同。</w:t>
      </w:r>
    </w:p>
    <w:p>
      <w:pPr>
        <w:pStyle w:val="null3"/>
        <w:ind w:right="180" w:firstLine="210"/>
        <w:jc w:val="both"/>
      </w:pPr>
      <w:r>
        <w:rPr>
          <w:sz w:val="21"/>
        </w:rPr>
        <w:t>7.1.3 在本合同服务期内，因不可抗力原因导致本合同无法继续履行的，由此造成的损失双方互不承担责任。</w:t>
      </w:r>
    </w:p>
    <w:p>
      <w:pPr>
        <w:pStyle w:val="null3"/>
        <w:ind w:right="180" w:firstLine="210"/>
        <w:jc w:val="both"/>
      </w:pPr>
      <w:r>
        <w:rPr>
          <w:sz w:val="21"/>
        </w:rPr>
        <w:t>7.1.4 在合同执行过程中，出现涉及廉政问题。</w:t>
      </w:r>
    </w:p>
    <w:p>
      <w:pPr>
        <w:pStyle w:val="null3"/>
        <w:ind w:right="180" w:firstLine="210"/>
        <w:jc w:val="both"/>
      </w:pPr>
      <w:r>
        <w:rPr>
          <w:sz w:val="21"/>
        </w:rPr>
        <w:t>7.1.5 乙方发生下列情况之一，甲方有权单方终止合同的全部或部分，不需承担赔偿责任：</w:t>
      </w:r>
    </w:p>
    <w:p>
      <w:pPr>
        <w:pStyle w:val="null3"/>
        <w:ind w:right="180" w:firstLine="210"/>
        <w:jc w:val="both"/>
      </w:pPr>
      <w:r>
        <w:rPr>
          <w:sz w:val="21"/>
        </w:rPr>
        <w:t>（</w:t>
      </w:r>
      <w:r>
        <w:rPr>
          <w:sz w:val="21"/>
        </w:rPr>
        <w:t>1）依照国家有关法律、法规的规定,宣告破产、倒闭；</w:t>
      </w:r>
    </w:p>
    <w:p>
      <w:pPr>
        <w:pStyle w:val="null3"/>
        <w:ind w:right="180" w:firstLine="210"/>
        <w:jc w:val="both"/>
      </w:pPr>
      <w:r>
        <w:rPr>
          <w:sz w:val="21"/>
        </w:rPr>
        <w:t>（</w:t>
      </w:r>
      <w:r>
        <w:rPr>
          <w:sz w:val="21"/>
        </w:rPr>
        <w:t>2）办理清算；</w:t>
      </w:r>
    </w:p>
    <w:p>
      <w:pPr>
        <w:pStyle w:val="null3"/>
        <w:ind w:right="180" w:firstLine="210"/>
        <w:jc w:val="both"/>
      </w:pPr>
      <w:r>
        <w:rPr>
          <w:sz w:val="21"/>
        </w:rPr>
        <w:t>（</w:t>
      </w:r>
      <w:r>
        <w:rPr>
          <w:sz w:val="21"/>
        </w:rPr>
        <w:t>3）办理公司的重整；</w:t>
      </w:r>
    </w:p>
    <w:p>
      <w:pPr>
        <w:pStyle w:val="null3"/>
        <w:ind w:right="180" w:firstLine="210"/>
        <w:jc w:val="both"/>
      </w:pPr>
      <w:r>
        <w:rPr>
          <w:sz w:val="21"/>
        </w:rPr>
        <w:t>（</w:t>
      </w:r>
      <w:r>
        <w:rPr>
          <w:sz w:val="21"/>
        </w:rPr>
        <w:t>4）与其他公司进行合并；</w:t>
      </w:r>
    </w:p>
    <w:p>
      <w:pPr>
        <w:pStyle w:val="null3"/>
        <w:ind w:right="180" w:firstLine="210"/>
        <w:jc w:val="both"/>
      </w:pPr>
      <w:r>
        <w:rPr>
          <w:sz w:val="21"/>
        </w:rPr>
        <w:t>（</w:t>
      </w:r>
      <w:r>
        <w:rPr>
          <w:sz w:val="21"/>
        </w:rPr>
        <w:t>5）经甲方确认已经丧失偿还债务的能力；</w:t>
      </w:r>
    </w:p>
    <w:p>
      <w:pPr>
        <w:pStyle w:val="null3"/>
        <w:ind w:right="180" w:firstLine="210"/>
        <w:jc w:val="both"/>
      </w:pPr>
      <w:r>
        <w:rPr>
          <w:sz w:val="21"/>
        </w:rPr>
        <w:t>（</w:t>
      </w:r>
      <w:r>
        <w:rPr>
          <w:sz w:val="21"/>
        </w:rPr>
        <w:t>6）在服务过程中出现不配合、出现质量问题等；</w:t>
      </w:r>
    </w:p>
    <w:p>
      <w:pPr>
        <w:pStyle w:val="null3"/>
        <w:ind w:right="180" w:firstLine="210"/>
        <w:jc w:val="both"/>
      </w:pPr>
      <w:r>
        <w:rPr>
          <w:sz w:val="21"/>
        </w:rPr>
        <w:t>（</w:t>
      </w:r>
      <w:r>
        <w:rPr>
          <w:sz w:val="21"/>
        </w:rPr>
        <w:t>7）违反合同重要条款约定；</w:t>
      </w:r>
    </w:p>
    <w:p>
      <w:pPr>
        <w:pStyle w:val="null3"/>
        <w:ind w:right="180" w:firstLine="210"/>
        <w:jc w:val="both"/>
      </w:pPr>
      <w:r>
        <w:rPr>
          <w:sz w:val="21"/>
        </w:rPr>
        <w:t>（</w:t>
      </w:r>
      <w:r>
        <w:rPr>
          <w:sz w:val="21"/>
        </w:rPr>
        <w:t>8）不严格执行中标价格。</w:t>
      </w:r>
    </w:p>
    <w:p>
      <w:pPr>
        <w:pStyle w:val="null3"/>
        <w:ind w:right="180" w:firstLine="210"/>
        <w:jc w:val="both"/>
      </w:pPr>
      <w:r>
        <w:rPr>
          <w:sz w:val="21"/>
        </w:rPr>
        <w:t>7.2 本合同依照合同规定全部或部分终止后，乙方应在甲方规定的时间内撤走所有人员与工具及器械等。否则乙方放在甲方场地内的工具、器械等将被视为废弃物，甲方有权处理，处理费用由乙方负责。</w:t>
      </w:r>
    </w:p>
    <w:p>
      <w:pPr>
        <w:pStyle w:val="null3"/>
        <w:ind w:right="180" w:firstLine="210"/>
        <w:jc w:val="both"/>
      </w:pPr>
      <w:r>
        <w:rPr>
          <w:sz w:val="21"/>
          <w:b/>
        </w:rPr>
        <w:t>8.</w:t>
      </w:r>
      <w:r>
        <w:rPr>
          <w:sz w:val="21"/>
          <w:b/>
        </w:rPr>
        <w:t>争议的解决</w:t>
      </w:r>
    </w:p>
    <w:p>
      <w:pPr>
        <w:pStyle w:val="null3"/>
        <w:ind w:right="180" w:firstLine="210"/>
        <w:jc w:val="both"/>
      </w:pPr>
      <w:r>
        <w:rPr>
          <w:sz w:val="21"/>
        </w:rPr>
        <w:t>8.1 合同执行过程中发生的任何争议，如双方不能通过友好协商解决，可向甲方所在地顺德区人民法院提起诉讼解决争议。</w:t>
      </w:r>
    </w:p>
    <w:p>
      <w:pPr>
        <w:pStyle w:val="null3"/>
        <w:ind w:right="180" w:firstLine="210"/>
        <w:jc w:val="both"/>
      </w:pPr>
      <w:r>
        <w:rPr>
          <w:sz w:val="21"/>
        </w:rPr>
        <w:t>8.2 法院审理期间，除提交法院审理的事项外，其它无争议的事项和条款仍应继续履行。</w:t>
      </w:r>
    </w:p>
    <w:p>
      <w:pPr>
        <w:pStyle w:val="null3"/>
        <w:ind w:right="180" w:firstLine="210"/>
        <w:jc w:val="both"/>
      </w:pPr>
      <w:r>
        <w:rPr>
          <w:sz w:val="21"/>
          <w:b/>
        </w:rPr>
        <w:t>9.</w:t>
      </w:r>
      <w:r>
        <w:rPr>
          <w:sz w:val="21"/>
          <w:b/>
        </w:rPr>
        <w:t>不可抗力：</w:t>
      </w:r>
    </w:p>
    <w:p>
      <w:pPr>
        <w:pStyle w:val="null3"/>
        <w:ind w:right="180" w:firstLine="210"/>
        <w:jc w:val="both"/>
      </w:pPr>
      <w:r>
        <w:rPr>
          <w:sz w:val="21"/>
        </w:rPr>
        <w:t>9.1 任何一方由于不可抗力原因不能履行合同时，应在不可抗力事件发生之日起1个自然日内向对方通报，以减轻可能给对方造成的损失，在取得有关机构的不可抗力证明或双方谅解确认后，允许延期履行或修订合同，并根据情况可部分或全部免于承担违约责任。</w:t>
      </w:r>
    </w:p>
    <w:p>
      <w:pPr>
        <w:pStyle w:val="null3"/>
        <w:ind w:right="180" w:firstLine="210"/>
        <w:jc w:val="both"/>
      </w:pPr>
      <w:r>
        <w:rPr>
          <w:sz w:val="21"/>
          <w:b/>
        </w:rPr>
        <w:t>10.</w:t>
      </w:r>
      <w:r>
        <w:rPr>
          <w:sz w:val="21"/>
          <w:b/>
        </w:rPr>
        <w:t>税费：</w:t>
      </w:r>
    </w:p>
    <w:p>
      <w:pPr>
        <w:pStyle w:val="null3"/>
        <w:ind w:right="180" w:firstLine="210"/>
        <w:jc w:val="both"/>
      </w:pPr>
      <w:r>
        <w:rPr>
          <w:sz w:val="21"/>
        </w:rPr>
        <w:t>10.1 在中国境内、外发生的与本合同执行有关的一切税费及不可预见费均由乙方负担。</w:t>
      </w:r>
    </w:p>
    <w:p>
      <w:pPr>
        <w:pStyle w:val="null3"/>
        <w:ind w:right="180" w:firstLine="210"/>
        <w:jc w:val="both"/>
      </w:pPr>
      <w:r>
        <w:rPr>
          <w:sz w:val="21"/>
          <w:b/>
        </w:rPr>
        <w:t>11.</w:t>
      </w:r>
      <w:r>
        <w:rPr>
          <w:sz w:val="21"/>
          <w:b/>
        </w:rPr>
        <w:t>其它</w:t>
      </w:r>
    </w:p>
    <w:p>
      <w:pPr>
        <w:pStyle w:val="null3"/>
        <w:ind w:right="180" w:firstLine="210"/>
        <w:jc w:val="both"/>
      </w:pPr>
      <w:r>
        <w:rPr>
          <w:sz w:val="21"/>
        </w:rPr>
        <w:t>11.1 在执行本合同的过程中，所有经双方签署确认的文件（包括但不限于会议纪要、补充协议、往来信函、澄清）采购文件、要约文件、乙方的报价承诺、响应承诺文件、合同附件及招投标文件、中标通知书等，即成为本合同的有效组成部分。</w:t>
      </w:r>
    </w:p>
    <w:p>
      <w:pPr>
        <w:pStyle w:val="null3"/>
        <w:ind w:right="180" w:firstLine="210"/>
        <w:jc w:val="both"/>
      </w:pPr>
      <w:r>
        <w:rPr>
          <w:sz w:val="21"/>
        </w:rPr>
        <w:t>11.2 如一方地址、电话、传真号码有变更，应在变更当日内书面通知对方，否则，因此造成的损失由未履行通知义务方承担相应责任。</w:t>
      </w:r>
    </w:p>
    <w:p>
      <w:pPr>
        <w:pStyle w:val="null3"/>
        <w:ind w:right="180" w:firstLine="210"/>
        <w:jc w:val="both"/>
      </w:pPr>
      <w:r>
        <w:rPr>
          <w:sz w:val="21"/>
        </w:rPr>
        <w:t>11.3 本合同履行情况应接受甲方纪检监察、审计部门和上级纪检监察等机构的监督及检查、调查。甲方有权定期或不定期检查与乙方服务相关的佐证资料，乙方必须无条件配合提供相关资料。乙方如有违反本合同的相关条款，将列入不诚信公司名录，并上报上级监督部门。</w:t>
      </w:r>
    </w:p>
    <w:p>
      <w:pPr>
        <w:pStyle w:val="null3"/>
        <w:ind w:right="180" w:firstLine="210"/>
        <w:jc w:val="both"/>
      </w:pPr>
      <w:r>
        <w:rPr>
          <w:sz w:val="21"/>
          <w:b/>
        </w:rPr>
        <w:t>12.</w:t>
      </w:r>
      <w:r>
        <w:rPr>
          <w:sz w:val="21"/>
          <w:b/>
        </w:rPr>
        <w:t>合同生效：</w:t>
      </w:r>
    </w:p>
    <w:p>
      <w:pPr>
        <w:pStyle w:val="null3"/>
        <w:ind w:right="180" w:firstLine="210"/>
        <w:jc w:val="both"/>
      </w:pPr>
      <w:r>
        <w:rPr>
          <w:sz w:val="21"/>
        </w:rPr>
        <w:t>12.1 本合同在甲乙双方法定代表人或其授权委托人签字并盖章之日起生效。</w:t>
      </w:r>
    </w:p>
    <w:p>
      <w:pPr>
        <w:pStyle w:val="null3"/>
        <w:ind w:right="180" w:firstLine="210"/>
        <w:jc w:val="both"/>
      </w:pPr>
      <w:r>
        <w:rPr>
          <w:sz w:val="21"/>
        </w:rPr>
        <w:t>12.2 合同一式伍份，五份合同具有相同的法律效力，本合同甲方持肆份，乙方持壹份。</w:t>
      </w:r>
    </w:p>
    <w:p>
      <w:pPr>
        <w:pStyle w:val="null3"/>
        <w:ind w:right="180" w:firstLine="210"/>
        <w:jc w:val="both"/>
      </w:pPr>
      <w:r>
        <w:rPr>
          <w:sz w:val="21"/>
        </w:rPr>
        <w:t>12.3 本合同未尽事项，需经双方共同协商，作出补充规定，补充规定与本合同有同等法律效力。</w:t>
      </w:r>
    </w:p>
    <w:p>
      <w:pPr>
        <w:pStyle w:val="null3"/>
        <w:ind w:right="180" w:firstLine="210"/>
        <w:jc w:val="both"/>
      </w:pPr>
      <w:r>
        <w:rPr>
          <w:sz w:val="21"/>
          <w:b/>
        </w:rPr>
        <w:t>13.</w:t>
      </w:r>
      <w:r>
        <w:rPr>
          <w:sz w:val="21"/>
          <w:b/>
        </w:rPr>
        <w:t>合同附件：</w:t>
      </w:r>
    </w:p>
    <w:p>
      <w:pPr>
        <w:pStyle w:val="null3"/>
        <w:ind w:right="180" w:firstLine="210"/>
        <w:jc w:val="both"/>
      </w:pPr>
      <w:r>
        <w:rPr>
          <w:sz w:val="21"/>
        </w:rPr>
        <w:t>附件</w:t>
      </w:r>
      <w:r>
        <w:rPr>
          <w:sz w:val="21"/>
        </w:rPr>
        <w:t>1：《服务清单要求》</w:t>
      </w:r>
    </w:p>
    <w:p>
      <w:pPr>
        <w:pStyle w:val="null3"/>
        <w:ind w:right="180" w:firstLine="210"/>
        <w:jc w:val="both"/>
      </w:pPr>
      <w:r>
        <w:rPr>
          <w:sz w:val="21"/>
        </w:rPr>
        <w:t>附件</w:t>
      </w:r>
      <w:r>
        <w:rPr>
          <w:sz w:val="21"/>
        </w:rPr>
        <w:t>2：《中小微企业证明》</w:t>
      </w:r>
    </w:p>
    <w:p>
      <w:pPr>
        <w:pStyle w:val="null3"/>
        <w:numPr>
          <w:ilvl w:val="0"/>
          <w:numId w:val="1"/>
        </w:numPr>
        <w:ind w:right="180" w:firstLine="210"/>
        <w:jc w:val="both"/>
      </w:pPr>
      <w:r>
        <w:rPr>
          <w:sz w:val="32"/>
        </w:rPr>
        <w:t xml:space="preserve"> </w:t>
      </w:r>
      <w:r>
        <w:rPr>
          <w:sz w:val="32"/>
        </w:rPr>
        <w:t>专用条款</w:t>
      </w:r>
    </w:p>
    <w:p>
      <w:pPr>
        <w:pStyle w:val="null3"/>
        <w:ind w:right="180" w:firstLine="210"/>
        <w:jc w:val="center"/>
      </w:pPr>
      <w:r>
        <w:rPr>
          <w:sz w:val="21"/>
          <w:i/>
        </w:rPr>
        <w:t>（根据实际情况保留</w:t>
      </w:r>
      <w:r>
        <w:rPr>
          <w:sz w:val="21"/>
          <w:i/>
        </w:rPr>
        <w:t>/修改/删除本部分内容）</w:t>
      </w:r>
    </w:p>
    <w:p>
      <w:pPr>
        <w:pStyle w:val="null3"/>
        <w:ind w:right="75"/>
        <w:jc w:val="left"/>
      </w:pPr>
      <w:r>
        <w:rPr>
          <w:sz w:val="24"/>
          <w:b/>
        </w:rPr>
        <w:t>14.</w:t>
      </w:r>
      <w:r>
        <w:rPr>
          <w:sz w:val="24"/>
          <w:b/>
        </w:rPr>
        <w:t>费用支付</w:t>
      </w:r>
      <w:r>
        <w:rPr>
          <w:sz w:val="24"/>
          <w:i/>
        </w:rPr>
        <w:t>（根据项目实际情况自定义，并由财务科进行审核。）</w:t>
      </w:r>
    </w:p>
    <w:p>
      <w:pPr>
        <w:pStyle w:val="null3"/>
        <w:ind w:right="180" w:firstLine="210"/>
        <w:jc w:val="both"/>
      </w:pPr>
      <w:r>
        <w:rPr>
          <w:sz w:val="21"/>
        </w:rPr>
        <w:t>14.1 实际结算金额=实际结算时当期甲方验收合格入库的实际数量*协议单价。（自定义）</w:t>
      </w:r>
    </w:p>
    <w:p>
      <w:pPr>
        <w:pStyle w:val="null3"/>
        <w:ind w:right="180" w:firstLine="210"/>
        <w:jc w:val="both"/>
      </w:pPr>
      <w:r>
        <w:rPr>
          <w:sz w:val="21"/>
        </w:rPr>
        <w:t>14.2 本合同 按   结算 ，乙方在每月     前向甲方提交上月提供的服务明细数量及金额，经甲方验收确认后，乙方开具与当期应结算金额等额的正规发票交给甲方，甲方收到发票并审核无误后     个自然日内付款。（自定义）</w:t>
      </w:r>
    </w:p>
    <w:p>
      <w:pPr>
        <w:pStyle w:val="null3"/>
        <w:ind w:right="180" w:firstLine="210"/>
        <w:jc w:val="both"/>
      </w:pPr>
      <w:r>
        <w:rPr>
          <w:sz w:val="21"/>
        </w:rPr>
        <w:t>14.3 因乙方原因延期交发票的，甲方付款天数相应顺延。</w:t>
      </w:r>
    </w:p>
    <w:p>
      <w:pPr>
        <w:pStyle w:val="null3"/>
        <w:ind w:right="180" w:firstLine="210"/>
        <w:jc w:val="both"/>
      </w:pPr>
      <w:r>
        <w:rPr>
          <w:sz w:val="21"/>
        </w:rPr>
        <w:t>14.4 因甲方使用的为财政资金，甲方在前款规定的付款时间为向上级主管部门提出办理财政支付申请手续的时间（不含政府财政支付部门审核的时间），在规定时间内提出支付申请手续后即视为甲方已经按期支付。</w:t>
      </w:r>
    </w:p>
    <w:p>
      <w:pPr>
        <w:pStyle w:val="null3"/>
        <w:ind w:right="180" w:firstLine="210"/>
        <w:jc w:val="both"/>
      </w:pPr>
      <w:r>
        <w:rPr>
          <w:sz w:val="21"/>
          <w:b/>
        </w:rPr>
        <w:t>15.</w:t>
      </w:r>
      <w:r>
        <w:rPr>
          <w:sz w:val="21"/>
          <w:b/>
        </w:rPr>
        <w:t>交货要求</w:t>
      </w:r>
      <w:r>
        <w:rPr>
          <w:sz w:val="21"/>
          <w:b/>
        </w:rPr>
        <w:t>：</w:t>
      </w:r>
    </w:p>
    <w:p>
      <w:pPr>
        <w:pStyle w:val="null3"/>
        <w:ind w:right="180" w:firstLine="210"/>
        <w:jc w:val="both"/>
      </w:pPr>
      <w:r>
        <w:rPr>
          <w:sz w:val="21"/>
        </w:rPr>
        <w:t>15.1 交货时间要求：（自定义）</w:t>
      </w:r>
    </w:p>
    <w:p>
      <w:pPr>
        <w:pStyle w:val="null3"/>
        <w:ind w:right="180" w:firstLine="210"/>
        <w:jc w:val="both"/>
      </w:pPr>
      <w:r>
        <w:rPr>
          <w:sz w:val="21"/>
        </w:rPr>
        <w:t>15.2 交货地点：（自定义）</w:t>
      </w:r>
    </w:p>
    <w:p>
      <w:pPr>
        <w:pStyle w:val="null3"/>
        <w:ind w:right="180" w:firstLine="210"/>
        <w:jc w:val="both"/>
      </w:pPr>
      <w:r>
        <w:rPr>
          <w:sz w:val="21"/>
          <w:b/>
        </w:rPr>
        <w:t>16.</w:t>
      </w:r>
      <w:r>
        <w:rPr>
          <w:sz w:val="21"/>
          <w:b/>
        </w:rPr>
        <w:t>验收要求</w:t>
      </w:r>
    </w:p>
    <w:p>
      <w:pPr>
        <w:pStyle w:val="null3"/>
        <w:ind w:right="180" w:firstLine="210"/>
        <w:jc w:val="both"/>
      </w:pPr>
      <w:r>
        <w:rPr>
          <w:sz w:val="21"/>
        </w:rPr>
        <w:t>16.1 服务提供完成后，由乙方发起验收要求，并由甲方2人以上开展验收，出具验收证明，甲方双方验收人员均要在报告上签字确认，并按以下标准进行验收：</w:t>
      </w:r>
    </w:p>
    <w:p>
      <w:pPr>
        <w:pStyle w:val="null3"/>
        <w:ind w:right="180" w:firstLine="210"/>
        <w:jc w:val="both"/>
      </w:pPr>
      <w:r>
        <w:rPr>
          <w:sz w:val="21"/>
        </w:rPr>
        <w:t>（</w:t>
      </w:r>
      <w:r>
        <w:rPr>
          <w:sz w:val="21"/>
        </w:rPr>
        <w:t>1）本合同服务内容及交货要求的条款；</w:t>
      </w:r>
    </w:p>
    <w:p>
      <w:pPr>
        <w:pStyle w:val="null3"/>
        <w:ind w:right="180" w:firstLine="210"/>
        <w:jc w:val="both"/>
      </w:pPr>
      <w:r>
        <w:rPr>
          <w:sz w:val="21"/>
        </w:rPr>
        <w:t>（</w:t>
      </w:r>
      <w:r>
        <w:rPr>
          <w:sz w:val="21"/>
        </w:rPr>
        <w:t>2）本合同的所有附件；</w:t>
      </w:r>
    </w:p>
    <w:p>
      <w:pPr>
        <w:pStyle w:val="null3"/>
        <w:ind w:right="180" w:firstLine="210"/>
        <w:jc w:val="both"/>
      </w:pPr>
      <w:r>
        <w:rPr>
          <w:sz w:val="21"/>
        </w:rPr>
        <w:t>（</w:t>
      </w:r>
      <w:r>
        <w:rPr>
          <w:sz w:val="21"/>
        </w:rPr>
        <w:t>3）所有经双方签署确认的文件（包括但不限于本项目采购文件、报价承诺、补充协议、会议纪要、往来信函、澄清等）；</w:t>
      </w:r>
    </w:p>
    <w:p>
      <w:pPr>
        <w:pStyle w:val="null3"/>
        <w:ind w:right="180" w:firstLine="210"/>
        <w:jc w:val="both"/>
      </w:pPr>
      <w:r>
        <w:rPr>
          <w:sz w:val="21"/>
        </w:rPr>
        <w:t>（</w:t>
      </w:r>
      <w:r>
        <w:rPr>
          <w:sz w:val="21"/>
        </w:rPr>
        <w:t>4）相关法律法规及规范性文件规定的标准；</w:t>
      </w:r>
    </w:p>
    <w:p>
      <w:pPr>
        <w:pStyle w:val="null3"/>
        <w:ind w:right="180" w:firstLine="210"/>
        <w:jc w:val="both"/>
      </w:pPr>
      <w:r>
        <w:rPr>
          <w:sz w:val="21"/>
        </w:rPr>
        <w:t>（</w:t>
      </w:r>
      <w:r>
        <w:rPr>
          <w:sz w:val="21"/>
        </w:rPr>
        <w:t>5）国家、省、市及行业相关标准；</w:t>
      </w:r>
    </w:p>
    <w:p>
      <w:pPr>
        <w:pStyle w:val="null3"/>
        <w:ind w:right="180" w:firstLine="210"/>
        <w:jc w:val="both"/>
      </w:pPr>
      <w:r>
        <w:rPr>
          <w:sz w:val="21"/>
        </w:rPr>
        <w:t>（</w:t>
      </w:r>
      <w:r>
        <w:rPr>
          <w:sz w:val="21"/>
        </w:rPr>
        <w:t>6）乙方保证货物为全新产品，无污染，无侵权行为、表面无划损、无任何缺陷隐患，在中国境内可依常规安全合法使用。</w:t>
      </w:r>
    </w:p>
    <w:p>
      <w:pPr>
        <w:pStyle w:val="null3"/>
        <w:ind w:right="180" w:firstLine="210"/>
        <w:jc w:val="both"/>
      </w:pPr>
      <w:r>
        <w:rPr>
          <w:sz w:val="21"/>
        </w:rPr>
        <w:t>（</w:t>
      </w:r>
      <w:r>
        <w:rPr>
          <w:sz w:val="21"/>
        </w:rPr>
        <w:t>7）甲乙双方如对质量要求和技术指标的约定标准有相互抵触或异议的，按较优胜的原则确定验收标准；</w:t>
      </w:r>
    </w:p>
    <w:p>
      <w:pPr>
        <w:pStyle w:val="null3"/>
        <w:ind w:right="180" w:firstLine="210"/>
        <w:jc w:val="both"/>
      </w:pPr>
      <w:r>
        <w:rPr>
          <w:sz w:val="21"/>
        </w:rPr>
        <w:t>16.2 必要时甲方可邀请相关的专业人员或机构参与验收。因货物质量问题发生争议时，由本地质量技术监督部门鉴定，鉴定费用由乙方垫付。鉴定结果显示货物符合质量技术标准的，鉴定费由甲方承担；否则鉴定费由乙方承担。</w:t>
      </w:r>
    </w:p>
    <w:p>
      <w:pPr>
        <w:pStyle w:val="null3"/>
        <w:ind w:right="180" w:firstLine="210"/>
        <w:jc w:val="both"/>
      </w:pPr>
      <w:r>
        <w:rPr>
          <w:sz w:val="21"/>
        </w:rPr>
        <w:t>16.3 服务期满后，甲方将对乙方的服务进行评价，并将评价结果列入供应商信用目录内，信用目录将作为日后影响供应商选取的标准之一。</w:t>
      </w:r>
    </w:p>
    <w:p>
      <w:pPr>
        <w:pStyle w:val="null3"/>
        <w:ind w:right="180" w:firstLine="210"/>
        <w:jc w:val="both"/>
      </w:pPr>
      <w:r>
        <w:rPr>
          <w:sz w:val="21"/>
        </w:rPr>
        <w:t>16.4（自定义）</w:t>
      </w:r>
    </w:p>
    <w:p>
      <w:pPr>
        <w:pStyle w:val="null3"/>
        <w:ind w:right="180" w:firstLine="210"/>
        <w:jc w:val="both"/>
      </w:pPr>
      <w:r>
        <w:rPr>
          <w:sz w:val="21"/>
        </w:rPr>
        <w:t>16.5（自定义）</w:t>
      </w:r>
    </w:p>
    <w:p>
      <w:pPr>
        <w:pStyle w:val="null3"/>
        <w:ind w:right="180" w:firstLine="210"/>
        <w:jc w:val="both"/>
      </w:pPr>
      <w:r>
        <w:rPr>
          <w:sz w:val="21"/>
        </w:rPr>
        <w:t>16.6（自定义）</w:t>
      </w:r>
    </w:p>
    <w:p>
      <w:pPr>
        <w:pStyle w:val="null3"/>
        <w:ind w:right="180" w:firstLine="210"/>
        <w:jc w:val="both"/>
      </w:pPr>
      <w:r>
        <w:rPr>
          <w:sz w:val="21"/>
          <w:b/>
        </w:rPr>
        <w:t>17.</w:t>
      </w:r>
      <w:r>
        <w:rPr>
          <w:sz w:val="21"/>
          <w:b/>
        </w:rPr>
        <w:t>质保期及售后服务要求</w:t>
      </w:r>
    </w:p>
    <w:p>
      <w:pPr>
        <w:pStyle w:val="null3"/>
        <w:ind w:right="180" w:firstLine="210"/>
        <w:jc w:val="both"/>
      </w:pPr>
      <w:r>
        <w:rPr>
          <w:sz w:val="21"/>
        </w:rPr>
        <w:t>17.1 质保期：（自定义）</w:t>
      </w:r>
    </w:p>
    <w:p>
      <w:pPr>
        <w:pStyle w:val="null3"/>
        <w:ind w:right="180" w:firstLine="210"/>
        <w:jc w:val="both"/>
      </w:pPr>
      <w:r>
        <w:rPr>
          <w:sz w:val="21"/>
        </w:rPr>
        <w:t>17.2 售后服务要求：（自定义）</w:t>
      </w:r>
    </w:p>
    <w:p>
      <w:pPr>
        <w:pStyle w:val="null3"/>
        <w:ind w:right="180" w:firstLine="210"/>
        <w:jc w:val="both"/>
      </w:pPr>
      <w:r>
        <w:rPr>
          <w:sz w:val="21"/>
          <w:b/>
        </w:rPr>
        <w:t>18.</w:t>
      </w:r>
      <w:r>
        <w:rPr>
          <w:sz w:val="21"/>
          <w:b/>
        </w:rPr>
        <w:t>其他服务要求及规定（自定义）</w:t>
      </w:r>
    </w:p>
    <w:p>
      <w:pPr>
        <w:pStyle w:val="null3"/>
        <w:ind w:firstLine="420"/>
        <w:jc w:val="center"/>
      </w:pPr>
      <w:r>
        <w:rPr>
          <w:sz w:val="21"/>
          <w:b/>
        </w:rPr>
        <w:t>（</w:t>
      </w:r>
      <w:r>
        <w:rPr>
          <w:sz w:val="21"/>
          <w:b/>
        </w:rPr>
        <w:t>以下无正文</w:t>
      </w:r>
      <w:r>
        <w:rPr>
          <w:sz w:val="21"/>
          <w:b/>
        </w:rPr>
        <w:t>）</w:t>
      </w:r>
    </w:p>
    <w:p>
      <w:pPr>
        <w:pStyle w:val="null3"/>
        <w:jc w:val="both"/>
      </w:pPr>
      <w:r>
        <w:rPr>
          <w:sz w:val="21"/>
          <w:b/>
        </w:rPr>
        <w:t>甲方（盖章）：广东医科大学顺德妇女</w:t>
      </w:r>
      <w:r>
        <w:rPr>
          <w:sz w:val="21"/>
          <w:b/>
        </w:rPr>
        <w:t>儿童</w:t>
      </w:r>
      <w:r>
        <w:rPr>
          <w:sz w:val="21"/>
          <w:b/>
        </w:rPr>
        <w:t>医院（佛山市顺德区妇幼保健院）</w:t>
      </w:r>
      <w:r>
        <w:rPr>
          <w:sz w:val="21"/>
          <w:b/>
        </w:rPr>
        <w:t xml:space="preserve">  </w:t>
      </w:r>
    </w:p>
    <w:p>
      <w:pPr>
        <w:pStyle w:val="null3"/>
        <w:jc w:val="both"/>
      </w:pPr>
      <w:r>
        <w:rPr>
          <w:sz w:val="21"/>
          <w:b/>
        </w:rPr>
        <w:t xml:space="preserve">                                          </w:t>
      </w:r>
    </w:p>
    <w:p>
      <w:pPr>
        <w:pStyle w:val="null3"/>
        <w:jc w:val="both"/>
      </w:pPr>
      <w:r>
        <w:rPr>
          <w:sz w:val="21"/>
          <w:b/>
        </w:rPr>
        <w:t>法定代表人或其授权委托人</w:t>
      </w:r>
      <w:r>
        <w:rPr>
          <w:sz w:val="21"/>
          <w:b/>
        </w:rPr>
        <w:t>：</w:t>
      </w:r>
    </w:p>
    <w:p>
      <w:pPr>
        <w:pStyle w:val="null3"/>
        <w:jc w:val="both"/>
      </w:pPr>
      <w:r>
        <w:rPr>
          <w:sz w:val="21"/>
          <w:b/>
        </w:rPr>
        <w:t xml:space="preserve">                                                        </w:t>
      </w:r>
    </w:p>
    <w:p>
      <w:pPr>
        <w:pStyle w:val="null3"/>
        <w:jc w:val="both"/>
      </w:pPr>
      <w:r>
        <w:rPr>
          <w:sz w:val="21"/>
          <w:b/>
        </w:rPr>
        <w:t>签订</w:t>
      </w: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jc w:val="both"/>
      </w:pPr>
      <w:r>
        <w:rPr>
          <w:sz w:val="21"/>
          <w:b/>
        </w:rPr>
        <w:t>联系</w:t>
      </w:r>
      <w:r>
        <w:rPr>
          <w:sz w:val="21"/>
          <w:b/>
        </w:rPr>
        <w:t>电话：</w:t>
      </w:r>
    </w:p>
    <w:p>
      <w:pPr>
        <w:pStyle w:val="null3"/>
        <w:jc w:val="both"/>
      </w:pPr>
      <w:r>
        <w:rPr>
          <w:sz w:val="21"/>
          <w:b/>
        </w:rPr>
        <w:t>联系人</w:t>
      </w:r>
      <w:r>
        <w:rPr>
          <w:sz w:val="21"/>
          <w:b/>
        </w:rPr>
        <w:t xml:space="preserve">  </w:t>
      </w:r>
      <w:r>
        <w:rPr>
          <w:sz w:val="21"/>
          <w:b/>
        </w:rPr>
        <w:t>：</w:t>
      </w:r>
      <w:r>
        <w:rPr>
          <w:sz w:val="21"/>
          <w:b/>
        </w:rPr>
        <w:t xml:space="preserve">  </w:t>
      </w:r>
      <w:r>
        <w:rPr>
          <w:sz w:val="21"/>
          <w:b/>
        </w:rPr>
        <w:t xml:space="preserve">             </w:t>
      </w:r>
    </w:p>
    <w:p>
      <w:pPr>
        <w:pStyle w:val="null3"/>
        <w:jc w:val="both"/>
      </w:pPr>
      <w:r>
        <w:rPr>
          <w:sz w:val="21"/>
          <w:b/>
        </w:rPr>
        <w:t>联系</w:t>
      </w:r>
      <w:r>
        <w:rPr>
          <w:sz w:val="21"/>
          <w:b/>
        </w:rPr>
        <w:t>地址：佛山市顺德区大良保健路</w:t>
      </w:r>
      <w:r>
        <w:rPr>
          <w:sz w:val="21"/>
          <w:b/>
        </w:rPr>
        <w:t>3号</w:t>
      </w:r>
    </w:p>
    <w:p>
      <w:pPr>
        <w:pStyle w:val="null3"/>
        <w:jc w:val="both"/>
      </w:pPr>
      <w:r>
        <w:rPr>
          <w:sz w:val="21"/>
          <w:b/>
        </w:rPr>
        <w:t>银行</w:t>
      </w:r>
      <w:r>
        <w:rPr>
          <w:sz w:val="21"/>
          <w:b/>
        </w:rPr>
        <w:t>账</w:t>
      </w:r>
      <w:r>
        <w:rPr>
          <w:sz w:val="21"/>
          <w:b/>
        </w:rPr>
        <w:t>号：</w:t>
      </w:r>
      <w:r>
        <w:rPr>
          <w:sz w:val="21"/>
          <w:b/>
        </w:rPr>
        <w:t xml:space="preserve">  </w:t>
      </w:r>
      <w:r>
        <w:rPr>
          <w:sz w:val="21"/>
          <w:b/>
        </w:rPr>
        <w:t>1361 88000 35014</w:t>
      </w:r>
    </w:p>
    <w:p>
      <w:pPr>
        <w:pStyle w:val="null3"/>
        <w:jc w:val="both"/>
      </w:pPr>
      <w:r>
        <w:rPr>
          <w:sz w:val="21"/>
          <w:b/>
        </w:rPr>
        <w:t>开</w:t>
      </w:r>
      <w:r>
        <w:rPr>
          <w:sz w:val="21"/>
          <w:b/>
        </w:rPr>
        <w:t>户</w:t>
      </w:r>
      <w:r>
        <w:rPr>
          <w:sz w:val="21"/>
          <w:b/>
        </w:rPr>
        <w:t>行：</w:t>
      </w:r>
      <w:r>
        <w:rPr>
          <w:sz w:val="21"/>
          <w:b/>
        </w:rPr>
        <w:t xml:space="preserve">  </w:t>
      </w:r>
      <w:r>
        <w:rPr>
          <w:sz w:val="21"/>
          <w:b/>
        </w:rPr>
        <w:t>广东</w:t>
      </w:r>
      <w:r>
        <w:rPr>
          <w:sz w:val="21"/>
          <w:b/>
        </w:rPr>
        <w:t>顺德农村商业银行股份有限公司</w:t>
      </w:r>
    </w:p>
    <w:p>
      <w:pPr>
        <w:pStyle w:val="null3"/>
        <w:jc w:val="left"/>
      </w:pPr>
      <w:r>
        <w:rPr>
          <w:sz w:val="21"/>
          <w:b/>
        </w:rPr>
        <w:t>乙方（盖章）：</w:t>
      </w:r>
    </w:p>
    <w:p>
      <w:pPr>
        <w:pStyle w:val="null3"/>
        <w:jc w:val="left"/>
      </w:pPr>
      <w:r>
        <w:rPr>
          <w:sz w:val="21"/>
          <w:b/>
        </w:rPr>
        <w:t>法定代表人或其授权委托人</w:t>
      </w:r>
      <w:r>
        <w:rPr>
          <w:sz w:val="21"/>
          <w:b/>
        </w:rPr>
        <w:t>：</w:t>
      </w:r>
    </w:p>
    <w:p>
      <w:pPr>
        <w:pStyle w:val="null3"/>
        <w:jc w:val="left"/>
      </w:pPr>
      <w:r>
        <w:rPr>
          <w:sz w:val="21"/>
          <w:b/>
        </w:rPr>
        <w:t>签订</w:t>
      </w: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jc w:val="both"/>
      </w:pPr>
      <w:r>
        <w:rPr>
          <w:sz w:val="21"/>
          <w:b/>
        </w:rPr>
        <w:t>联系</w:t>
      </w:r>
      <w:r>
        <w:rPr>
          <w:sz w:val="21"/>
          <w:b/>
        </w:rPr>
        <w:t>电话：</w:t>
      </w:r>
    </w:p>
    <w:p>
      <w:pPr>
        <w:pStyle w:val="null3"/>
        <w:jc w:val="both"/>
      </w:pPr>
      <w:r>
        <w:rPr>
          <w:sz w:val="21"/>
          <w:b/>
        </w:rPr>
        <w:t>联系人</w:t>
      </w:r>
      <w:r>
        <w:rPr>
          <w:sz w:val="21"/>
          <w:b/>
        </w:rPr>
        <w:t xml:space="preserve">  </w:t>
      </w:r>
      <w:r>
        <w:rPr>
          <w:sz w:val="21"/>
          <w:b/>
        </w:rPr>
        <w:t>：</w:t>
      </w:r>
      <w:r>
        <w:rPr>
          <w:sz w:val="21"/>
          <w:b/>
        </w:rPr>
        <w:t xml:space="preserve">  </w:t>
      </w:r>
      <w:r>
        <w:rPr>
          <w:sz w:val="21"/>
          <w:b/>
        </w:rPr>
        <w:t xml:space="preserve">             </w:t>
      </w:r>
    </w:p>
    <w:p>
      <w:pPr>
        <w:pStyle w:val="null3"/>
        <w:jc w:val="both"/>
      </w:pPr>
      <w:r>
        <w:rPr>
          <w:sz w:val="21"/>
          <w:b/>
        </w:rPr>
        <w:t>联系</w:t>
      </w:r>
      <w:r>
        <w:rPr>
          <w:sz w:val="21"/>
          <w:b/>
        </w:rPr>
        <w:t>地址：</w:t>
      </w:r>
    </w:p>
    <w:p>
      <w:pPr>
        <w:pStyle w:val="null3"/>
        <w:jc w:val="left"/>
      </w:pPr>
      <w:r>
        <w:rPr>
          <w:sz w:val="21"/>
          <w:b/>
        </w:rPr>
        <w:t>银行</w:t>
      </w:r>
      <w:r>
        <w:rPr>
          <w:sz w:val="21"/>
          <w:b/>
        </w:rPr>
        <w:t>账</w:t>
      </w:r>
      <w:r>
        <w:rPr>
          <w:sz w:val="21"/>
          <w:b/>
        </w:rPr>
        <w:t>号：</w:t>
      </w:r>
    </w:p>
    <w:p>
      <w:pPr>
        <w:pStyle w:val="null3"/>
        <w:jc w:val="left"/>
      </w:pPr>
      <w:r>
        <w:rPr>
          <w:sz w:val="21"/>
          <w:b/>
        </w:rPr>
        <w:t>开</w:t>
      </w:r>
      <w:r>
        <w:rPr>
          <w:sz w:val="21"/>
          <w:b/>
        </w:rPr>
        <w:t>户</w:t>
      </w:r>
      <w:r>
        <w:rPr>
          <w:sz w:val="21"/>
          <w:b/>
        </w:rPr>
        <w:t xml:space="preserve"> </w:t>
      </w:r>
      <w:r>
        <w:rPr>
          <w:sz w:val="21"/>
          <w:b/>
        </w:rPr>
        <w:t>行：</w:t>
      </w:r>
    </w:p>
    <w:p>
      <w:pPr>
        <w:pStyle w:val="null3"/>
        <w:spacing w:before="75"/>
        <w:jc w:val="both"/>
      </w:pPr>
      <w:r>
        <w:rPr>
          <w:sz w:val="28"/>
          <w:b/>
        </w:rPr>
        <w:t>附件</w:t>
      </w:r>
      <w:r>
        <w:rPr>
          <w:sz w:val="28"/>
          <w:b/>
        </w:rPr>
        <w:t>1</w:t>
      </w:r>
      <w:r>
        <w:rPr>
          <w:sz w:val="28"/>
        </w:rPr>
        <w:t>：</w:t>
      </w:r>
    </w:p>
    <w:p>
      <w:pPr>
        <w:pStyle w:val="null3"/>
        <w:spacing w:before="75"/>
        <w:ind w:left="375"/>
        <w:jc w:val="center"/>
      </w:pPr>
      <w:r>
        <w:rPr>
          <w:sz w:val="28"/>
          <w:b/>
        </w:rPr>
        <w:t>服务清单要求</w:t>
      </w:r>
    </w:p>
    <w:tbl>
      <w:tblPr>
        <w:tblW w:w="0" w:type="auto"/>
        <w:tblBorders>
          <w:top w:val="none" w:color="000000" w:sz="4"/>
          <w:left w:val="none" w:color="000000" w:sz="4"/>
          <w:bottom w:val="none" w:color="000000" w:sz="4"/>
          <w:right w:val="none" w:color="000000" w:sz="4"/>
          <w:insideH w:val="none"/>
          <w:insideV w:val="none"/>
        </w:tblBorders>
      </w:tblPr>
      <w:tblGrid>
        <w:gridCol w:w="1088"/>
        <w:gridCol w:w="5705"/>
        <w:gridCol w:w="1512"/>
      </w:tblGrid>
      <w:tr>
        <w:tc>
          <w:tcPr>
            <w:tcW w:type="dxa" w:w="1088"/>
            <w:tcBorders>
              <w:top w:val="single" w:color="000000" w:sz="8"/>
              <w:left w:val="single" w:color="000000" w:sz="8"/>
              <w:bottom w:val="single" w:color="000000" w:sz="8"/>
              <w:right w:val="single" w:color="000000" w:sz="8"/>
            </w:tcBorders>
            <w:tcMar>
              <w:top w:type="dxa" w:w="0"/>
              <w:left w:type="dxa" w:w="120"/>
              <w:bottom w:type="dxa" w:w="0"/>
              <w:right w:type="dxa" w:w="120"/>
            </w:tcMar>
            <w:vAlign w:val="top"/>
          </w:tcPr>
          <w:p>
            <w:pPr>
              <w:pStyle w:val="null3"/>
              <w:spacing w:before="75"/>
              <w:jc w:val="center"/>
            </w:pPr>
            <w:r>
              <w:rPr>
                <w:sz w:val="21"/>
                <w:b/>
              </w:rPr>
              <w:t>序号</w:t>
            </w:r>
          </w:p>
        </w:tc>
        <w:tc>
          <w:tcPr>
            <w:tcW w:type="dxa" w:w="5705"/>
            <w:tcBorders>
              <w:top w:val="single" w:color="000000" w:sz="8"/>
              <w:left w:val="single" w:color="000000" w:sz="8"/>
              <w:bottom w:val="single" w:color="000000" w:sz="8"/>
              <w:right w:val="single" w:color="000000" w:sz="8"/>
            </w:tcBorders>
            <w:tcMar>
              <w:top w:type="dxa" w:w="0"/>
              <w:left w:type="dxa" w:w="120"/>
              <w:bottom w:type="dxa" w:w="0"/>
              <w:right w:type="dxa" w:w="120"/>
            </w:tcMar>
            <w:vAlign w:val="top"/>
          </w:tcPr>
          <w:p>
            <w:pPr>
              <w:pStyle w:val="null3"/>
              <w:spacing w:before="75"/>
              <w:jc w:val="center"/>
            </w:pPr>
            <w:r>
              <w:rPr>
                <w:sz w:val="21"/>
                <w:b/>
              </w:rPr>
              <w:t>具体服务内容</w:t>
            </w:r>
          </w:p>
        </w:tc>
        <w:tc>
          <w:tcPr>
            <w:tcW w:type="dxa" w:w="1512"/>
            <w:tcBorders>
              <w:top w:val="single" w:color="000000" w:sz="8"/>
              <w:left w:val="single" w:color="000000" w:sz="8"/>
              <w:bottom w:val="single" w:color="000000" w:sz="8"/>
              <w:right w:val="single" w:color="000000" w:sz="8"/>
            </w:tcBorders>
            <w:tcMar>
              <w:top w:type="dxa" w:w="0"/>
              <w:left w:type="dxa" w:w="120"/>
              <w:bottom w:type="dxa" w:w="0"/>
              <w:right w:type="dxa" w:w="120"/>
            </w:tcMar>
            <w:vAlign w:val="top"/>
          </w:tcPr>
          <w:p>
            <w:pPr>
              <w:pStyle w:val="null3"/>
              <w:spacing w:before="75"/>
              <w:jc w:val="center"/>
            </w:pPr>
            <w:r>
              <w:rPr>
                <w:sz w:val="21"/>
                <w:b/>
              </w:rPr>
              <w:t>单价</w:t>
            </w:r>
            <w:r>
              <w:rPr>
                <w:sz w:val="21"/>
                <w:b/>
              </w:rPr>
              <w:t>/金额</w:t>
            </w:r>
          </w:p>
        </w:tc>
      </w:tr>
      <w:tr>
        <w:tc>
          <w:tcPr>
            <w:tcW w:type="dxa" w:w="1088"/>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spacing w:before="75"/>
              <w:jc w:val="both"/>
            </w:pPr>
            <w:r>
              <w:rPr>
                <w:sz w:val="21"/>
                <w:b/>
              </w:rPr>
              <w:t>1</w:t>
            </w:r>
          </w:p>
          <w:p>
            <w:pPr>
              <w:pStyle w:val="null3"/>
              <w:spacing w:before="75"/>
              <w:jc w:val="center"/>
            </w:pPr>
          </w:p>
        </w:tc>
        <w:tc>
          <w:tcPr>
            <w:tcW w:type="dxa" w:w="5705"/>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tc>
        <w:tc>
          <w:tcPr>
            <w:tcW w:type="dxa" w:w="1512"/>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tc>
      </w:tr>
      <w:tr>
        <w:tc>
          <w:tcPr>
            <w:tcW w:type="dxa" w:w="1088"/>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b/>
              </w:rPr>
              <w:t>2</w:t>
            </w:r>
          </w:p>
          <w:p>
            <w:pPr>
              <w:pStyle w:val="null3"/>
              <w:spacing w:before="75"/>
              <w:jc w:val="center"/>
            </w:pPr>
          </w:p>
        </w:tc>
        <w:tc>
          <w:tcPr>
            <w:tcW w:type="dxa" w:w="5705"/>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tc>
        <w:tc>
          <w:tcPr>
            <w:tcW w:type="dxa" w:w="1512"/>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tc>
      </w:tr>
      <w:tr>
        <w:tc>
          <w:tcPr>
            <w:tcW w:type="dxa" w:w="1088"/>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b/>
              </w:rPr>
              <w:t>3</w:t>
            </w:r>
          </w:p>
          <w:p>
            <w:pPr>
              <w:pStyle w:val="null3"/>
              <w:spacing w:before="75"/>
              <w:jc w:val="center"/>
            </w:pPr>
          </w:p>
        </w:tc>
        <w:tc>
          <w:tcPr>
            <w:tcW w:type="dxa" w:w="5705"/>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tc>
        <w:tc>
          <w:tcPr>
            <w:tcW w:type="dxa" w:w="1512"/>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tc>
      </w:tr>
      <w:tr>
        <w:tc>
          <w:tcPr>
            <w:tcW w:type="dxa" w:w="1088"/>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b/>
              </w:rPr>
              <w:t>...</w:t>
            </w:r>
          </w:p>
        </w:tc>
        <w:tc>
          <w:tcPr>
            <w:tcW w:type="dxa" w:w="5705"/>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spacing w:before="75"/>
              <w:jc w:val="both"/>
            </w:pPr>
          </w:p>
        </w:tc>
        <w:tc>
          <w:tcPr>
            <w:tcW w:type="dxa" w:w="1512"/>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tc>
      </w:tr>
      <w:tr>
        <w:tc>
          <w:tcPr>
            <w:tcW w:type="dxa" w:w="1088"/>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jc w:val="center"/>
            </w:pPr>
            <w:r>
              <w:rPr>
                <w:sz w:val="21"/>
                <w:b/>
              </w:rPr>
              <w:t>合计</w:t>
            </w:r>
          </w:p>
        </w:tc>
        <w:tc>
          <w:tcPr>
            <w:tcW w:type="dxa" w:w="5705"/>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pPr>
              <w:pStyle w:val="null3"/>
              <w:spacing w:before="75"/>
              <w:jc w:val="both"/>
            </w:pPr>
          </w:p>
        </w:tc>
        <w:tc>
          <w:tcPr>
            <w:tcW w:type="dxa" w:w="1512"/>
            <w:tcBorders>
              <w:top w:val="none" w:color="000000" w:sz="4"/>
              <w:left w:val="single" w:color="000000" w:sz="8"/>
              <w:bottom w:val="single" w:color="000000" w:sz="8"/>
              <w:right w:val="single" w:color="000000" w:sz="8"/>
            </w:tcBorders>
            <w:tcMar>
              <w:top w:type="dxa" w:w="0"/>
              <w:left w:type="dxa" w:w="120"/>
              <w:bottom w:type="dxa" w:w="0"/>
              <w:right w:type="dxa" w:w="120"/>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440606-2025-02993</w:t>
      </w:r>
    </w:p>
    <w:p>
      <w:pPr>
        <w:pStyle w:val="null3"/>
        <w:jc w:val="center"/>
        <w:outlineLvl w:val="3"/>
      </w:pPr>
      <w:r>
        <w:rPr>
          <w:sz w:val="24"/>
          <w:b/>
        </w:rPr>
        <w:t>采购项目编号：</w:t>
      </w:r>
      <w:r>
        <w:rPr>
          <w:sz w:val="24"/>
          <w:b/>
        </w:rPr>
        <w:t>0724-2531Z3583165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广东医科大学顺德妇女儿童医院（佛山市顺德区妇幼保健院）外送第三方检验相关服务项目</w:t>
      </w:r>
      <w:r>
        <w:rPr>
          <w:u w:val="single"/>
        </w:rPr>
        <w:t>”</w:t>
      </w:r>
      <w:r>
        <w:rPr/>
        <w:t>项目的招标[采购项目编号为：</w:t>
      </w:r>
      <w:r>
        <w:rPr>
          <w:u w:val="single"/>
        </w:rPr>
        <w:t>0724-2531Z3583165</w:t>
      </w:r>
      <w:r>
        <w:rPr/>
        <w:t>]，我方愿参与投标。</w:t>
      </w:r>
    </w:p>
    <w:p>
      <w:pPr>
        <w:pStyle w:val="null3"/>
        <w:ind w:firstLine="480"/>
      </w:pPr>
      <w:r>
        <w:rPr/>
        <w:t>我方确认收到贵方提供的</w:t>
      </w:r>
      <w:r>
        <w:rPr>
          <w:u w:val="single"/>
        </w:rPr>
        <w:t>“</w:t>
      </w:r>
      <w:r>
        <w:rPr>
          <w:u w:val="single"/>
        </w:rPr>
        <w:t>广东医科大学顺德妇女儿童医院（佛山市顺德区妇幼保健院）外送第三方检验相关服务项目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广东医科大学顺德妇女儿童医院（佛山市顺德区妇幼保健院）外送第三方检验相关服务项目</w:t>
      </w:r>
      <w:r>
        <w:rPr/>
        <w:t>”项目采购[采购项目编号为</w:t>
      </w:r>
      <w:r>
        <w:rPr/>
        <w:t>0724-2531Z3583165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广东医科大学顺德妇女儿童医院（佛山市顺德区妇幼保健院）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广东医科大学顺德妇女儿童医院（佛山市顺德区妇幼保健院）外送第三方检验相关服务项目</w:t>
      </w:r>
      <w:r>
        <w:rPr/>
        <w:t>招标中获中标（采购项目编号：</w:t>
      </w:r>
      <w:r>
        <w:rPr/>
        <w:t>0724-2531Z3583165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广东医科大学顺德妇女儿童医院（佛山市顺德区妇幼保健院）外送第三方检验相关服务项目</w:t>
      </w:r>
      <w:r>
        <w:rPr/>
        <w:t>”项目（采购项目编号：</w:t>
      </w:r>
      <w:r>
        <w:rPr/>
        <w:t>0724-2531Z3583165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