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441501-2026-00274</w:t>
      </w:r>
    </w:p>
    <w:p>
      <w:pPr>
        <w:pStyle w:val="null3"/>
        <w:jc w:val="center"/>
        <w:outlineLvl w:val="3"/>
      </w:pPr>
      <w:r>
        <w:rPr>
          <w:sz w:val="24"/>
          <w:b/>
        </w:rPr>
        <w:t>采购项目编号：</w:t>
      </w:r>
      <w:r>
        <w:rPr>
          <w:sz w:val="24"/>
          <w:b/>
        </w:rPr>
        <w:t>0724-2631SW901224</w:t>
      </w:r>
    </w:p>
    <w:p>
      <w:pPr>
        <w:pStyle w:val="null3"/>
        <w:jc w:val="center"/>
        <w:outlineLvl w:val="3"/>
      </w:pPr>
      <w:r>
        <w:rPr>
          <w:sz w:val="24"/>
          <w:b/>
        </w:rPr>
        <w:t>项目名称：</w:t>
      </w:r>
      <w:r>
        <w:rPr>
          <w:sz w:val="24"/>
          <w:b/>
        </w:rPr>
        <w:t>深汕中医医院一期工程配套项目救护车采购项目</w:t>
      </w:r>
    </w:p>
    <w:p>
      <w:pPr>
        <w:pStyle w:val="null3"/>
        <w:jc w:val="center"/>
        <w:outlineLvl w:val="3"/>
      </w:pPr>
      <w:r>
        <w:rPr>
          <w:sz w:val="24"/>
          <w:b/>
        </w:rPr>
        <w:t>采购人：</w:t>
      </w:r>
      <w:r>
        <w:rPr>
          <w:sz w:val="24"/>
          <w:b/>
        </w:rPr>
        <w:t>广州中医药大学第一附属医院深汕医院(深汕中医医院、汕尾市中医医院)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广州中医药大学第一附属医院深汕医院(深汕中医医院、汕尾市中医医院)</w:t>
      </w:r>
      <w:r>
        <w:rPr/>
        <w:t>的委托，采用</w:t>
      </w:r>
      <w:r>
        <w:rPr/>
        <w:t>公开招标</w:t>
      </w:r>
      <w:r>
        <w:rPr/>
        <w:t>方式组织采购</w:t>
      </w:r>
      <w:r>
        <w:rPr/>
        <w:t>深汕中医医院一期工程配套项目救护车采购项目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深汕中医医院一期工程配套项目救护车采购项目</w:t>
      </w:r>
    </w:p>
    <w:p>
      <w:pPr>
        <w:pStyle w:val="null3"/>
        <w:ind w:firstLine="480"/>
      </w:pPr>
      <w:r>
        <w:rPr/>
        <w:t>采购计划编号：</w:t>
      </w:r>
      <w:r>
        <w:rPr/>
        <w:t>441501-2026-00274</w:t>
      </w:r>
    </w:p>
    <w:p>
      <w:pPr>
        <w:pStyle w:val="null3"/>
        <w:ind w:firstLine="480"/>
      </w:pPr>
      <w:r>
        <w:rPr/>
        <w:t>采购项目编号：</w:t>
      </w:r>
      <w:r>
        <w:rPr/>
        <w:t>0724-2631SW901224</w:t>
      </w:r>
    </w:p>
    <w:p>
      <w:pPr>
        <w:pStyle w:val="null3"/>
        <w:ind w:firstLine="480"/>
      </w:pPr>
      <w:r>
        <w:rPr/>
        <w:t>采购方式：</w:t>
      </w:r>
      <w:r>
        <w:rPr/>
        <w:t>公开招标</w:t>
      </w:r>
    </w:p>
    <w:p>
      <w:pPr>
        <w:pStyle w:val="null3"/>
        <w:ind w:firstLine="480"/>
      </w:pPr>
      <w:r>
        <w:rPr/>
        <w:t>预算金额：</w:t>
      </w:r>
      <w:r>
        <w:rPr/>
        <w:t>886,000.00</w:t>
      </w:r>
      <w:r>
        <w:rPr/>
        <w:t>元</w:t>
      </w:r>
    </w:p>
    <w:p>
      <w:pPr>
        <w:pStyle w:val="null3"/>
        <w:outlineLvl w:val="3"/>
      </w:pPr>
      <w:r>
        <w:rPr>
          <w:sz w:val="24"/>
          <w:b/>
        </w:rPr>
        <w:t>2.项目内容及需求情况（采购项目技术规格、参数及要求）</w:t>
      </w:r>
    </w:p>
    <w:p>
      <w:pPr>
        <w:pStyle w:val="null3"/>
      </w:pPr>
      <w:r>
        <w:rPr/>
        <w:t>采购包1(救护车):</w:t>
      </w:r>
    </w:p>
    <w:p>
      <w:pPr>
        <w:pStyle w:val="null3"/>
      </w:pPr>
      <w:r>
        <w:rPr/>
        <w:t>采购包预算金额：886,000.00元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医疗车</w:t>
            </w:r>
          </w:p>
        </w:tc>
        <w:tc>
          <w:tcPr>
            <w:tcW w:type="dxa" w:w="2052"/>
          </w:tcPr>
          <w:p>
            <w:pPr>
              <w:pStyle w:val="null3"/>
            </w:pPr>
            <w:r>
              <w:rPr/>
              <w:t>救护车</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886,000.00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2）具有良好的商业信誉和健全的财务会计制度：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3）履行合同所必需的设备和专业技术能力：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4）有依法缴纳税收和社会保障资金的良好记录：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5）参加采购活动前3年内，在经营活动中没有重大违法记录：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outlineLvl w:val="3"/>
      </w:pPr>
      <w:r>
        <w:rPr>
          <w:sz w:val="24"/>
          <w:b/>
        </w:rPr>
        <w:t>2.落实政府采购政策需满足的资格要求：</w:t>
      </w:r>
    </w:p>
    <w:p>
      <w:pPr>
        <w:pStyle w:val="null3"/>
        <w:jc w:val="left"/>
      </w:pPr>
      <w:r>
        <w:rPr/>
        <w:t>采购包1（救护车）：</w:t>
      </w:r>
      <w:r>
        <w:rPr/>
        <w:t>本项目不属于专门面向中小企业采购的项目，本项目采购标的所属行业为：工业。按照《政府采购促进中小企业发展管理办法》规定，本项目属于预留采购份额无法确保充分供应、充分竞争，或者存在可能影响政府采购目标实现的情形。</w:t>
      </w:r>
    </w:p>
    <w:p>
      <w:pPr>
        <w:pStyle w:val="null3"/>
        <w:outlineLvl w:val="3"/>
      </w:pPr>
      <w:r>
        <w:rPr>
          <w:sz w:val="24"/>
          <w:b/>
        </w:rPr>
        <w:t>3.本项目特定的资格要求：</w:t>
      </w:r>
    </w:p>
    <w:p>
      <w:pPr>
        <w:pStyle w:val="null3"/>
      </w:pPr>
      <w:r>
        <w:rPr/>
        <w:t>采购包1（救护车）：</w:t>
      </w:r>
    </w:p>
    <w:p>
      <w:pPr>
        <w:pStyle w:val="null3"/>
      </w:pPr>
      <w:r>
        <w:rPr/>
        <w:t>1)本采购包不接受联合体投标</w:t>
      </w:r>
    </w:p>
    <w:p>
      <w:pPr>
        <w:pStyle w:val="null3"/>
      </w:pPr>
      <w:r>
        <w:rPr/>
        <w:t>2)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p>
      <w:pPr>
        <w:pStyle w:val="null3"/>
      </w:pPr>
      <w:r>
        <w:rPr/>
        <w:t>3)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p>
      <w:pPr>
        <w:pStyle w:val="null3"/>
      </w:pPr>
      <w:r>
        <w:rPr/>
        <w:t>4)供应商必须符合法律、行政法规规定的其他条件</w:t>
      </w:r>
    </w:p>
    <w:p>
      <w:pPr>
        <w:pStyle w:val="null3"/>
      </w:pPr>
      <w:r>
        <w:rPr/>
        <w:t>5)单位负责人为同一人或者存在直接控股、管理关系的不同供应商，不得参加同一包号投标或者未划分包号的同一招标项目投标(投标人出具声明函)。</w:t>
      </w:r>
    </w:p>
    <w:p>
      <w:pPr>
        <w:pStyle w:val="null3"/>
      </w:pPr>
      <w:r>
        <w:rPr/>
        <w:t>6)为本项目提供整体设计、规范编制或者项目管理、监理、检测等服务的供应商，不得再参加本项目的其他采购活动(投标人出具声明函)。</w:t>
      </w:r>
    </w:p>
    <w:p>
      <w:pPr>
        <w:pStyle w:val="null3"/>
      </w:pPr>
      <w:r>
        <w:rPr/>
        <w:t>7)已获取本次采购文件。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广州中医药大学第一附属医院深汕医院(深汕中医医院、汕尾市中医医院)</w:t>
      </w:r>
    </w:p>
    <w:p>
      <w:pPr>
        <w:pStyle w:val="null3"/>
        <w:ind w:firstLine="480"/>
      </w:pPr>
      <w:r>
        <w:rPr/>
        <w:t xml:space="preserve"> 地址：</w:t>
      </w:r>
      <w:r>
        <w:rPr/>
        <w:t>汕尾市城区香江大道(汕马路)北侧</w:t>
      </w:r>
    </w:p>
    <w:p>
      <w:pPr>
        <w:pStyle w:val="null3"/>
        <w:ind w:firstLine="480"/>
      </w:pPr>
      <w:r>
        <w:rPr/>
        <w:t xml:space="preserve"> 联系方式：</w:t>
      </w:r>
      <w:r>
        <w:rPr/>
        <w:t>13432753372</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0660-3390199、020-37860522</w:t>
      </w:r>
    </w:p>
    <w:p>
      <w:pPr>
        <w:pStyle w:val="null3"/>
        <w:outlineLvl w:val="3"/>
      </w:pPr>
      <w:r>
        <w:rPr>
          <w:sz w:val="24"/>
          <w:b/>
        </w:rPr>
        <w:t xml:space="preserve"> 3.项目联系方式</w:t>
      </w:r>
    </w:p>
    <w:p>
      <w:pPr>
        <w:pStyle w:val="null3"/>
        <w:ind w:firstLine="480"/>
      </w:pPr>
      <w:r>
        <w:rPr/>
        <w:t xml:space="preserve"> 项目联系人：</w:t>
      </w:r>
      <w:r>
        <w:rPr/>
        <w:t>刘冠华、余嘉安</w:t>
      </w:r>
    </w:p>
    <w:p>
      <w:pPr>
        <w:pStyle w:val="null3"/>
        <w:ind w:firstLine="480"/>
      </w:pPr>
      <w:r>
        <w:rPr/>
        <w:t xml:space="preserve"> 电话：</w:t>
      </w:r>
      <w:r>
        <w:rPr/>
        <w:t>0660-3390199、020-37860522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标的名称</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采购预算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救护车</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2辆</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人民币</w:t>
            </w:r>
            <w:r>
              <w:rPr>
                <w:sz w:val="20"/>
              </w:rPr>
              <w:t>88.6万元</w:t>
            </w:r>
          </w:p>
        </w:tc>
      </w:tr>
    </w:tbl>
    <w:p>
      <w:pPr>
        <w:pStyle w:val="null3"/>
      </w:pPr>
      <w:r>
        <w:rPr>
          <w:sz w:val="20"/>
        </w:rPr>
        <w:t>投标人必须对本项目</w:t>
      </w:r>
      <w:r>
        <w:rPr>
          <w:sz w:val="20"/>
        </w:rPr>
        <w:t>(所投包号)全部内容进行投标报价，如有缺漏或超出采购预算。将导致投标无效。</w:t>
      </w:r>
    </w:p>
    <w:p>
      <w:pPr>
        <w:pStyle w:val="null3"/>
      </w:pPr>
      <w:r>
        <w:rPr>
          <w:sz w:val="20"/>
        </w:rPr>
        <w:t>本项目所有设备均不允许采购进口产品。</w:t>
      </w:r>
    </w:p>
    <w:p>
      <w:pPr>
        <w:pStyle w:val="null3"/>
      </w:pPr>
      <w:r>
        <w:rPr>
          <w:sz w:val="20"/>
        </w:rPr>
        <w:t>3.需要落实的政府采购政策：《政府采购促进中小企业发展管理办法》财库〔2020〕46号)；</w:t>
      </w:r>
      <w:r>
        <w:br/>
      </w:r>
      <w:r>
        <w:rPr>
          <w:sz w:val="20"/>
        </w:rPr>
        <w:t xml:space="preserve"> </w:t>
      </w:r>
      <w:r>
        <w:rPr>
          <w:sz w:val="20"/>
        </w:rPr>
        <w:t>《关于政府采购支持监狱企业发展有关问题的通知》（财库〔</w:t>
      </w:r>
      <w:r>
        <w:rPr>
          <w:sz w:val="20"/>
        </w:rPr>
        <w:t>2014〕68号）；</w:t>
      </w:r>
      <w:r>
        <w:br/>
      </w:r>
      <w:r>
        <w:rPr/>
        <w:t xml:space="preserve"> </w:t>
      </w:r>
      <w:r>
        <w:rPr/>
        <w:t>《关于促进残疾人就业政府采购政策的通知》（财库〔</w:t>
      </w:r>
      <w:r>
        <w:rPr/>
        <w:t>2017</w:t>
      </w:r>
      <w:r>
        <w:rPr/>
        <w:t>〕</w:t>
      </w:r>
      <w:r>
        <w:rPr/>
        <w:t>141</w:t>
      </w:r>
      <w:r>
        <w:rPr/>
        <w:t>号）；</w:t>
      </w:r>
      <w:r>
        <w:br/>
      </w:r>
      <w:r>
        <w:rPr/>
        <w:t xml:space="preserve"> </w:t>
      </w:r>
      <w:r>
        <w:rPr/>
        <w:t>《关于调整优化节能产品、环境标志产品政府采购执行机制的通知》（财库〔</w:t>
      </w:r>
      <w:r>
        <w:rPr/>
        <w:t>2019</w:t>
      </w:r>
      <w:r>
        <w:rPr/>
        <w:t>〕</w:t>
      </w:r>
      <w:r>
        <w:rPr/>
        <w:t>9</w:t>
      </w:r>
      <w:r>
        <w:rPr/>
        <w:t>号）等；</w:t>
      </w:r>
      <w:r>
        <w:br/>
      </w:r>
      <w:r>
        <w:rPr/>
        <w:t xml:space="preserve"> </w:t>
      </w:r>
      <w:r>
        <w:rPr/>
        <w:t>《国务院办公厅关于在政府采购中实施本国产品标准及相关政策的通知》（国办发〔</w:t>
      </w:r>
      <w:r>
        <w:rPr/>
        <w:t>2025</w:t>
      </w:r>
      <w:r>
        <w:rPr/>
        <w:t>〕</w:t>
      </w:r>
      <w:r>
        <w:rPr/>
        <w:t>34</w:t>
      </w:r>
      <w:r>
        <w:rPr/>
        <w:t>号）；</w:t>
      </w:r>
      <w:r>
        <w:br/>
      </w:r>
      <w:r>
        <w:rPr/>
        <w:t xml:space="preserve"> </w:t>
      </w:r>
      <w:r>
        <w:rPr/>
        <w:t>《财政部关于贯彻落实</w:t>
      </w:r>
      <w:r>
        <w:rPr/>
        <w:t>&lt;</w:t>
      </w:r>
      <w:r>
        <w:rPr/>
        <w:t>国务院办公厅关于在政府采购中实施本国产品标准及相关政策的通知</w:t>
      </w:r>
      <w:r>
        <w:rPr/>
        <w:t>&gt;</w:t>
      </w:r>
      <w:r>
        <w:rPr/>
        <w:t>的意见》（财库〔</w:t>
      </w:r>
      <w:r>
        <w:rPr/>
        <w:t>2025</w:t>
      </w:r>
      <w:r>
        <w:rPr/>
        <w:t>〕</w:t>
      </w:r>
      <w:r>
        <w:rPr/>
        <w:t>30</w:t>
      </w:r>
      <w:r>
        <w:rPr/>
        <w:t>号）等。</w:t>
      </w:r>
    </w:p>
    <w:p>
      <w:pPr>
        <w:pStyle w:val="null3"/>
        <w:jc w:val="both"/>
      </w:pPr>
      <w:r>
        <w:rPr>
          <w:sz w:val="20"/>
          <w:b/>
        </w:rPr>
        <w:t>1</w:t>
      </w:r>
      <w:r>
        <w:rPr>
          <w:sz w:val="20"/>
          <w:b/>
        </w:rPr>
        <w:t>、投标人需在下表中列明所投设备单价，并加盖公章，以此作为投标文件的一部分。</w:t>
      </w:r>
    </w:p>
    <w:tbl>
      <w:tblPr>
        <w:tblW w:w="0" w:type="auto"/>
        <w:tblBorders>
          <w:top w:val="none" w:color="000000" w:sz="4"/>
          <w:left w:val="none" w:color="000000" w:sz="4"/>
          <w:bottom w:val="none" w:color="000000" w:sz="4"/>
          <w:right w:val="none" w:color="000000" w:sz="4"/>
          <w:insideH w:val="none"/>
          <w:insideV w:val="none"/>
        </w:tblBorders>
      </w:tblPr>
      <w:tblGrid>
        <w:gridCol w:w="724"/>
        <w:gridCol w:w="1281"/>
        <w:gridCol w:w="2171"/>
        <w:gridCol w:w="1025"/>
        <w:gridCol w:w="739"/>
        <w:gridCol w:w="739"/>
        <w:gridCol w:w="904"/>
        <w:gridCol w:w="724"/>
      </w:tblGrid>
      <w:tr>
        <w:tc>
          <w:tcPr>
            <w:tcW w:type="dxa" w:w="724"/>
            <w:tcBorders>
              <w:top w:val="single" w:color="000000" w:sz="4"/>
              <w:left w:val="outset"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b/>
              </w:rPr>
              <w:t>序号</w:t>
            </w:r>
          </w:p>
        </w:tc>
        <w:tc>
          <w:tcPr>
            <w:tcW w:type="dxa" w:w="128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rPr>
              <w:t>设备名称</w:t>
            </w:r>
          </w:p>
        </w:tc>
        <w:tc>
          <w:tcPr>
            <w:tcW w:type="dxa" w:w="217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rPr>
              <w:t>产地品牌型号</w:t>
            </w:r>
          </w:p>
        </w:tc>
        <w:tc>
          <w:tcPr>
            <w:tcW w:type="dxa" w:w="102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b/>
              </w:rPr>
              <w:t>制造商</w:t>
            </w:r>
          </w:p>
        </w:tc>
        <w:tc>
          <w:tcPr>
            <w:tcW w:type="dxa" w:w="73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b/>
              </w:rPr>
              <w:t>数量</w:t>
            </w:r>
          </w:p>
        </w:tc>
        <w:tc>
          <w:tcPr>
            <w:tcW w:type="dxa" w:w="73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rPr>
              <w:t>单价</w:t>
            </w:r>
          </w:p>
        </w:tc>
        <w:tc>
          <w:tcPr>
            <w:tcW w:type="dxa" w:w="904"/>
            <w:tcBorders>
              <w:top w:val="single" w:color="000000" w:sz="4"/>
              <w:left w:val="none" w:color="000000" w:sz="4"/>
              <w:bottom w:val="single" w:color="000000" w:sz="4"/>
              <w:right w:val="double" w:color="000000" w:sz="4"/>
            </w:tcBorders>
            <w:shd w:fill="FFFFFF"/>
            <w:tcMar>
              <w:top w:type="dxa" w:w="0"/>
              <w:left w:type="dxa" w:w="105"/>
              <w:bottom w:type="dxa" w:w="0"/>
              <w:right w:type="dxa" w:w="105"/>
            </w:tcMar>
            <w:vAlign w:val="top"/>
          </w:tcPr>
          <w:p>
            <w:pPr>
              <w:pStyle w:val="null3"/>
              <w:jc w:val="center"/>
            </w:pPr>
            <w:r>
              <w:rPr>
                <w:sz w:val="20"/>
                <w:b/>
              </w:rPr>
              <w:t>合计（元）</w:t>
            </w:r>
          </w:p>
        </w:tc>
        <w:tc>
          <w:tcPr>
            <w:tcW w:type="dxa" w:w="724"/>
            <w:tcBorders>
              <w:top w:val="single" w:color="000000" w:sz="4"/>
              <w:left w:val="none" w:color="000000" w:sz="4"/>
              <w:bottom w:val="single" w:color="000000" w:sz="4"/>
              <w:right w:val="outset" w:color="000000" w:sz="4"/>
            </w:tcBorders>
            <w:shd w:fill="FFFFFF"/>
            <w:tcMar>
              <w:top w:type="dxa" w:w="0"/>
              <w:left w:type="dxa" w:w="105"/>
              <w:bottom w:type="dxa" w:w="0"/>
              <w:right w:type="dxa" w:w="105"/>
            </w:tcMar>
            <w:vAlign w:val="top"/>
          </w:tcPr>
          <w:p>
            <w:pPr>
              <w:pStyle w:val="null3"/>
              <w:jc w:val="center"/>
            </w:pPr>
            <w:r>
              <w:rPr>
                <w:sz w:val="20"/>
                <w:b/>
              </w:rPr>
              <w:t>备注</w:t>
            </w:r>
          </w:p>
        </w:tc>
      </w:tr>
      <w:tr>
        <w:tc>
          <w:tcPr>
            <w:tcW w:type="dxa" w:w="724"/>
            <w:tcBorders>
              <w:top w:val="none" w:color="000000" w:sz="4"/>
              <w:left w:val="outset"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4"/>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tc>
        <w:tc>
          <w:tcPr>
            <w:tcW w:type="dxa" w:w="724"/>
            <w:tcBorders>
              <w:top w:val="none" w:color="000000" w:sz="4"/>
              <w:left w:val="none" w:color="000000" w:sz="4"/>
              <w:bottom w:val="single" w:color="000000" w:sz="4"/>
              <w:right w:val="outset" w:color="000000" w:sz="4"/>
            </w:tcBorders>
            <w:tcMar>
              <w:top w:type="dxa" w:w="0"/>
              <w:left w:type="dxa" w:w="105"/>
              <w:bottom w:type="dxa" w:w="0"/>
              <w:right w:type="dxa" w:w="105"/>
            </w:tcMar>
            <w:vAlign w:val="top"/>
          </w:tcPr>
          <w:p/>
        </w:tc>
      </w:tr>
      <w:tr>
        <w:tc>
          <w:tcPr>
            <w:tcW w:type="dxa" w:w="724"/>
            <w:tcBorders>
              <w:top w:val="none" w:color="000000" w:sz="4"/>
              <w:left w:val="outset" w:color="000000" w:sz="4"/>
              <w:bottom w:val="single" w:color="000000" w:sz="4"/>
              <w:right w:val="single" w:color="000000" w:sz="4"/>
            </w:tcBorders>
            <w:tcMar>
              <w:top w:type="dxa" w:w="0"/>
              <w:left w:type="dxa" w:w="105"/>
              <w:bottom w:type="dxa" w:w="0"/>
              <w:right w:type="dxa" w:w="105"/>
            </w:tcMar>
            <w:vAlign w:val="top"/>
          </w:tc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4"/>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tc>
        <w:tc>
          <w:tcPr>
            <w:tcW w:type="dxa" w:w="724"/>
            <w:tcBorders>
              <w:top w:val="none" w:color="000000" w:sz="4"/>
              <w:left w:val="none" w:color="000000" w:sz="4"/>
              <w:bottom w:val="single" w:color="000000" w:sz="4"/>
              <w:right w:val="outset" w:color="000000" w:sz="4"/>
            </w:tcBorders>
            <w:tcMar>
              <w:top w:type="dxa" w:w="0"/>
              <w:left w:type="dxa" w:w="105"/>
              <w:bottom w:type="dxa" w:w="0"/>
              <w:right w:type="dxa" w:w="105"/>
            </w:tcMar>
            <w:vAlign w:val="top"/>
          </w:tcPr>
          <w:p/>
        </w:tc>
      </w:tr>
      <w:tr>
        <w:tc>
          <w:tcPr>
            <w:tcW w:type="dxa" w:w="724"/>
            <w:tcBorders>
              <w:top w:val="none" w:color="000000" w:sz="4"/>
              <w:left w:val="outset" w:color="000000" w:sz="4"/>
              <w:bottom w:val="single" w:color="000000" w:sz="4"/>
              <w:right w:val="single" w:color="000000" w:sz="4"/>
            </w:tcBorders>
            <w:tcMar>
              <w:top w:type="dxa" w:w="0"/>
              <w:left w:type="dxa" w:w="105"/>
              <w:bottom w:type="dxa" w:w="0"/>
              <w:right w:type="dxa" w:w="105"/>
            </w:tcMar>
            <w:vAlign w:val="top"/>
          </w:tc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4"/>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tc>
        <w:tc>
          <w:tcPr>
            <w:tcW w:type="dxa" w:w="724"/>
            <w:tcBorders>
              <w:top w:val="none" w:color="000000" w:sz="4"/>
              <w:left w:val="none" w:color="000000" w:sz="4"/>
              <w:bottom w:val="single" w:color="000000" w:sz="4"/>
              <w:right w:val="outset" w:color="000000" w:sz="4"/>
            </w:tcBorders>
            <w:tcMar>
              <w:top w:type="dxa" w:w="0"/>
              <w:left w:type="dxa" w:w="105"/>
              <w:bottom w:type="dxa" w:w="0"/>
              <w:right w:type="dxa" w:w="105"/>
            </w:tcMar>
            <w:vAlign w:val="top"/>
          </w:tcPr>
          <w:p/>
        </w:tc>
      </w:tr>
      <w:tr>
        <w:tc>
          <w:tcPr>
            <w:tcW w:type="dxa" w:w="724"/>
            <w:tcBorders>
              <w:top w:val="none" w:color="000000" w:sz="4"/>
              <w:left w:val="outset" w:color="000000" w:sz="4"/>
              <w:bottom w:val="single" w:color="000000" w:sz="4"/>
              <w:right w:val="single" w:color="000000" w:sz="4"/>
            </w:tcBorders>
            <w:tcMar>
              <w:top w:type="dxa" w:w="0"/>
              <w:left w:type="dxa" w:w="105"/>
              <w:bottom w:type="dxa" w:w="0"/>
              <w:right w:type="dxa" w:w="105"/>
            </w:tcMar>
            <w:vAlign w:val="top"/>
          </w:tc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4"/>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tc>
        <w:tc>
          <w:tcPr>
            <w:tcW w:type="dxa" w:w="724"/>
            <w:tcBorders>
              <w:top w:val="none" w:color="000000" w:sz="4"/>
              <w:left w:val="none" w:color="000000" w:sz="4"/>
              <w:bottom w:val="single" w:color="000000" w:sz="4"/>
              <w:right w:val="outset" w:color="000000" w:sz="4"/>
            </w:tcBorders>
            <w:tcMar>
              <w:top w:type="dxa" w:w="0"/>
              <w:left w:type="dxa" w:w="105"/>
              <w:bottom w:type="dxa" w:w="0"/>
              <w:right w:type="dxa" w:w="105"/>
            </w:tcMar>
            <w:vAlign w:val="top"/>
          </w:tcPr>
          <w:p/>
        </w:tc>
      </w:tr>
      <w:tr>
        <w:tc>
          <w:tcPr>
            <w:tcW w:type="dxa" w:w="724"/>
            <w:tcBorders>
              <w:top w:val="none" w:color="000000" w:sz="4"/>
              <w:left w:val="outset" w:color="000000" w:sz="4"/>
              <w:bottom w:val="single" w:color="000000" w:sz="4"/>
              <w:right w:val="single" w:color="000000" w:sz="4"/>
            </w:tcBorders>
            <w:tcMar>
              <w:top w:type="dxa" w:w="0"/>
              <w:left w:type="dxa" w:w="105"/>
              <w:bottom w:type="dxa" w:w="0"/>
              <w:right w:type="dxa" w:w="105"/>
            </w:tcMar>
            <w:vAlign w:val="top"/>
          </w:tc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4"/>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tc>
        <w:tc>
          <w:tcPr>
            <w:tcW w:type="dxa" w:w="724"/>
            <w:tcBorders>
              <w:top w:val="none" w:color="000000" w:sz="4"/>
              <w:left w:val="none" w:color="000000" w:sz="4"/>
              <w:bottom w:val="single" w:color="000000" w:sz="4"/>
              <w:right w:val="outset" w:color="000000" w:sz="4"/>
            </w:tcBorders>
            <w:tcMar>
              <w:top w:type="dxa" w:w="0"/>
              <w:left w:type="dxa" w:w="105"/>
              <w:bottom w:type="dxa" w:w="0"/>
              <w:right w:type="dxa" w:w="105"/>
            </w:tcMar>
            <w:vAlign w:val="top"/>
          </w:tcPr>
          <w:p/>
        </w:tc>
      </w:tr>
      <w:tr>
        <w:tc>
          <w:tcPr>
            <w:tcW w:type="dxa" w:w="724"/>
            <w:tcBorders>
              <w:top w:val="none" w:color="000000" w:sz="4"/>
              <w:left w:val="outset" w:color="000000" w:sz="4"/>
              <w:bottom w:val="single" w:color="000000" w:sz="4"/>
              <w:right w:val="single" w:color="000000" w:sz="4"/>
            </w:tcBorders>
            <w:tcMar>
              <w:top w:type="dxa" w:w="0"/>
              <w:left w:type="dxa" w:w="105"/>
              <w:bottom w:type="dxa" w:w="0"/>
              <w:right w:type="dxa" w:w="105"/>
            </w:tcMar>
            <w:vAlign w:val="top"/>
          </w:tc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4"/>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tc>
        <w:tc>
          <w:tcPr>
            <w:tcW w:type="dxa" w:w="724"/>
            <w:tcBorders>
              <w:top w:val="none" w:color="000000" w:sz="4"/>
              <w:left w:val="none" w:color="000000" w:sz="4"/>
              <w:bottom w:val="single" w:color="000000" w:sz="4"/>
              <w:right w:val="outset" w:color="000000" w:sz="4"/>
            </w:tcBorders>
            <w:tcMar>
              <w:top w:type="dxa" w:w="0"/>
              <w:left w:type="dxa" w:w="105"/>
              <w:bottom w:type="dxa" w:w="0"/>
              <w:right w:type="dxa" w:w="105"/>
            </w:tcMar>
            <w:vAlign w:val="top"/>
          </w:tcPr>
          <w:p/>
        </w:tc>
      </w:tr>
      <w:tr>
        <w:tc>
          <w:tcPr>
            <w:tcW w:type="dxa" w:w="4176"/>
            <w:gridSpan w:val="3"/>
            <w:tcBorders>
              <w:top w:val="none" w:color="000000" w:sz="4"/>
              <w:left w:val="outset"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i/>
              </w:rPr>
              <w:t>合计</w:t>
            </w:r>
          </w:p>
        </w:tc>
        <w:tc>
          <w:tcPr>
            <w:tcW w:type="dxa" w:w="4131"/>
            <w:gridSpan w:val="5"/>
            <w:tcBorders>
              <w:top w:val="none" w:color="000000" w:sz="4"/>
              <w:left w:val="none" w:color="000000" w:sz="4"/>
              <w:bottom w:val="single" w:color="000000" w:sz="4"/>
              <w:right w:val="outset" w:color="000000" w:sz="4"/>
            </w:tcBorders>
            <w:tcMar>
              <w:top w:type="dxa" w:w="0"/>
              <w:left w:type="dxa" w:w="105"/>
              <w:bottom w:type="dxa" w:w="0"/>
              <w:right w:type="dxa" w:w="105"/>
            </w:tcMar>
            <w:vAlign w:val="top"/>
          </w:tcPr>
          <w:p>
            <w:pPr>
              <w:pStyle w:val="null3"/>
              <w:jc w:val="center"/>
            </w:pPr>
            <w:r>
              <w:rPr>
                <w:sz w:val="19"/>
                <w:b/>
                <w:u w:val="single"/>
              </w:rPr>
              <w:t xml:space="preserve">       </w:t>
            </w:r>
            <w:r>
              <w:rPr>
                <w:sz w:val="20"/>
                <w:b/>
              </w:rPr>
              <w:t>元</w:t>
            </w:r>
          </w:p>
        </w:tc>
      </w:tr>
      <w:tr>
        <w:tc>
          <w:tcPr>
            <w:tcW w:type="dxa" w:w="8307"/>
            <w:gridSpan w:val="8"/>
            <w:tcBorders>
              <w:top w:val="none" w:color="000000" w:sz="4"/>
              <w:left w:val="outset" w:color="000000" w:sz="4"/>
              <w:bottom w:val="single" w:color="000000" w:sz="4"/>
              <w:right w:val="outset" w:color="000000" w:sz="4"/>
            </w:tcBorders>
            <w:tcMar>
              <w:top w:type="dxa" w:w="0"/>
              <w:left w:type="dxa" w:w="105"/>
              <w:bottom w:type="dxa" w:w="0"/>
              <w:right w:type="dxa" w:w="105"/>
            </w:tcMar>
            <w:vAlign w:val="top"/>
          </w:tcPr>
          <w:p>
            <w:pPr>
              <w:pStyle w:val="null3"/>
              <w:jc w:val="both"/>
            </w:pPr>
            <w:r>
              <w:rPr>
                <w:sz w:val="20"/>
                <w:b/>
              </w:rPr>
              <w:t>报价汇总：人民币</w:t>
            </w:r>
            <w:r>
              <w:rPr>
                <w:sz w:val="20"/>
                <w:b/>
              </w:rPr>
              <w:t xml:space="preserve">    </w:t>
            </w:r>
            <w:r>
              <w:rPr>
                <w:sz w:val="20"/>
                <w:b/>
              </w:rPr>
              <w:t>元</w:t>
            </w:r>
            <w:r>
              <w:rPr>
                <w:sz w:val="20"/>
              </w:rPr>
              <w:t>（以上各合计项与开标一览表中的对应项均一致相符，如不一致以开标一览表为准）</w:t>
            </w:r>
          </w:p>
        </w:tc>
      </w:tr>
    </w:tbl>
    <w:p>
      <w:pPr>
        <w:pStyle w:val="null3"/>
      </w:pPr>
      <w:r>
        <w:rPr/>
        <w:t xml:space="preserve"> </w:t>
      </w:r>
    </w:p>
    <w:p>
      <w:pPr>
        <w:pStyle w:val="null3"/>
        <w:jc w:val="left"/>
      </w:pPr>
      <w:r>
        <w:rPr>
          <w:sz w:val="21"/>
          <w:b/>
        </w:rPr>
        <w:t>技术参数要求：</w:t>
      </w:r>
    </w:p>
    <w:p>
      <w:pPr>
        <w:pStyle w:val="null3"/>
        <w:jc w:val="left"/>
      </w:pPr>
      <w:r>
        <w:rPr>
          <w:sz w:val="21"/>
        </w:rPr>
        <w:t>（</w:t>
      </w:r>
      <w:r>
        <w:rPr>
          <w:sz w:val="21"/>
        </w:rPr>
        <w:t>1</w:t>
      </w:r>
      <w:r>
        <w:rPr>
          <w:sz w:val="21"/>
        </w:rPr>
        <w:t>）★所投产品具有有效的医疗器械注册证明资料（如国家有相关规定）</w:t>
      </w:r>
      <w:r>
        <w:rPr>
          <w:sz w:val="21"/>
        </w:rPr>
        <w:t>(</w:t>
      </w:r>
      <w:r>
        <w:rPr>
          <w:sz w:val="21"/>
        </w:rPr>
        <w:t>仅限于配套医疗器械吸痰机、快速血糖自动测定仪、气压止血器、血糖仪、血压计</w:t>
      </w:r>
      <w:r>
        <w:rPr>
          <w:sz w:val="21"/>
        </w:rPr>
        <w:t>)</w:t>
      </w:r>
    </w:p>
    <w:p>
      <w:pPr>
        <w:pStyle w:val="null3"/>
        <w:jc w:val="both"/>
      </w:pPr>
      <w:r>
        <w:rPr>
          <w:sz w:val="21"/>
        </w:rPr>
        <w:t>（</w:t>
      </w:r>
      <w:r>
        <w:rPr>
          <w:sz w:val="21"/>
        </w:rPr>
        <w:t>2</w:t>
      </w:r>
      <w:r>
        <w:rPr>
          <w:sz w:val="21"/>
        </w:rPr>
        <w:t>）“★”号条款是关键技术参数，一项不符合即导致该投标人投标无效。所有投标人必须严格按照招标文件的内容进行填写，如不能填写请提供说明。“▲”号条款为评审时的重要技术参数，不作为投标无效条款。</w:t>
      </w:r>
    </w:p>
    <w:p>
      <w:pPr>
        <w:pStyle w:val="null3"/>
        <w:jc w:val="both"/>
      </w:pPr>
      <w:r>
        <w:rPr>
          <w:sz w:val="21"/>
        </w:rPr>
        <w:t>（</w:t>
      </w:r>
      <w:r>
        <w:rPr>
          <w:sz w:val="21"/>
        </w:rPr>
        <w:t>3</w:t>
      </w:r>
      <w:r>
        <w:rPr>
          <w:sz w:val="21"/>
        </w:rPr>
        <w:t>）本项目采购类型属于</w:t>
      </w:r>
      <w:r>
        <w:rPr>
          <w:sz w:val="24"/>
          <w:b/>
          <w:u w:val="single"/>
        </w:rPr>
        <w:t>货物</w:t>
      </w:r>
      <w:r>
        <w:rPr>
          <w:sz w:val="21"/>
        </w:rPr>
        <w:t>，如需提供中小企业声明函的，应按</w:t>
      </w:r>
      <w:r>
        <w:rPr>
          <w:sz w:val="24"/>
          <w:b/>
          <w:u w:val="single"/>
        </w:rPr>
        <w:t>中小企业声明函（货物）</w:t>
      </w:r>
      <w:r>
        <w:rPr>
          <w:sz w:val="21"/>
        </w:rPr>
        <w:t>格式提供。在货物采购项目中，货物由中小企业制造，即货物由中小企业生产且使用该中小企业商号或者注册商标的，可享受法规规定的中小企业扶持政策，不对投标供应商主体类型作任何限制要求。供应商提供的货物既有中小企业制造的，也有大型企业制造的，不享受法规规定的中小企业扶持政策。</w:t>
      </w:r>
    </w:p>
    <w:p>
      <w:pPr>
        <w:pStyle w:val="null3"/>
        <w:jc w:val="both"/>
      </w:pPr>
      <w:r>
        <w:rPr>
          <w:sz w:val="21"/>
        </w:rPr>
        <w:t>（</w:t>
      </w:r>
      <w:r>
        <w:rPr>
          <w:sz w:val="21"/>
        </w:rPr>
        <w:t>4</w:t>
      </w:r>
      <w:r>
        <w:rPr>
          <w:sz w:val="21"/>
        </w:rPr>
        <w:t>）</w:t>
      </w:r>
      <w:r>
        <w:rPr>
          <w:sz w:val="21"/>
        </w:rPr>
        <w:t>★</w:t>
      </w:r>
      <w:r>
        <w:rPr>
          <w:sz w:val="21"/>
        </w:rPr>
        <w:t>投标人所提供车辆须为国家发改委或工信部发布的《道路机动车辆生产企业及产品公告》中列明的</w:t>
      </w:r>
      <w:r>
        <w:rPr>
          <w:sz w:val="21"/>
        </w:rPr>
        <w:t>“救护车”车型（提供国家发改委或工信部公布的详细数据资料）</w:t>
      </w:r>
    </w:p>
    <w:p>
      <w:pPr>
        <w:pStyle w:val="null3"/>
        <w:jc w:val="left"/>
      </w:pPr>
      <w:r>
        <w:rPr>
          <w:sz w:val="21"/>
          <w:b/>
          <w:color w:val="000000"/>
        </w:rPr>
        <w:t>一、</w:t>
      </w:r>
      <w:r>
        <w:rPr>
          <w:sz w:val="21"/>
          <w:b/>
          <w:color w:val="000000"/>
        </w:rPr>
        <w:t>救护车</w:t>
      </w:r>
    </w:p>
    <w:tbl>
      <w:tblPr>
        <w:tblW w:w="0" w:type="auto"/>
        <w:tblBorders>
          <w:top w:val="none" w:color="000000" w:sz="4"/>
          <w:left w:val="none" w:color="000000" w:sz="4"/>
          <w:bottom w:val="none" w:color="000000" w:sz="4"/>
          <w:right w:val="none" w:color="000000" w:sz="4"/>
          <w:insideH w:val="none"/>
          <w:insideV w:val="none"/>
        </w:tblBorders>
      </w:tblPr>
      <w:tblGrid>
        <w:gridCol w:w="924"/>
        <w:gridCol w:w="7368"/>
      </w:tblGrid>
      <w:tr>
        <w:tc>
          <w:tcPr>
            <w:tcW w:type="dxa" w:w="9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73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内容及具体参数</w:t>
            </w:r>
          </w:p>
        </w:tc>
      </w:tr>
      <w:tr>
        <w:tc>
          <w:tcPr>
            <w:tcW w:type="dxa" w:w="829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一、车辆技术参数</w:t>
            </w: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73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6000≥长≥5950，2070≥宽≥2020，2720≥高≥2670</w:t>
            </w:r>
          </w:p>
          <w:p>
            <w:pPr>
              <w:pStyle w:val="null3"/>
              <w:jc w:val="left"/>
            </w:pPr>
            <w:r>
              <w:rPr>
                <w:sz w:val="20"/>
              </w:rPr>
              <w:t>提供该车辆型号在工业和信息化部装备工业发展中心的《道路机动车辆生产企业及产品信息查询系统》产品信息含网址打印出来的汽车产品技术参数详细页面证明，要求内容能体现满足上述参数要求。同时提供在工业和信息化部装备工业发展中心的</w:t>
            </w:r>
            <w:r>
              <w:rPr>
                <w:sz w:val="20"/>
              </w:rPr>
              <w:t>https://service.miit-eidc.org.cn/miitxxgk/gonggao/xxgk/index?querylb=qy查询截图。</w:t>
            </w: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7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医疗舱内尺寸（</w:t>
            </w:r>
            <w:r>
              <w:rPr>
                <w:sz w:val="20"/>
              </w:rPr>
              <w:t>mm）：长≥3300，宽≥1830，高≥1830</w:t>
            </w: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7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轴距（</w:t>
            </w:r>
            <w:r>
              <w:rPr>
                <w:sz w:val="20"/>
              </w:rPr>
              <w:t>mm）：≥3750</w:t>
            </w: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7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车辆满载总质量（</w:t>
            </w:r>
            <w:r>
              <w:rPr>
                <w:sz w:val="20"/>
              </w:rPr>
              <w:t>kg）：≥4100</w:t>
            </w: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r>
              <w:rPr>
                <w:sz w:val="20"/>
              </w:rPr>
              <w:t>5</w:t>
            </w:r>
          </w:p>
        </w:tc>
        <w:tc>
          <w:tcPr>
            <w:tcW w:type="dxa" w:w="7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整备质量（</w:t>
            </w:r>
            <w:r>
              <w:rPr>
                <w:sz w:val="20"/>
              </w:rPr>
              <w:t>kg）：≤</w:t>
            </w:r>
            <w:r>
              <w:rPr>
                <w:sz w:val="20"/>
              </w:rPr>
              <w:t>3200</w:t>
            </w:r>
          </w:p>
          <w:p>
            <w:pPr>
              <w:pStyle w:val="null3"/>
              <w:jc w:val="left"/>
            </w:pPr>
            <w:r>
              <w:rPr>
                <w:sz w:val="20"/>
              </w:rPr>
              <w:t>需提供该车辆型号在工业和信息化部装备工业发展中心的《道路机动车辆生产企业及产品信息查询系统》产品信息含网址打印出来的汽车产品技术参数详细页面证明，要求内容能体现满足上述参数要求。同时提供在工业和信息化部装备工业发展中心的</w:t>
            </w:r>
            <w:r>
              <w:rPr>
                <w:sz w:val="20"/>
              </w:rPr>
              <w:t>https://service.miit-eidc.org.cn/miitxxgk/gonggao/xxgk/index?querylb=qy查询截图。</w:t>
            </w: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7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悬挂系统前</w:t>
            </w:r>
            <w:r>
              <w:rPr>
                <w:sz w:val="20"/>
              </w:rPr>
              <w:t>/后麦费逊式独立前悬，霍奇基斯后悬</w:t>
            </w: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7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最小离地间隙（</w:t>
            </w:r>
            <w:r>
              <w:rPr>
                <w:sz w:val="20"/>
              </w:rPr>
              <w:t>mm）:≥185</w:t>
            </w: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7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最小转弯半径（</w:t>
            </w:r>
            <w:r>
              <w:rPr>
                <w:sz w:val="20"/>
              </w:rPr>
              <w:t>m）:≤6.7</w:t>
            </w: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7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燃油种类：柴油</w:t>
            </w: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7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油箱容积（</w:t>
            </w:r>
            <w:r>
              <w:rPr>
                <w:sz w:val="20"/>
              </w:rPr>
              <w:t>L）:≥80</w:t>
            </w: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736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rPr>
              <w:t>发动机：四缸直列、增压中冷、高压共轨柴油机</w:t>
            </w: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7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排气量（</w:t>
            </w:r>
            <w:r>
              <w:rPr>
                <w:sz w:val="20"/>
              </w:rPr>
              <w:t>ml）：≥</w:t>
            </w:r>
            <w:r>
              <w:rPr>
                <w:sz w:val="20"/>
              </w:rPr>
              <w:t>2200</w:t>
            </w: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7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额定功率（</w:t>
            </w:r>
            <w:r>
              <w:rPr>
                <w:sz w:val="20"/>
              </w:rPr>
              <w:t>kw(hp)/rpm）：≥128/3200</w:t>
            </w: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7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最大扭矩（</w:t>
            </w:r>
            <w:r>
              <w:rPr>
                <w:sz w:val="20"/>
              </w:rPr>
              <w:t>Nm/rpm）：≥430/1400-2400</w:t>
            </w: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7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排放标准：国六</w:t>
            </w: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w:t>
            </w:r>
          </w:p>
        </w:tc>
        <w:tc>
          <w:tcPr>
            <w:tcW w:type="dxa" w:w="7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驱动方式：后轮驱动</w:t>
            </w: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w:t>
            </w:r>
          </w:p>
        </w:tc>
        <w:tc>
          <w:tcPr>
            <w:tcW w:type="dxa" w:w="7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变速器：</w:t>
            </w:r>
            <w:r>
              <w:rPr>
                <w:sz w:val="20"/>
              </w:rPr>
              <w:t>6挡手变速器</w:t>
            </w: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w:t>
            </w:r>
          </w:p>
        </w:tc>
        <w:tc>
          <w:tcPr>
            <w:tcW w:type="dxa" w:w="7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最高时速（</w:t>
            </w:r>
            <w:r>
              <w:rPr>
                <w:sz w:val="20"/>
              </w:rPr>
              <w:t>km/h）：≥160</w:t>
            </w: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w:t>
            </w:r>
          </w:p>
        </w:tc>
        <w:tc>
          <w:tcPr>
            <w:tcW w:type="dxa" w:w="7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轮胎规格：</w:t>
            </w:r>
            <w:r>
              <w:rPr>
                <w:sz w:val="20"/>
              </w:rPr>
              <w:t>≥235/65R16C</w:t>
            </w: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c>
          <w:tcPr>
            <w:tcW w:type="dxa" w:w="7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制动系统（前</w:t>
            </w:r>
            <w:r>
              <w:rPr>
                <w:sz w:val="20"/>
              </w:rPr>
              <w:t>/后）：盘式制动</w:t>
            </w: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w:t>
            </w:r>
          </w:p>
        </w:tc>
        <w:tc>
          <w:tcPr>
            <w:tcW w:type="dxa" w:w="7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额定载客（含驾驶员）：</w:t>
            </w:r>
            <w:r>
              <w:rPr>
                <w:sz w:val="20"/>
              </w:rPr>
              <w:t>≥9</w:t>
            </w:r>
          </w:p>
        </w:tc>
      </w:tr>
      <w:tr>
        <w:tc>
          <w:tcPr>
            <w:tcW w:type="dxa" w:w="829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二、车辆主要配置</w:t>
            </w: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73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防抱死制动系统（</w:t>
            </w:r>
            <w:r>
              <w:rPr>
                <w:sz w:val="20"/>
                <w:color w:val="000000"/>
              </w:rPr>
              <w:t>ABS）</w:t>
            </w: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7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制动力分配</w:t>
            </w:r>
            <w:r>
              <w:rPr>
                <w:sz w:val="20"/>
                <w:color w:val="000000"/>
              </w:rPr>
              <w:t>(EBD/CBC)</w:t>
            </w: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7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牵引力控制</w:t>
            </w:r>
            <w:r>
              <w:rPr>
                <w:sz w:val="20"/>
                <w:color w:val="000000"/>
              </w:rPr>
              <w:t>(ASR/TCS/TRC)</w:t>
            </w: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7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车身稳定控制</w:t>
            </w:r>
            <w:r>
              <w:rPr>
                <w:sz w:val="20"/>
                <w:color w:val="000000"/>
              </w:rPr>
              <w:t>(ESC/ESP/DSC)</w:t>
            </w: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7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上坡辅助</w:t>
            </w: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7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胎压监测</w:t>
            </w: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7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主</w:t>
            </w:r>
            <w:r>
              <w:rPr>
                <w:sz w:val="20"/>
                <w:color w:val="000000"/>
              </w:rPr>
              <w:t>/副驾驶座安全气囊+预紧式安全带</w:t>
            </w: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r>
              <w:rPr>
                <w:sz w:val="20"/>
              </w:rPr>
              <w:t>8</w:t>
            </w:r>
          </w:p>
        </w:tc>
        <w:tc>
          <w:tcPr>
            <w:tcW w:type="dxa" w:w="7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空调系统：</w:t>
            </w:r>
          </w:p>
          <w:p>
            <w:pPr>
              <w:pStyle w:val="null3"/>
              <w:jc w:val="left"/>
            </w:pPr>
            <w:r>
              <w:rPr>
                <w:sz w:val="20"/>
                <w:color w:val="000000"/>
              </w:rPr>
              <w:t>(1)医疗舱安装独立冷、暖一体救护车空调。</w:t>
            </w:r>
          </w:p>
          <w:p>
            <w:pPr>
              <w:pStyle w:val="null3"/>
              <w:jc w:val="left"/>
            </w:pPr>
            <w:r>
              <w:rPr>
                <w:sz w:val="20"/>
                <w:color w:val="000000"/>
              </w:rPr>
              <w:t>(2)在车辆静止，医疗舱内平均温度40℃的情况下开启车辆后空调。空调开启3分钟内，医疗舱内降温不低于10℃;10分钟内，医疗舱降温不低于15℃。</w:t>
            </w:r>
          </w:p>
          <w:p>
            <w:pPr>
              <w:pStyle w:val="null3"/>
              <w:jc w:val="left"/>
            </w:pPr>
            <w:r>
              <w:rPr>
                <w:sz w:val="20"/>
                <w:color w:val="000000"/>
              </w:rPr>
              <w:t>(3)冷却系统在环境温度和舱内温度均为32℃的情况下,工作15 min后医疗舱温度不应高于27℃，工作30min后医疗舱温度不应高于25℃。</w:t>
            </w:r>
          </w:p>
          <w:p>
            <w:pPr>
              <w:pStyle w:val="null3"/>
              <w:jc w:val="left"/>
            </w:pPr>
            <w:r>
              <w:rPr>
                <w:sz w:val="20"/>
                <w:color w:val="000000"/>
              </w:rPr>
              <w:t>(4)加热系统在环境温度和舱内温度均为5℃的情况下，工作15 min 后医疗舱温度至少达到22℃;加热应由可调式温度控制装置或电子温度控制系统进行控制，实际温度不能超过设定温度5 ℃以上。</w:t>
            </w:r>
          </w:p>
          <w:p>
            <w:pPr>
              <w:pStyle w:val="null3"/>
              <w:jc w:val="left"/>
            </w:pPr>
            <w:r>
              <w:rPr>
                <w:sz w:val="20"/>
                <w:color w:val="000000"/>
              </w:rPr>
              <w:t>需提供该救护车型号空调系统第三方检测机构出具的带有</w:t>
            </w:r>
            <w:r>
              <w:rPr>
                <w:sz w:val="20"/>
                <w:color w:val="000000"/>
              </w:rPr>
              <w:t>CMA或CNAS标识合格的检验检测报告（检验报告的委托单位需为救护车制造商），要求内容能体现满足上述参数要求，同时提供在全国认证认可信息公共服务平台（认e云）（http://cx.cnca.cn/）检测报告编号查询截图。</w:t>
            </w:r>
          </w:p>
          <w:p>
            <w:pPr>
              <w:pStyle w:val="null3"/>
              <w:jc w:val="left"/>
            </w:pP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7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定速巡航</w:t>
            </w: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7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自动大灯</w:t>
            </w: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7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感应雨刷功能</w:t>
            </w: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7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电调电加热后视镜</w:t>
            </w: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7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多功能方向盘</w:t>
            </w: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7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前</w:t>
            </w:r>
            <w:r>
              <w:rPr>
                <w:sz w:val="20"/>
                <w:color w:val="000000"/>
              </w:rPr>
              <w:t>/后驻车雷达+可视倒车影像</w:t>
            </w: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7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w:t>
            </w:r>
            <w:r>
              <w:rPr>
                <w:sz w:val="20"/>
                <w:color w:val="000000"/>
              </w:rPr>
              <w:t>12</w:t>
            </w:r>
            <w:r>
              <w:rPr>
                <w:sz w:val="20"/>
                <w:color w:val="000000"/>
              </w:rPr>
              <w:t>寸全液晶仪表</w:t>
            </w:r>
            <w:r>
              <w:rPr>
                <w:sz w:val="20"/>
                <w:color w:val="000000"/>
              </w:rPr>
              <w:t>+触控液晶屏/语音识别控</w:t>
            </w: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w:t>
            </w:r>
          </w:p>
        </w:tc>
        <w:tc>
          <w:tcPr>
            <w:tcW w:type="dxa" w:w="7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铝合金轮毂</w:t>
            </w: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w:t>
            </w:r>
          </w:p>
        </w:tc>
        <w:tc>
          <w:tcPr>
            <w:tcW w:type="dxa" w:w="7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180度开度尾门</w:t>
            </w: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w:t>
            </w:r>
          </w:p>
        </w:tc>
        <w:tc>
          <w:tcPr>
            <w:tcW w:type="dxa" w:w="7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手动侧拉门</w:t>
            </w: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w:t>
            </w:r>
          </w:p>
        </w:tc>
        <w:tc>
          <w:tcPr>
            <w:tcW w:type="dxa" w:w="7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侧门电动踏板</w:t>
            </w:r>
          </w:p>
        </w:tc>
      </w:tr>
      <w:tr>
        <w:tc>
          <w:tcPr>
            <w:tcW w:type="dxa" w:w="829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三、医疗舱内外配置</w:t>
            </w: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73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车身涂装</w:t>
            </w: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7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外观根据用户实际需求设计，符合当地救护车外观要求</w:t>
            </w: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7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医疗舱窗户上贴玻璃膜</w:t>
            </w:r>
            <w:r>
              <w:rPr>
                <w:sz w:val="20"/>
              </w:rPr>
              <w:t>2/3。</w:t>
            </w: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7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警灯、警报系统</w:t>
            </w: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w:t>
            </w:r>
          </w:p>
        </w:tc>
        <w:tc>
          <w:tcPr>
            <w:tcW w:type="dxa" w:w="7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驾驶舱配置警报器，可提供多种警调</w:t>
            </w:r>
            <w:r>
              <w:rPr>
                <w:sz w:val="20"/>
              </w:rPr>
              <w:t>(汽笛、低音、辅助、开道救护)，以配合不同场合使用。工作电压：DC12V；输出功率：100W；新增灯控：2路灯控</w:t>
            </w: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w:t>
            </w:r>
          </w:p>
        </w:tc>
        <w:tc>
          <w:tcPr>
            <w:tcW w:type="dxa" w:w="7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车顶前部安装有左、中、右三方位嵌入式</w:t>
            </w:r>
            <w:r>
              <w:rPr>
                <w:sz w:val="20"/>
              </w:rPr>
              <w:t>LED蓝色警灯，加强全方位警示。车辆尾门安装不少于4盏LED蓝色警灯；车顶左右两侧每侧安装不少于8盏LED蓝色警灯。所有警灯安装位置不得高于车身高度。需提供该车辆型号在工业和信息化部装备工业发展中心的《道路机动车辆生产企业及产品信息查询系统》产品信息含网址打印出来的汽车产品技术参数详细页面证明，要求内容能体现满足上述参数要求。同时提供在工业和信息化部装备工业发展中心的https://service.miit-eidc.org.cn/miitxxgk/gonggao/xxgk/index?querylb=qy查询截图。</w:t>
            </w:r>
          </w:p>
          <w:p>
            <w:pPr>
              <w:pStyle w:val="null3"/>
              <w:jc w:val="left"/>
            </w:pP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w:t>
            </w:r>
          </w:p>
        </w:tc>
        <w:tc>
          <w:tcPr>
            <w:tcW w:type="dxa" w:w="7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车顶前部警灯灯罩采用</w:t>
            </w:r>
            <w:r>
              <w:rPr>
                <w:sz w:val="20"/>
              </w:rPr>
              <w:t>PC材料整体模具注塑成型，每侧灯罩面积不少于670mm×430mm×80mm(长×宽×高)。需提供第三方检测机构出具的带有CMA或CNAS标识合格的检验检测报告（检验报告的委托单位需为救护车制造商），要求内容能体现满足上述参数要求，同时提供在全国认证认可信息公共服务平台（认e云）（http://cx.cnca.cn/）检测报告编号查询截图。</w:t>
            </w: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7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照明系统</w:t>
            </w: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3.1</w:t>
            </w:r>
          </w:p>
        </w:tc>
        <w:tc>
          <w:tcPr>
            <w:tcW w:type="dxa" w:w="7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车身两侧和医疗舱后门处安装有</w:t>
            </w:r>
            <w:r>
              <w:rPr>
                <w:sz w:val="20"/>
              </w:rPr>
              <w:t>LED外场照明灯。</w:t>
            </w: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w:t>
            </w:r>
          </w:p>
        </w:tc>
        <w:tc>
          <w:tcPr>
            <w:tcW w:type="dxa" w:w="7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医疗舱顶部安装不少于</w:t>
            </w:r>
            <w:r>
              <w:rPr>
                <w:sz w:val="20"/>
              </w:rPr>
              <w:t>2盏输液照明射灯，可调节照射角度，可在急救时加强局部位置的亮度。</w:t>
            </w: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w:t>
            </w:r>
          </w:p>
        </w:tc>
        <w:tc>
          <w:tcPr>
            <w:tcW w:type="dxa" w:w="7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医疗舱内部安装不少于</w:t>
            </w:r>
            <w:r>
              <w:rPr>
                <w:sz w:val="20"/>
              </w:rPr>
              <w:t>6盏LED照明灯，照明灯内嵌在医疗舱内顶，，光线柔和不刺眼。灯光可通过医疗舱控制面板切换白光和黄光，亮度具有5档可调.</w:t>
            </w: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3.4</w:t>
            </w:r>
          </w:p>
        </w:tc>
        <w:tc>
          <w:tcPr>
            <w:tcW w:type="dxa" w:w="7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医疗舱安装</w:t>
            </w:r>
            <w:r>
              <w:rPr>
                <w:sz w:val="20"/>
              </w:rPr>
              <w:t>LED门控照明灯</w:t>
            </w: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7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中央电源分配系统</w:t>
            </w: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4.1</w:t>
            </w:r>
          </w:p>
        </w:tc>
        <w:tc>
          <w:tcPr>
            <w:tcW w:type="dxa" w:w="7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配备车用紧急启动控制装置：当主电瓶在低于</w:t>
            </w:r>
            <w:r>
              <w:rPr>
                <w:sz w:val="20"/>
              </w:rPr>
              <w:t>12V无法正常启动时，按住紧急启动开关可以借助辅助电瓶令汽车迅速启动。</w:t>
            </w: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4.2</w:t>
            </w:r>
          </w:p>
        </w:tc>
        <w:tc>
          <w:tcPr>
            <w:tcW w:type="dxa" w:w="7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配备智能充电控制装置：</w:t>
            </w:r>
            <w:r>
              <w:rPr>
                <w:sz w:val="20"/>
              </w:rPr>
              <w:t>1、确保主电瓶的正常充电；2、自动断开避免发电机过载，延长发电机寿命；3、辅助电瓶独立工作，避免偷耗主电瓶电能。</w:t>
            </w: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▲4.3.1</w:t>
            </w:r>
          </w:p>
        </w:tc>
        <w:tc>
          <w:tcPr>
            <w:tcW w:type="dxa" w:w="7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自动脱离式充电逆变装置：由自动脱离功能充电枪、充电座</w:t>
            </w:r>
            <w:r>
              <w:rPr>
                <w:sz w:val="20"/>
              </w:rPr>
              <w:t>(带充电状态指示灯)、充电逆变器系统(智能充电逆变一体机、充电状态指示灯)、声光报警器、受控电源组成。投标人需提供产品的连接方式工艺图，不提供视为负偏离。</w:t>
            </w: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▲4.3.2</w:t>
            </w:r>
          </w:p>
        </w:tc>
        <w:tc>
          <w:tcPr>
            <w:tcW w:type="dxa" w:w="7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自动脱离功能充电枪技术参数：</w:t>
            </w:r>
          </w:p>
          <w:p>
            <w:pPr>
              <w:pStyle w:val="null3"/>
              <w:jc w:val="both"/>
            </w:pPr>
            <w:r>
              <w:rPr>
                <w:sz w:val="20"/>
              </w:rPr>
              <w:t>1.充电枪悬挂于车库内，枪头电线（220V16A电流）长度不小于12米(可自由调节悬挂长度)；</w:t>
            </w:r>
          </w:p>
          <w:p>
            <w:pPr>
              <w:pStyle w:val="null3"/>
              <w:jc w:val="both"/>
            </w:pPr>
            <w:r>
              <w:rPr>
                <w:sz w:val="20"/>
              </w:rPr>
              <w:t>2.充电座安装于车辆上，驻车后将充电枪插到充电座上开始自动充电；</w:t>
            </w:r>
          </w:p>
          <w:p>
            <w:pPr>
              <w:pStyle w:val="null3"/>
              <w:jc w:val="both"/>
            </w:pPr>
            <w:r>
              <w:rPr>
                <w:sz w:val="20"/>
              </w:rPr>
              <w:t>3.启动车辆后枪头可以迅速脱离车体插座，脱离时间≤1.5s；给控制线路通电后，2s内充电插头未能自动从插座中脱离，报警器应发出报警声，同时灯光闪烁；</w:t>
            </w:r>
          </w:p>
          <w:p>
            <w:pPr>
              <w:pStyle w:val="null3"/>
              <w:jc w:val="both"/>
            </w:pPr>
            <w:r>
              <w:rPr>
                <w:sz w:val="20"/>
              </w:rPr>
              <w:t>4.样品检验需符合GB/T 11918.1-2014《工业用插头插座和耦合器第1部分：通用要求》标准、企业技术条件规定的要求并提供检验报告，不提供视为负偏离。</w:t>
            </w: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▲4.3.3</w:t>
            </w:r>
          </w:p>
        </w:tc>
        <w:tc>
          <w:tcPr>
            <w:tcW w:type="dxa" w:w="7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充电逆变装置技术参数：</w:t>
            </w:r>
          </w:p>
          <w:p>
            <w:pPr>
              <w:pStyle w:val="null3"/>
              <w:jc w:val="both"/>
            </w:pPr>
            <w:r>
              <w:rPr>
                <w:sz w:val="20"/>
              </w:rPr>
              <w:t>1.充电功能，完全自动智能充电，无须看护，能根据车辆蓄电池亏电的大小程度，自动选择最佳充电电流，对蓄电池进行有效保护；当有交流电器需要工作且无市电时，可以提供本设备提供交流用电。供电AC180V-240V，0.5-2.1A，50/60Hz，效率&gt;97%；充电DC13.8V/2-110A或者27.6V（出厂前设定）/2-80A(智能调节),充电时绿灯每隔1秒闪1次（时长1秒），充满时绿灯每隔2秒闪1次（时长2秒），故障时绿灯爆闪（每隔0.5秒闪1次）。</w:t>
            </w:r>
          </w:p>
          <w:p>
            <w:pPr>
              <w:pStyle w:val="null3"/>
              <w:jc w:val="both"/>
            </w:pPr>
            <w:r>
              <w:rPr>
                <w:sz w:val="20"/>
              </w:rPr>
              <w:t>2.逆变功能，供电DC10V-16V，输出300-3000W正弦波，实现车辆上交流电应急需求。</w:t>
            </w:r>
          </w:p>
          <w:p>
            <w:pPr>
              <w:pStyle w:val="null3"/>
              <w:jc w:val="both"/>
            </w:pPr>
            <w:r>
              <w:rPr>
                <w:sz w:val="20"/>
              </w:rPr>
              <w:t>3.样品检验需符合GB/T 17799.1-2017《电磁兼 容通用标准 居住、商业和轻工业环境中的抗扰度试验》和企业技术条件规定的要求，不提供视为负偏离。</w:t>
            </w: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4.4</w:t>
            </w:r>
          </w:p>
        </w:tc>
        <w:tc>
          <w:tcPr>
            <w:tcW w:type="dxa" w:w="7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医疗舱响应位置配置不少于</w:t>
            </w:r>
            <w:r>
              <w:rPr>
                <w:sz w:val="20"/>
                <w:color w:val="000000"/>
              </w:rPr>
              <w:t>5组交流（220V）电源插座组，不少于1组直流（12V）电源插座带USB接口。</w:t>
            </w: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4.5</w:t>
            </w:r>
          </w:p>
        </w:tc>
        <w:tc>
          <w:tcPr>
            <w:tcW w:type="dxa" w:w="7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安装外接电源（</w:t>
            </w:r>
            <w:r>
              <w:rPr>
                <w:sz w:val="20"/>
              </w:rPr>
              <w:t>220V/10A防水、带防护盖)，配不少于15米移动电缆。</w:t>
            </w: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4.6</w:t>
            </w:r>
          </w:p>
        </w:tc>
        <w:tc>
          <w:tcPr>
            <w:tcW w:type="dxa" w:w="7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驾驶室和医疗舱均设置有轻触式薄膜控制面板，其前、后控制面板均可以控制医疗舱内的电器设备。通过触摸式按键可以控制医疗舱照明灯、</w:t>
            </w:r>
            <w:r>
              <w:rPr>
                <w:sz w:val="20"/>
              </w:rPr>
              <w:t>220V电源、换气通风、前后对讲、内射灯。医疗舱控制面板配有</w:t>
            </w:r>
            <w:r>
              <w:rPr>
                <w:sz w:val="20"/>
                <w:color w:val="000000"/>
              </w:rPr>
              <w:t>液晶屏能显示：时间、室内温度、室内湿度、主辅电瓶</w:t>
            </w:r>
            <w:r>
              <w:rPr>
                <w:sz w:val="20"/>
                <w:color w:val="000000"/>
              </w:rPr>
              <w:t>12V电压、交流220V电压等。</w:t>
            </w: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▲4.7</w:t>
            </w:r>
          </w:p>
        </w:tc>
        <w:tc>
          <w:tcPr>
            <w:tcW w:type="dxa" w:w="7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车辆改制线路采用汽车专用低压电线束：绝缘层压接弯折、连接力检验、端子截面分析、电压降试验、接点防水、橡胶件防水、导通试验、耐工业溶剂试验均符合国家汽车行业标准《</w:t>
            </w:r>
            <w:r>
              <w:rPr>
                <w:sz w:val="20"/>
              </w:rPr>
              <w:t>QC/T 29106-2014汽车电线束技术条件》的要求，线缆的阻燃测试需符合标准UL94的要求。</w:t>
            </w: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4.8</w:t>
            </w:r>
          </w:p>
        </w:tc>
        <w:tc>
          <w:tcPr>
            <w:tcW w:type="dxa" w:w="7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电控箱：利于维护保养的模块集成设计，且</w:t>
            </w:r>
            <w:r>
              <w:rPr>
                <w:sz w:val="20"/>
              </w:rPr>
              <w:t>在</w:t>
            </w:r>
            <w:r>
              <w:rPr>
                <w:sz w:val="20"/>
              </w:rPr>
              <w:t>220V电源输出端装有漏电及短路保护器。</w:t>
            </w: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7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灭菌灯</w:t>
            </w: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5.1</w:t>
            </w:r>
          </w:p>
        </w:tc>
        <w:tc>
          <w:tcPr>
            <w:tcW w:type="dxa" w:w="7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医疗舱安装</w:t>
            </w:r>
            <w:r>
              <w:rPr>
                <w:sz w:val="20"/>
              </w:rPr>
              <w:t>1盏紫外光灭菌灯：灭菌灯开关集成到医疗舱控制面板，电源启动后，灭菌灯将在延时1分钟后工作，30分钟后自动关闭</w:t>
            </w: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▲5.2</w:t>
            </w:r>
          </w:p>
        </w:tc>
        <w:tc>
          <w:tcPr>
            <w:tcW w:type="dxa" w:w="7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紫外线辐照强度为</w:t>
            </w:r>
            <w:r>
              <w:rPr>
                <w:sz w:val="20"/>
              </w:rPr>
              <w:t>≥200μW/cm2、作用时间30min，试验重复3次，对铜绿假单胞菌（ATCC 15442）、大肠杆菌（8099）、金黄色葡萄球菌（ATCC 6538）和白色念珠菌（ATCC 10231）的杀灭对数值均＞3，作用时间90min，试验重复3次，对枯草杆菌黑色变种芽孢（ATCC 9372）的杀灭对数值均＞3，符合《消毒技术规范》2002 年版-2.1.5.4.5规定的标准值（杀灭对数值均≥3）。</w:t>
            </w: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7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医疗舱安装双向换气系统（进出风）。</w:t>
            </w: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7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配置前后对讲系统。</w:t>
            </w: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7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配置</w:t>
            </w:r>
            <w:r>
              <w:rPr>
                <w:sz w:val="20"/>
              </w:rPr>
              <w:t>侧门和后门上车头部防撞保护</w:t>
            </w: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7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医疗舱顶部安装</w:t>
            </w:r>
            <w:r>
              <w:rPr>
                <w:sz w:val="20"/>
              </w:rPr>
              <w:t>1条黄色尼龙抗菌扶手。</w:t>
            </w: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7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医疗舱顶部安装</w:t>
            </w:r>
            <w:r>
              <w:rPr>
                <w:sz w:val="20"/>
              </w:rPr>
              <w:t>1个输液挂架。</w:t>
            </w: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7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医疗舱内壁覆盖保温隔热材料。</w:t>
            </w: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7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安装分隔墙，带可推拉窗户；将车厢前后分隔成驾驶室和医疗舱两个区域。</w:t>
            </w: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7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内饰材料及工艺</w:t>
            </w: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13.1</w:t>
            </w:r>
          </w:p>
        </w:tc>
        <w:tc>
          <w:tcPr>
            <w:tcW w:type="dxa" w:w="7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医疗舱整体风格仿照航空舱设计，医疗舱内饰采用</w:t>
            </w:r>
            <w:r>
              <w:rPr>
                <w:sz w:val="20"/>
              </w:rPr>
              <w:t>ABS板材整体模具吸塑成型。所有功能柜采用ABS材料整体模具注塑成型，边角位及操作台都做成圆角，保护乘员安全。医疗舱整体独立无接缝，产品密度高重量轻，整体抗冲击能力强，光洁、抗菌、易清洗、可消毒、抗UV、抗氧化等特点。符合GB8410－2006《汽车内饰材料的燃烧特性》的要求。</w:t>
            </w: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▲13.2</w:t>
            </w:r>
          </w:p>
        </w:tc>
        <w:tc>
          <w:tcPr>
            <w:tcW w:type="dxa" w:w="7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医疗舱内部表面不应有尖锐的凸起物体，医疗舱内各箱、柜等人员可接触到的物体边缘应以圆形边缘或倒角终止，曲率半径不应小于</w:t>
            </w:r>
            <w:r>
              <w:rPr>
                <w:sz w:val="20"/>
              </w:rPr>
              <w:t>2.5mm，保护乘员安全。</w:t>
            </w: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7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吊顶柜</w:t>
            </w: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14.1</w:t>
            </w:r>
          </w:p>
        </w:tc>
        <w:tc>
          <w:tcPr>
            <w:tcW w:type="dxa" w:w="7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医疗舱上方左右两边安装吊顶柜</w:t>
            </w:r>
            <w:r>
              <w:rPr>
                <w:sz w:val="20"/>
              </w:rPr>
              <w:t>,左侧柜设置不少于4个独立储物格，右侧设置不少于2个独立储物格柜。吊柜柜门要求采用半透明或透明材料，方便医护人员看清物品放置状态；为保证吊柜坚固及耐用性，吊柜柜体及柜门要求为整体注塑成型；为方便及快速拿取医疗用品，要求柜门合页采用任意停设计形式，不可使用液压撑杆。</w:t>
            </w: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▲14.2</w:t>
            </w:r>
          </w:p>
        </w:tc>
        <w:tc>
          <w:tcPr>
            <w:tcW w:type="dxa" w:w="7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吊柜柜体为</w:t>
            </w:r>
            <w:r>
              <w:rPr>
                <w:sz w:val="20"/>
              </w:rPr>
              <w:t>ABS材料注塑成型，每个储物格尺寸不少于600mm×310mm×340mm（长×宽×高）。</w:t>
            </w: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7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医生椅右边位置安装急救箱柜，急救箱柜设有抽屉、膝顶式弹出的污物桶、锐器桶，急救箱放置区。整套组合柜整体采用</w:t>
            </w:r>
            <w:r>
              <w:rPr>
                <w:sz w:val="20"/>
              </w:rPr>
              <w:t>ABS材料整体模具注塑成型。</w:t>
            </w: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w:t>
            </w:r>
          </w:p>
        </w:tc>
        <w:tc>
          <w:tcPr>
            <w:tcW w:type="dxa" w:w="7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医疗舱左侧靠中隔墙拐角处安装有组合柜，组合柜设有带阳极氧化铝合金卷帘门大容量储物柜，上面设有不少于</w:t>
            </w:r>
            <w:r>
              <w:rPr>
                <w:sz w:val="20"/>
              </w:rPr>
              <w:t>2个开放式储物格。整套组合柜整体采用ABS材料整体模具注塑成型。</w:t>
            </w: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w:t>
            </w:r>
          </w:p>
        </w:tc>
        <w:tc>
          <w:tcPr>
            <w:tcW w:type="dxa" w:w="7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医疗组合柜</w:t>
            </w: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17.1</w:t>
            </w:r>
          </w:p>
        </w:tc>
        <w:tc>
          <w:tcPr>
            <w:tcW w:type="dxa" w:w="7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车辆安装一组医疗柜，柜体要求能灵活组合变换，便于后期维修更换，柜体能单独作为一个单元柜，方便放置较大物品。同时也可以随时更换成三个自锁注塑抽屉，方便分类储物。需提医疗柜供实物图片。</w:t>
            </w: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▲17.2</w:t>
            </w:r>
          </w:p>
        </w:tc>
        <w:tc>
          <w:tcPr>
            <w:tcW w:type="dxa" w:w="7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医疗柜柜体为整体</w:t>
            </w:r>
            <w:r>
              <w:rPr>
                <w:sz w:val="20"/>
              </w:rPr>
              <w:t>ABS材料注塑成型，每个储物柜尺寸不少于480mm×300mm×620mm（长×宽×高）。</w:t>
            </w: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w:t>
            </w:r>
          </w:p>
        </w:tc>
        <w:tc>
          <w:tcPr>
            <w:tcW w:type="dxa" w:w="7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氧气柜</w:t>
            </w: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18.1</w:t>
            </w:r>
          </w:p>
        </w:tc>
        <w:tc>
          <w:tcPr>
            <w:tcW w:type="dxa" w:w="7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医疗舱左后侧安装氧气柜，门板设有操作窗，方便操作。氧气柜整体采用</w:t>
            </w:r>
            <w:r>
              <w:rPr>
                <w:sz w:val="20"/>
              </w:rPr>
              <w:t>ABS材料整体模具注塑成型。</w:t>
            </w: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▲18.2</w:t>
            </w:r>
          </w:p>
        </w:tc>
        <w:tc>
          <w:tcPr>
            <w:tcW w:type="dxa" w:w="7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预埋精密无缝</w:t>
            </w:r>
            <w:r>
              <w:rPr>
                <w:sz w:val="20"/>
              </w:rPr>
              <w:t>GB卫生氧气管路，采用316不锈钢耐压管连接控制面板，屈服强度≥309Mpa，拉伸强度≥621Mpa。不锈钢管在模拟压力250bar水压环境中，保压一小时,管道无泄露，无变形。需提供第三方检测机构出具的检验检测报告</w:t>
            </w: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w:t>
            </w:r>
          </w:p>
        </w:tc>
        <w:tc>
          <w:tcPr>
            <w:tcW w:type="dxa" w:w="7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医疗舱座椅</w:t>
            </w: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19.1</w:t>
            </w:r>
          </w:p>
        </w:tc>
        <w:tc>
          <w:tcPr>
            <w:tcW w:type="dxa" w:w="7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医疗舱分隔墙位置安装医生椅，带舒适靠背，座椅下方为储物格。</w:t>
            </w: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19.2</w:t>
            </w:r>
          </w:p>
        </w:tc>
        <w:tc>
          <w:tcPr>
            <w:tcW w:type="dxa" w:w="7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医疗舱右侧靠中门处安装单人朝前座椅，座垫可翻折，座椅靠背可调，配有扶手及</w:t>
            </w:r>
            <w:r>
              <w:rPr>
                <w:sz w:val="20"/>
              </w:rPr>
              <w:t>3点式安全带。</w:t>
            </w: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19.3</w:t>
            </w:r>
          </w:p>
        </w:tc>
        <w:tc>
          <w:tcPr>
            <w:tcW w:type="dxa" w:w="7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医疗舱右侧</w:t>
            </w:r>
            <w:r>
              <w:rPr>
                <w:sz w:val="20"/>
              </w:rPr>
              <w:t>3人长排柜式座椅，带舒适背、软座垫及配3套3点式安全带，座垫下方设有储物柜。长排柜式座椅整体都是采用ABS材料整体模具注塑成型。</w:t>
            </w: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▲20.4</w:t>
            </w:r>
          </w:p>
        </w:tc>
        <w:tc>
          <w:tcPr>
            <w:tcW w:type="dxa" w:w="7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医疗舱所座椅及软包皮垫采用超纤革包裹，撕裂强度、拉伸强度高，耐折性好，耐寒性佳，耐霉变性，表面易清洗，组织结构和天然皮革相似等特点。符合</w:t>
            </w:r>
            <w:r>
              <w:rPr>
                <w:sz w:val="20"/>
              </w:rPr>
              <w:t>GB8410－2006《汽车内饰材料的燃烧特性》的要求。座椅包裹材料超纤革的燃烧速度应不大于100mm/min，暴露在火焰中15S，熄灭火源材料仍未燃烧。</w:t>
            </w: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w:t>
            </w:r>
          </w:p>
        </w:tc>
        <w:tc>
          <w:tcPr>
            <w:tcW w:type="dxa" w:w="7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供氧系统</w:t>
            </w: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▲21.1</w:t>
            </w:r>
          </w:p>
        </w:tc>
        <w:tc>
          <w:tcPr>
            <w:tcW w:type="dxa" w:w="7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配备</w:t>
            </w:r>
            <w:r>
              <w:rPr>
                <w:sz w:val="20"/>
              </w:rPr>
              <w:t>智能供氧系统</w:t>
            </w:r>
            <w:r>
              <w:rPr>
                <w:sz w:val="20"/>
                <w:color w:val="000000"/>
              </w:rPr>
              <w:t>：安装于车厢前方靠近担架床头部位置的车厢壁上，整合两个供氧终端及电子氧气压力表，能实时查看对应的氧气瓶的气压，</w:t>
            </w:r>
            <w:r>
              <w:rPr>
                <w:sz w:val="20"/>
              </w:rPr>
              <w:t>通过</w:t>
            </w:r>
            <w:r>
              <w:rPr>
                <w:sz w:val="20"/>
              </w:rPr>
              <w:t>4 路高精度传感器采集数据，确保氧气数据实时准确。供氧系统与中控系统融合，共享中控屏，</w:t>
            </w:r>
            <w:r>
              <w:rPr>
                <w:sz w:val="20"/>
                <w:color w:val="000000"/>
              </w:rPr>
              <w:t>工作人员可直接在中控系统面板上查看氧气瓶实时数据，实现氧气瓶自动切换功能（可手动切换），同时具备充氧提醒、氧气终端有压力异常等提醒与语音报警功能。</w:t>
            </w:r>
          </w:p>
          <w:p>
            <w:pPr>
              <w:pStyle w:val="null3"/>
              <w:jc w:val="left"/>
            </w:pPr>
            <w:r>
              <w:rPr>
                <w:sz w:val="20"/>
              </w:rPr>
              <w:t>主要技术参数</w:t>
            </w:r>
          </w:p>
          <w:p>
            <w:pPr>
              <w:pStyle w:val="null3"/>
              <w:jc w:val="left"/>
            </w:pPr>
            <w:r>
              <w:rPr>
                <w:sz w:val="20"/>
              </w:rPr>
              <w:t>1）输入电源：DC12v</w:t>
            </w:r>
          </w:p>
          <w:p>
            <w:pPr>
              <w:pStyle w:val="null3"/>
              <w:jc w:val="left"/>
            </w:pPr>
            <w:r>
              <w:rPr>
                <w:sz w:val="20"/>
              </w:rPr>
              <w:t>2）气压范围：0-15MP a</w:t>
            </w:r>
          </w:p>
          <w:p>
            <w:pPr>
              <w:pStyle w:val="null3"/>
              <w:jc w:val="left"/>
            </w:pPr>
            <w:r>
              <w:rPr>
                <w:sz w:val="20"/>
              </w:rPr>
              <w:t>3）测量精度：±1%</w:t>
            </w:r>
          </w:p>
          <w:p>
            <w:pPr>
              <w:pStyle w:val="null3"/>
              <w:jc w:val="left"/>
            </w:pPr>
            <w:r>
              <w:rPr>
                <w:sz w:val="20"/>
              </w:rPr>
              <w:t>4）监测端口：气源端、输出端共4路检测端口</w:t>
            </w:r>
          </w:p>
          <w:p>
            <w:pPr>
              <w:pStyle w:val="null3"/>
              <w:jc w:val="left"/>
            </w:pPr>
            <w:r>
              <w:rPr>
                <w:sz w:val="20"/>
              </w:rPr>
              <w:t>5）减压方式：二级减压</w:t>
            </w:r>
          </w:p>
          <w:p>
            <w:pPr>
              <w:pStyle w:val="null3"/>
              <w:jc w:val="left"/>
            </w:pPr>
            <w:r>
              <w:rPr>
                <w:sz w:val="20"/>
              </w:rPr>
              <w:t>6）交互方式：语音播报+文字提醒+电容屏全触控操作</w:t>
            </w:r>
          </w:p>
          <w:p>
            <w:pPr>
              <w:pStyle w:val="null3"/>
              <w:jc w:val="left"/>
            </w:pPr>
            <w:r>
              <w:rPr>
                <w:sz w:val="20"/>
              </w:rPr>
              <w:t>7）环境温度：-20°C至60°C</w:t>
            </w:r>
          </w:p>
          <w:p>
            <w:pPr>
              <w:pStyle w:val="null3"/>
              <w:jc w:val="left"/>
            </w:pPr>
            <w:r>
              <w:rPr>
                <w:sz w:val="20"/>
              </w:rPr>
              <w:t>8）通讯接口：RS485</w:t>
            </w:r>
          </w:p>
          <w:p>
            <w:pPr>
              <w:pStyle w:val="null3"/>
              <w:jc w:val="left"/>
            </w:pPr>
            <w:r>
              <w:rPr>
                <w:sz w:val="20"/>
              </w:rPr>
              <w:t>9）通讯格式：Modbus-RTU</w:t>
            </w:r>
          </w:p>
          <w:p>
            <w:pPr>
              <w:pStyle w:val="null3"/>
              <w:jc w:val="left"/>
            </w:pPr>
            <w:r>
              <w:rPr>
                <w:sz w:val="20"/>
              </w:rPr>
              <w:t>10）氧气瓶智能切换，可手动切换</w:t>
            </w:r>
          </w:p>
          <w:p>
            <w:pPr>
              <w:pStyle w:val="null3"/>
              <w:jc w:val="left"/>
            </w:pPr>
            <w:r>
              <w:rPr>
                <w:sz w:val="20"/>
              </w:rPr>
              <w:t>10）氧气瓶状态图形化显示</w:t>
            </w:r>
          </w:p>
          <w:p>
            <w:pPr>
              <w:pStyle w:val="null3"/>
              <w:jc w:val="left"/>
            </w:pPr>
            <w:r>
              <w:rPr>
                <w:sz w:val="20"/>
              </w:rPr>
              <w:t>11）容量百分比数字图形化显示（精度为</w:t>
            </w:r>
            <w:r>
              <w:rPr>
                <w:sz w:val="20"/>
              </w:rPr>
              <w:t>：</w:t>
            </w:r>
            <w:r>
              <w:rPr>
                <w:sz w:val="20"/>
              </w:rPr>
              <w:t>±1%</w:t>
            </w:r>
            <w:r>
              <w:rPr>
                <w:sz w:val="20"/>
              </w:rPr>
              <w:t>）</w:t>
            </w:r>
          </w:p>
          <w:p>
            <w:pPr>
              <w:pStyle w:val="null3"/>
              <w:jc w:val="left"/>
            </w:pPr>
            <w:r>
              <w:rPr>
                <w:sz w:val="20"/>
              </w:rPr>
              <w:t>12）氧气余量过低为红色警示色显示</w:t>
            </w:r>
          </w:p>
          <w:p>
            <w:pPr>
              <w:pStyle w:val="null3"/>
              <w:jc w:val="left"/>
            </w:pPr>
            <w:r>
              <w:rPr>
                <w:sz w:val="20"/>
              </w:rPr>
              <w:t>13）系统设置带加密功能</w:t>
            </w:r>
          </w:p>
          <w:p>
            <w:pPr>
              <w:pStyle w:val="null3"/>
              <w:jc w:val="left"/>
            </w:pPr>
            <w:r>
              <w:rPr>
                <w:sz w:val="20"/>
              </w:rPr>
              <w:t>提供技术白皮书、厂家彩页作为佐证材</w:t>
            </w: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21.2</w:t>
            </w:r>
          </w:p>
        </w:tc>
        <w:tc>
          <w:tcPr>
            <w:tcW w:type="dxa" w:w="7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配备</w:t>
            </w:r>
            <w:r>
              <w:rPr>
                <w:sz w:val="20"/>
              </w:rPr>
              <w:t>2个不少于10升氧气瓶。</w:t>
            </w: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w:t>
            </w:r>
          </w:p>
        </w:tc>
        <w:tc>
          <w:tcPr>
            <w:tcW w:type="dxa" w:w="7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地板采用耐酸、碱及防火、防滑、防静电地板革，地板革的燃烧特性应符合</w:t>
            </w:r>
            <w:r>
              <w:rPr>
                <w:sz w:val="20"/>
                <w:color w:val="000000"/>
              </w:rPr>
              <w:t>GB8410－2006《汽车内饰材料的燃烧特性》要求。地板革的燃烧速度应不大于100mm/min，暴露在火焰中15S，熄灭火源材料仍未燃烧，且依据GB/T30512-2014《汽车禁用物质要求》要求未检测出镉（Cd）、铅（Pb）、六价铬（Cr6+）、汞（Hg）、多溴联苯（PBBs）、多溴联苯醚（PBDEs）。</w:t>
            </w: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w:t>
            </w:r>
          </w:p>
        </w:tc>
        <w:tc>
          <w:tcPr>
            <w:tcW w:type="dxa" w:w="7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医疗舱配备不少于</w:t>
            </w:r>
            <w:r>
              <w:rPr>
                <w:sz w:val="20"/>
              </w:rPr>
              <w:t>1个</w:t>
            </w:r>
            <w:r>
              <w:rPr>
                <w:sz w:val="20"/>
              </w:rPr>
              <w:t>≥</w:t>
            </w:r>
            <w:r>
              <w:rPr>
                <w:sz w:val="20"/>
              </w:rPr>
              <w:t>2KG灭火器</w:t>
            </w: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w:t>
            </w:r>
          </w:p>
        </w:tc>
        <w:tc>
          <w:tcPr>
            <w:tcW w:type="dxa" w:w="7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救护车信息系统（车载</w:t>
            </w:r>
            <w:r>
              <w:rPr>
                <w:sz w:val="20"/>
              </w:rPr>
              <w:t>+ 后台）标准配置：标准：符合《院前医疗急救管理办法》《救护车卫生行业标准》包含 4G/5G 传输、GPS / 北斗定位、视频监控、院前急救电子病历、生命体征实时上传、与 120 调度及医院急诊系统对接功能，实现院前急救与院内救治信息互联互通。</w:t>
            </w:r>
          </w:p>
        </w:tc>
      </w:tr>
    </w:tbl>
    <w:p>
      <w:pPr>
        <w:pStyle w:val="null3"/>
        <w:jc w:val="left"/>
      </w:pPr>
      <w:r>
        <w:rPr>
          <w:sz w:val="20"/>
        </w:rPr>
        <w:t>配置清单：</w:t>
      </w:r>
    </w:p>
    <w:tbl>
      <w:tblPr>
        <w:tblW w:w="0" w:type="auto"/>
        <w:tblBorders>
          <w:top w:val="none" w:color="000000" w:sz="4"/>
          <w:left w:val="none" w:color="000000" w:sz="4"/>
          <w:bottom w:val="none" w:color="000000" w:sz="4"/>
          <w:right w:val="none" w:color="000000" w:sz="4"/>
          <w:insideH w:val="none"/>
          <w:insideV w:val="none"/>
        </w:tblBorders>
      </w:tblPr>
      <w:tblGrid>
        <w:gridCol w:w="1014"/>
        <w:gridCol w:w="3498"/>
        <w:gridCol w:w="1288"/>
        <w:gridCol w:w="1272"/>
      </w:tblGrid>
      <w:tr>
        <w:tc>
          <w:tcPr>
            <w:tcW w:type="dxa" w:w="10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34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设备名称</w:t>
            </w:r>
          </w:p>
        </w:tc>
        <w:tc>
          <w:tcPr>
            <w:tcW w:type="dxa" w:w="12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c>
          <w:tcPr>
            <w:tcW w:type="dxa" w:w="12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单位</w:t>
            </w: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3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救护车</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辆</w:t>
            </w: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3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吸痰机</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3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快速血糖自动测定仪</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3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气压止血器</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3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血</w:t>
            </w:r>
            <w:r>
              <w:rPr>
                <w:sz w:val="20"/>
                <w:color w:val="000000"/>
              </w:rPr>
              <w:t>氧夹</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3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血压计</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3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铲式担架</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张</w:t>
            </w: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3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担架轮椅</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张</w:t>
            </w: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3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转运箱</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3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转运床</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张</w:t>
            </w:r>
          </w:p>
        </w:tc>
      </w:tr>
    </w:tbl>
    <w:p>
      <w:pPr>
        <w:pStyle w:val="null3"/>
      </w:pPr>
      <w:r>
        <w:rPr/>
        <w:t>采购包1（救护车）</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合同生效后，接到采购人通知后15个日历日内供货、安装调试</w:t>
            </w:r>
          </w:p>
        </w:tc>
      </w:tr>
      <w:tr>
        <w:tc>
          <w:tcPr>
            <w:tcW w:type="dxa" w:w="4153"/>
          </w:tcPr>
          <w:p>
            <w:pPr>
              <w:pStyle w:val="null3"/>
            </w:pPr>
            <w:r>
              <w:rPr/>
              <w:t>标的提供的地点</w:t>
            </w:r>
          </w:p>
        </w:tc>
        <w:tc>
          <w:tcPr>
            <w:tcW w:type="dxa" w:w="4153"/>
          </w:tcPr>
          <w:p>
            <w:pPr>
              <w:pStyle w:val="null3"/>
            </w:pPr>
            <w:r>
              <w:rPr/>
              <w:t>按采购人要求</w:t>
            </w:r>
          </w:p>
        </w:tc>
      </w:tr>
      <w:tr>
        <w:tc>
          <w:tcPr>
            <w:tcW w:type="dxa" w:w="4153"/>
          </w:tcPr>
          <w:p>
            <w:pPr>
              <w:pStyle w:val="null3"/>
            </w:pPr>
            <w:r>
              <w:rPr/>
              <w:t>付款方式</w:t>
            </w:r>
          </w:p>
        </w:tc>
        <w:tc>
          <w:tcPr>
            <w:tcW w:type="dxa" w:w="4153"/>
          </w:tcPr>
          <w:p>
            <w:pPr>
              <w:pStyle w:val="null3"/>
            </w:pPr>
            <w:r>
              <w:rPr/>
              <w:t>1期：支付比例100%,投标人应知悉并同意本项目是广州中医药大学第一附属医院深汕医院（深汕中医医院、汕尾市中医医院）受汕尾市卫生健康局委托采购的深汕中医医院一期工程配套项目，属于政府采购项目，由财政资金支付。因本项目使用的是财政资金，中标人清楚知悉本合同所需的款项须由采购人向汕尾市卫生健康局申请,汕尾市卫生健康局向汕尾市财政部门申请拨付，财政部门付款需履行相关流程，合同约定的付款时间为采购人提出支付申请的时间，而非款项实际支付时间。如因政府财政支付流程导致的支付延期，付款期限顺延至财政资金拨付之日，采购人、汕尾市卫生健康局不承担因财政资金不能及时到位导致延期或无法支付合同价款的违约责任，且不承担由此给中标人造成的任何损失，该情况也不能作为中标人延迟履行或者不履行合同义务的抗辩理由。对于满足约定支付条件的，中标人应当向汕尾市卫生健康局开具合法、有效、等额的增值税发票，否则采购人、汕尾市卫生健康局有权暂不申请支付款且无需承担任何违约责任。中标人怠于提供发票的，采购人、汕尾市卫生健康局有权顺延付款期限，中标人不得据此怠于履行约定的义务。 一、若中标人为大型企业（依据《关于印发中小企业划型标准规定的通知》工信部联企业〔2011〕300号划分大型企业），设备安装调试验收合格后，中标人应向采购人提交(1)中标通知书；(2)合同；(3)请款函；(4)经采购人确认的付款当期的验收证明和现场安装照片；(5)中标人向汕尾市卫生健康局开具的等额正式发票,向采购人申请付款。采购人在收到中标人提供的资料后，满足支付条件后最多不超过10个工作日内办理支付手续，向中标人支付合同金额的100%的货款。 二、如中标人为中小企业（依据《关于印发中小企业划型标准规定的通知》工信部联企业〔2011〕300号划分中小企业） 1）合同签订后，中标人向汕尾市卫生健康局开具合同总价30%的发票，满足付款支付条件后最多不超过10个工作日内支付合同总金额的30%； 2） 设备安装调试验收合格后，中标人向采购人提交(1)中标通知书；(2)合同；(3)请款函；(4)经采购人确认的付款当期的验收证明和现场安装照片；(5)中标人向汕尾市卫生健康局开具的等额正式发票,向采购人申请付款。采购人在收到中标人提供的资料后，满足支付条件后最多不超过10个工作日内办理支付手续，向中标人支付合同金额的70%的货款。 三、本付款办法如有未尽事宜，以具体合同为准，委托方、被委托方、中标人三方友好协商解决。</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签订合同接采购人发货通知后30个日历日内完成货物（设备）的配套安装、调试工作，并在完成上述工作后5个日历日内通过采购人的验收，交付给采购人正常使用（具体要求根据采购人实际情况及资金实际安排而定）</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p>
          <w:p>
            <w:pPr>
              <w:pStyle w:val="null3"/>
            </w:pPr>
            <w:r>
              <w:rPr/>
              <w:t>说明：中标人以电子保函形式提交本合同总金额5%履约保证金，若中标人没有违约行为，则待货物安装正常使用后采购人在收到相关申请资料后次月自动失效。下列任何一种情况发生时，采购人有权不予退还履约保证金：（一）中标人未完全履行项目投标文件承诺或合同约定的；（二）中标人的原因导致采购人损失的。</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真实性和有效性，同意采购方以任何形式对投标人投标文件内容及采购方认为有必要的相关资料的真实性和有效性进行审查、验证</w:t>
            </w:r>
          </w:p>
          <w:p>
            <w:pPr>
              <w:pStyle w:val="null3"/>
            </w:pPr>
            <w:r>
              <w:rPr/>
              <w:t>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包装和运输</w:t>
            </w:r>
          </w:p>
        </w:tc>
        <w:tc>
          <w:tcPr>
            <w:tcW w:type="dxa" w:w="2076"/>
          </w:tcPr>
          <w:p>
            <w:pPr>
              <w:pStyle w:val="null3"/>
              <w:jc w:val="left"/>
            </w:pPr>
            <w:r>
              <w:rPr/>
              <w:t>设备的包装均应有良好的防湿、防锈、防潮、防雨、防腐及防碰撞的措施。包装和运输必须要符合相关法律法规的要求和标准；凡由于包装不良造成的损失和由此产生的费用均由乙方承担。（具体要求根据采购人实际情况及资金实际安排而定）</w:t>
            </w:r>
          </w:p>
        </w:tc>
      </w:tr>
      <w:tr>
        <w:tc>
          <w:tcPr>
            <w:tcW w:type="dxa" w:w="2076"/>
          </w:tcPr>
          <w:p/>
        </w:tc>
        <w:tc>
          <w:tcPr>
            <w:tcW w:type="dxa" w:w="2076"/>
          </w:tcPr>
          <w:p>
            <w:pPr>
              <w:pStyle w:val="null3"/>
              <w:jc w:val="center"/>
            </w:pPr>
            <w:r>
              <w:rPr/>
              <w:t>2</w:t>
            </w:r>
          </w:p>
        </w:tc>
        <w:tc>
          <w:tcPr>
            <w:tcW w:type="dxa" w:w="2076"/>
          </w:tcPr>
          <w:p>
            <w:pPr>
              <w:pStyle w:val="null3"/>
              <w:jc w:val="left"/>
            </w:pPr>
            <w:r>
              <w:rPr/>
              <w:t>安装、调试与测试</w:t>
            </w:r>
          </w:p>
        </w:tc>
        <w:tc>
          <w:tcPr>
            <w:tcW w:type="dxa" w:w="2076"/>
          </w:tcPr>
          <w:p>
            <w:pPr>
              <w:pStyle w:val="null3"/>
              <w:jc w:val="left"/>
            </w:pPr>
            <w:r>
              <w:rPr/>
              <w:t>（1）中标人必须依照招标文件的要求和投标文件的承诺，将设备、系统安装并调试至正常运行的最佳状态，测试无故障。 （2）合同设备安装 1）各种设备必须提供装箱清单，按合同清单验收货物。 2）中标人安装时须对各安装场地内的其他设备、设施有良好保护措施。如损坏采购人院内设备、设施，中标人需与采购人协商赔偿事宜。</w:t>
            </w:r>
          </w:p>
        </w:tc>
      </w:tr>
      <w:tr>
        <w:tc>
          <w:tcPr>
            <w:tcW w:type="dxa" w:w="2076"/>
          </w:tcPr>
          <w:p/>
        </w:tc>
        <w:tc>
          <w:tcPr>
            <w:tcW w:type="dxa" w:w="2076"/>
          </w:tcPr>
          <w:p>
            <w:pPr>
              <w:pStyle w:val="null3"/>
              <w:jc w:val="center"/>
            </w:pPr>
            <w:r>
              <w:rPr/>
              <w:t>3</w:t>
            </w:r>
          </w:p>
        </w:tc>
        <w:tc>
          <w:tcPr>
            <w:tcW w:type="dxa" w:w="2076"/>
          </w:tcPr>
          <w:p>
            <w:pPr>
              <w:pStyle w:val="null3"/>
              <w:jc w:val="left"/>
            </w:pPr>
            <w:r>
              <w:rPr/>
              <w:t>免费维保期</w:t>
            </w:r>
          </w:p>
        </w:tc>
        <w:tc>
          <w:tcPr>
            <w:tcW w:type="dxa" w:w="2076"/>
          </w:tcPr>
          <w:p>
            <w:pPr>
              <w:pStyle w:val="null3"/>
              <w:jc w:val="left"/>
            </w:pPr>
            <w:r>
              <w:rPr/>
              <w:t>验收合格后，整车质保/核心部件质保期3年或6万公里；随车医疗设备（9项：吸痰机、快速血糖自动测定仪、气压止血器、血氧夹、血压计、担架、轮椅、转运箱、转运床）部分质保2年，车辆改装的部件 3年，在质保期内，非人为原因而出现设备材料及工程质量问题，由中标人负责其故障排除、设备材料及零配件更换等维修、维护工作，有需要时应提供上门服务，并承担因此而产生的一切费用。</w:t>
            </w:r>
          </w:p>
        </w:tc>
      </w:tr>
      <w:tr>
        <w:tc>
          <w:tcPr>
            <w:tcW w:type="dxa" w:w="2076"/>
          </w:tcPr>
          <w:p/>
        </w:tc>
        <w:tc>
          <w:tcPr>
            <w:tcW w:type="dxa" w:w="2076"/>
          </w:tcPr>
          <w:p>
            <w:pPr>
              <w:pStyle w:val="null3"/>
              <w:jc w:val="center"/>
            </w:pPr>
            <w:r>
              <w:rPr/>
              <w:t>4</w:t>
            </w:r>
          </w:p>
        </w:tc>
        <w:tc>
          <w:tcPr>
            <w:tcW w:type="dxa" w:w="2076"/>
          </w:tcPr>
          <w:p>
            <w:pPr>
              <w:pStyle w:val="null3"/>
              <w:jc w:val="left"/>
            </w:pPr>
            <w:r>
              <w:rPr/>
              <w:t>售后服务</w:t>
            </w:r>
          </w:p>
        </w:tc>
        <w:tc>
          <w:tcPr>
            <w:tcW w:type="dxa" w:w="2076"/>
          </w:tcPr>
          <w:p>
            <w:pPr>
              <w:pStyle w:val="null3"/>
              <w:jc w:val="left"/>
            </w:pPr>
            <w:r>
              <w:rPr/>
              <w:t>①按厂家承诺进行；②免费送货上门；③免费安装调试合格；须派出有相应资格的技术工程师到现场负责设备安装调试，直至正常使用；④提供免费培训计划，直至操作人员正常使用；（2）对甲方的服务通知，乙方在接报后1小时内响应，4小时内到达现场，48小时内处理完毕；若在48小时内仍未能有效解决，乙方须免费提供同级别的设备予甲方临时使用。（3）包含车辆上牌。 2）对采购人的服务通知，供应商4小时内派员到现场维修，供应商无偿培训采购人维修人员。培训地点主要在设备安装现场或按采购人安排。</w:t>
            </w:r>
          </w:p>
        </w:tc>
      </w:tr>
      <w:tr>
        <w:tc>
          <w:tcPr>
            <w:tcW w:type="dxa" w:w="2076"/>
          </w:tcPr>
          <w:p/>
        </w:tc>
        <w:tc>
          <w:tcPr>
            <w:tcW w:type="dxa" w:w="2076"/>
          </w:tcPr>
          <w:p>
            <w:pPr>
              <w:pStyle w:val="null3"/>
              <w:jc w:val="center"/>
            </w:pPr>
            <w:r>
              <w:rPr/>
              <w:t>5</w:t>
            </w:r>
          </w:p>
        </w:tc>
        <w:tc>
          <w:tcPr>
            <w:tcW w:type="dxa" w:w="2076"/>
          </w:tcPr>
          <w:p>
            <w:pPr>
              <w:pStyle w:val="null3"/>
              <w:jc w:val="left"/>
            </w:pPr>
            <w:r>
              <w:rPr/>
              <w:t>如与用户需求书不一致的，以用户需求书要求为准</w:t>
            </w:r>
          </w:p>
        </w:tc>
        <w:tc>
          <w:tcPr>
            <w:tcW w:type="dxa" w:w="2076"/>
          </w:tcPr>
          <w:p>
            <w:pPr>
              <w:pStyle w:val="null3"/>
              <w:jc w:val="left"/>
            </w:pPr>
            <w:r>
              <w:rPr/>
              <w:t>如与用户需求书不一致的，以用户需求书要求为准</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医疗车</w:t>
            </w:r>
          </w:p>
        </w:tc>
        <w:tc>
          <w:tcPr>
            <w:tcW w:type="dxa" w:w="831"/>
          </w:tcPr>
          <w:p>
            <w:pPr>
              <w:pStyle w:val="null3"/>
              <w:jc w:val="left"/>
            </w:pPr>
            <w:r>
              <w:rPr/>
              <w:t>救护车</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886,000.00</w:t>
            </w:r>
          </w:p>
        </w:tc>
        <w:tc>
          <w:tcPr>
            <w:tcW w:type="dxa" w:w="831"/>
          </w:tcPr>
          <w:p>
            <w:pPr>
              <w:pStyle w:val="null3"/>
              <w:jc w:val="right"/>
            </w:pPr>
            <w:r>
              <w:rPr/>
              <w:t>886,000.00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救护车</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详见招标文件</w:t>
            </w:r>
            <w:r>
              <w:rPr>
                <w:sz w:val="21"/>
              </w:rPr>
              <w:t>“</w:t>
            </w:r>
            <w:r>
              <w:rPr>
                <w:sz w:val="21"/>
              </w:rPr>
              <w:t>第二章采购需求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广州中医药大学第一附属医院深汕医院(深汕中医医院、汕尾市中医医院)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参照国家发展计划委员会颁发的[2002]1980号文《招标代理服务收费管理暂行办法》及[2011]534号文《国家发改委关于降低部分建设项目收费标准规范收费行为等有关问题的通知》的有关规定执行，具体如下： 招标代理服务收费按差额定率累进法计算，以中标通知书中确定的中标金额作为收费的计算依据。该项目中标服务费参照国家计委[计价格[2002]1980号]文货物招标代理服务收费标准差额定率累进法计算下浮20%收取。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启动解密阶段时间为30分钟内</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政府采购监督管理机构名称：汕尾市财政局政府采购监管科</w:t>
      </w:r>
    </w:p>
    <w:p>
      <w:pPr>
        <w:pStyle w:val="null3"/>
      </w:pPr>
      <w:r>
        <w:rPr/>
        <w:t>地 址：汕尾市城区政和路10号政府采购监管科</w:t>
      </w:r>
    </w:p>
    <w:p>
      <w:pPr>
        <w:pStyle w:val="null3"/>
      </w:pPr>
      <w:r>
        <w:rPr/>
        <w:t>电 话：0660—3310721</w:t>
      </w:r>
    </w:p>
    <w:p>
      <w:pPr>
        <w:pStyle w:val="null3"/>
      </w:pPr>
      <w:r>
        <w:rPr/>
        <w:t>邮 编：516600</w:t>
      </w:r>
    </w:p>
    <w:p>
      <w:pPr>
        <w:pStyle w:val="null3"/>
      </w:pPr>
      <w:r>
        <w:rPr/>
        <w:t>传 真：0660—3310721</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采购包1(救护车)：综合评分法,是指投标文件满足招标文件全部实质性要求，且按照评审因素的量化指标评审得分最高的投标人为中标候选人的评标方法。（最低报价不是中标的唯一依据。）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采购包1（救护车）：</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采购包1（救护车）：</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2</w:t>
            </w:r>
          </w:p>
        </w:tc>
        <w:tc>
          <w:tcPr>
            <w:tcW w:type="dxa" w:w="3178"/>
          </w:tcPr>
          <w:p>
            <w:pPr>
              <w:pStyle w:val="null3"/>
            </w:pPr>
            <w:r>
              <w:rPr/>
              <w:t>具有良好的商业信誉和健全的财务会计制度</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3</w:t>
            </w:r>
          </w:p>
        </w:tc>
        <w:tc>
          <w:tcPr>
            <w:tcW w:type="dxa" w:w="3178"/>
          </w:tcPr>
          <w:p>
            <w:pPr>
              <w:pStyle w:val="null3"/>
            </w:pPr>
            <w:r>
              <w:rPr/>
              <w:t>履行合同所必需的设备和专业技术能力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4</w:t>
            </w:r>
          </w:p>
        </w:tc>
        <w:tc>
          <w:tcPr>
            <w:tcW w:type="dxa" w:w="3178"/>
          </w:tcPr>
          <w:p>
            <w:pPr>
              <w:pStyle w:val="null3"/>
            </w:pPr>
            <w:r>
              <w:rPr/>
              <w:t>有依法缴纳税收和社会保障资金的良好记录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6</w:t>
            </w:r>
          </w:p>
        </w:tc>
        <w:tc>
          <w:tcPr>
            <w:tcW w:type="dxa" w:w="3178"/>
          </w:tcPr>
          <w:p>
            <w:pPr>
              <w:pStyle w:val="null3"/>
            </w:pPr>
            <w:r>
              <w:rPr/>
              <w:t>特定资格要求</w:t>
            </w:r>
          </w:p>
        </w:tc>
        <w:tc>
          <w:tcPr>
            <w:tcW w:type="dxa" w:w="4238"/>
          </w:tcPr>
          <w:p>
            <w:pPr>
              <w:pStyle w:val="null3"/>
            </w:pPr>
            <w:r>
              <w:rPr/>
              <w:t>本采购包不接受联合体投标</w:t>
            </w:r>
          </w:p>
        </w:tc>
      </w:tr>
      <w:tr>
        <w:tc>
          <w:tcPr>
            <w:tcW w:type="dxa" w:w="890"/>
          </w:tcPr>
          <w:p>
            <w:pPr>
              <w:pStyle w:val="null3"/>
            </w:pPr>
            <w:r>
              <w:rPr/>
              <w:t>7</w:t>
            </w:r>
          </w:p>
        </w:tc>
        <w:tc>
          <w:tcPr>
            <w:tcW w:type="dxa" w:w="3178"/>
          </w:tcPr>
          <w:p>
            <w:pPr>
              <w:pStyle w:val="null3"/>
            </w:pPr>
            <w:r>
              <w:rPr/>
              <w:t>特定资格要求</w:t>
            </w:r>
          </w:p>
        </w:tc>
        <w:tc>
          <w:tcPr>
            <w:tcW w:type="dxa" w:w="4238"/>
          </w:tcPr>
          <w:p>
            <w:pPr>
              <w:pStyle w:val="null3"/>
            </w:pPr>
            <w:r>
              <w:rP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tc>
      </w:tr>
      <w:tr>
        <w:tc>
          <w:tcPr>
            <w:tcW w:type="dxa" w:w="890"/>
          </w:tcPr>
          <w:p>
            <w:pPr>
              <w:pStyle w:val="null3"/>
            </w:pPr>
            <w:r>
              <w:rPr/>
              <w:t>8</w:t>
            </w:r>
          </w:p>
        </w:tc>
        <w:tc>
          <w:tcPr>
            <w:tcW w:type="dxa" w:w="3178"/>
          </w:tcPr>
          <w:p>
            <w:pPr>
              <w:pStyle w:val="null3"/>
            </w:pPr>
            <w:r>
              <w:rPr/>
              <w:t>信用记录</w:t>
            </w:r>
          </w:p>
        </w:tc>
        <w:tc>
          <w:tcPr>
            <w:tcW w:type="dxa" w:w="4238"/>
          </w:tcPr>
          <w:p>
            <w:pPr>
              <w:pStyle w:val="null3"/>
            </w:pPr>
            <w:r>
              <w:rPr/>
              <w:t>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供应商必须符合法律、行政法规规定的其他条件</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单位负责人为同一人或者存在直接控股、管理关系的不同供应商，不得参加同一包号投标或者未划分包号的同一招标项目投标(投标人出具声明函)。</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为本项目提供整体设计、规范编制或者项目管理、监理、检测等服务的供应商，不得再参加本项目的其他采购活动(投标人出具声明函)。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已获取本次采购文件。</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本项目采购标的所属行业为：工业。按照《政府采购促进中小企业发展管理办法》规定，本项目属于预留采购份额无法确保充分供应、充分竞争，或者存在可能影响政府采购目标实现的情形。</w:t>
            </w:r>
          </w:p>
        </w:tc>
      </w:tr>
    </w:tbl>
    <w:p>
      <w:pPr>
        <w:pStyle w:val="null3"/>
        <w:ind w:firstLine="480"/>
      </w:pPr>
      <w:r>
        <w:rPr/>
        <w:t>表二符合性审查表：</w:t>
      </w:r>
    </w:p>
    <w:p>
      <w:pPr>
        <w:pStyle w:val="null3"/>
      </w:pPr>
      <w:r>
        <w:rPr/>
        <w:t>采购包1（救护车）：</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1）投标报价未超过本项目(所投包号)的采购预算。2）对本项目(所投包号内)全部内容进行投标报价 3）投标报价是唯一确定的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提交《投标函》。报价有效期为报价截止日后的90天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6</w:t>
            </w:r>
          </w:p>
        </w:tc>
        <w:tc>
          <w:tcPr>
            <w:tcW w:type="dxa" w:w="3178"/>
          </w:tcPr>
          <w:p>
            <w:pPr>
              <w:pStyle w:val="null3"/>
            </w:pPr>
            <w:r>
              <w:rPr/>
              <w:t>进口产品</w:t>
            </w:r>
          </w:p>
        </w:tc>
        <w:tc>
          <w:tcPr>
            <w:tcW w:type="dxa" w:w="4238"/>
          </w:tcPr>
          <w:p>
            <w:pPr>
              <w:pStyle w:val="null3"/>
            </w:pPr>
            <w:r>
              <w:rPr/>
              <w:t>招标文件不允许采购进口产品时，不得以进口产品投标</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报价合理性</w:t>
            </w:r>
          </w:p>
        </w:tc>
        <w:tc>
          <w:tcPr>
            <w:tcW w:type="dxa" w:w="4238"/>
          </w:tcPr>
          <w:p>
            <w:pPr>
              <w:pStyle w:val="null3"/>
            </w:pPr>
            <w:r>
              <w:rPr/>
              <w:t>A.根据《关于推动解决政府采购异常低价问题的通知》财库〔2026〕2号规定，评标过程中出现下列情形之一的，评标委员会将启动异常低价响应审查程序： 1.投标报价低于全部通过符合性审查投标人投标报价平均值50%的，即投标报价&lt;全部通过符合性审查投标人投标报价平均值×50%； 2.投标报价低于通过符合性审查的次低报价投标人投标报价50%的，即投标报价&lt;通过符合性审查的次低报价供应商投标报价×50%； 3.投标报价低于采购项目最高限价45%的，即投标报价&lt;采购项目最高限价×45%； 4.评标委员会基于专业判断，认为投标人报价过低，有可能影响产品质量或者不能诚信履约的其他情形。 5.相关法律法规对投标人报价有规定的，从其规定。 B. 评标委员会启动异常低价投标审查后，投标人在评标现场合理的时间内对投标价格作出解释，提供项目具体成本测算等与报价合理性相关的书面说明及必要的证明材料，包括但不限于原材料成本、人工成本、制造费用等。其中，属于第3项情形，投标人已随投标文件一并提交相关书面说明及必要的证明材料的，在评标现场可不再重复提交。投标人应能证明其报价合理性。投标人不能提供书面说明、证明材料，或者提供的书面说明、证明材料不能证明其报价合理性的，评标委员会应当将其作为无效投标处理。</w:t>
            </w:r>
          </w:p>
        </w:tc>
      </w:tr>
      <w:tr>
        <w:tc>
          <w:tcPr>
            <w:tcW w:type="dxa" w:w="890"/>
          </w:tcPr>
          <w:p>
            <w:pPr>
              <w:pStyle w:val="null3"/>
            </w:pPr>
            <w:r>
              <w:rPr/>
              <w:t>9</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采购包1(救护车):</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所投产品对用户需求书中带▲号的重要参数的符合性 (45.0分)</w:t>
            </w:r>
          </w:p>
        </w:tc>
        <w:tc>
          <w:tcPr>
            <w:tcW w:type="dxa" w:w="5076"/>
          </w:tcPr>
          <w:p>
            <w:pPr>
              <w:pStyle w:val="null3"/>
              <w:jc w:val="left"/>
            </w:pPr>
            <w:r>
              <w:rPr/>
              <w:t>完全满足用户需求书中带▲号的重要技术参数，得45分； 有1项带▲号的重要技术参数负偏离，得42分； 有2项带▲号的重要技术参数负偏离，得39分； 有3项带▲号的重要技术参数负偏离，得36分； 有4项带▲号的重要技术参数负偏离，得33分； 有5项带▲号的重要技术参数负偏离，得30分； 有6项带▲号的重要技术参数负偏离，得27分； 有7项带▲号的重要技术参数负偏离，得24分； 有8项带▲号的重要技术参数负偏离，得21分； 有9项带▲号的重要技术参数负偏离，得18分。 有10项带▲号的重要技术参数负偏离，得15分； 有11项带▲号的重要技术参数负偏离，得12分； 有12项带▲号的重要技术参数负偏离，得9分； 有13项带▲号的重要技术参数负偏离，得6分； 有14项带▲号的重要技术参数负偏离，得3分； 有15项及以上带▲号的重要技术参数负偏离，得1分； 【所有投标人应提供投标产品技术证明文件如投标产品彩页或相应技术参数的厂家使用说明书或技术白皮书或厂家公开发布的印刷资料或第三方机构出具的检验报告等作为技术证明文件，否则评标委员会有权视相应技术参数响应不符合招标要求（如厂家的产品使用说明书为英文版，请同时提供中文版）。技术参数中如有特别要求的则须以技术参数中要求的为准；投标文件内提供的证明材料中的技术参数描述与投标人在《技术和服务要求响应表》中的响应描述不一致时，以投标文件内提供的证明材料中的技术参数描述为准。配置清单仅计为1项技术参数。】</w:t>
            </w:r>
          </w:p>
        </w:tc>
      </w:tr>
      <w:tr>
        <w:tc>
          <w:tcPr>
            <w:tcW w:type="dxa" w:w="922"/>
            <w:gridSpan w:val="2"/>
            <w:vMerge/>
          </w:tcPr>
          <w:p/>
        </w:tc>
        <w:tc>
          <w:tcPr>
            <w:tcW w:type="dxa" w:w="2307"/>
          </w:tcPr>
          <w:p>
            <w:pPr>
              <w:pStyle w:val="null3"/>
              <w:jc w:val="left"/>
            </w:pPr>
            <w:r>
              <w:rPr/>
              <w:t>所投货物技术参数及性能与技术规格要求的符合性 (10.0分)</w:t>
            </w:r>
          </w:p>
        </w:tc>
        <w:tc>
          <w:tcPr>
            <w:tcW w:type="dxa" w:w="5076"/>
          </w:tcPr>
          <w:p>
            <w:pPr>
              <w:pStyle w:val="null3"/>
              <w:jc w:val="left"/>
            </w:pPr>
            <w:r>
              <w:rPr/>
              <w:t>完全满足用户需求书中不带▲号的一般技术参数，得10分； 有1项不带▲号的一般技术参数负偏离，得9分； 有2项不带▲号的一般技术参数负偏离，得8分； 有3项不带▲号的一般技术参数负偏离，得7分； 有4项不带▲号的一般技术参数负偏离，得6分； 有5项不带▲号的一般技术参数负偏离，得5分； 有6项不带▲号的一般技术参数负偏离，得4分； 有7项不带▲号的一般技术参数负偏离，得3分； 有8项不带▲号的一般技术参数负偏离，得2分； 有9项及以上不带▲号的一般技术参数负偏离，得1分。 【所有投标人应提供投标产品技术证明文件如投标产品彩页或相应技术参数的厂家使用说明书或技术白皮书或厂家公开发布的印刷资料或第三方机构出具的检验报告等作为技术证明文件，否则评标委员会有权视相应技术参数响应不符合招标要求（如厂家的产品使用说明书为英文版，请同时提供中文版）。技术参数中如有特别要求的则须以技术参数中要求的为准；投标文件内提供的证明材料中的技术参数描述与投标人在《技术和服务要求响应表》中的响应描述不一致时，以投标文件内提供的证明材料中的技术参数描述为准。配置清单仅计为1项技术参数。】</w:t>
            </w:r>
          </w:p>
        </w:tc>
      </w:tr>
      <w:tr>
        <w:tc>
          <w:tcPr>
            <w:tcW w:type="dxa" w:w="922"/>
            <w:gridSpan w:val="2"/>
            <w:vMerge/>
          </w:tcPr>
          <w:p/>
        </w:tc>
        <w:tc>
          <w:tcPr>
            <w:tcW w:type="dxa" w:w="2307"/>
          </w:tcPr>
          <w:p>
            <w:pPr>
              <w:pStyle w:val="null3"/>
              <w:jc w:val="left"/>
            </w:pPr>
            <w:r>
              <w:rPr/>
              <w:t>培训方案 (2.0分)</w:t>
            </w:r>
          </w:p>
        </w:tc>
        <w:tc>
          <w:tcPr>
            <w:tcW w:type="dxa" w:w="5076"/>
          </w:tcPr>
          <w:p>
            <w:pPr>
              <w:pStyle w:val="null3"/>
              <w:jc w:val="left"/>
            </w:pPr>
            <w:r>
              <w:rPr/>
              <w:t>根据投标人针对本项目制定的培训方案进行评审：根据采购需求中的培训要求内容，投标人提供的培训方案，优于采购需求的，得2分；能满足采购需求的，得1分；不能满足采购需求的，得0分。</w:t>
            </w:r>
          </w:p>
        </w:tc>
      </w:tr>
      <w:tr>
        <w:tc>
          <w:tcPr>
            <w:tcW w:type="dxa" w:w="922"/>
            <w:gridSpan w:val="2"/>
            <w:vMerge/>
          </w:tcPr>
          <w:p/>
        </w:tc>
        <w:tc>
          <w:tcPr>
            <w:tcW w:type="dxa" w:w="2307"/>
          </w:tcPr>
          <w:p>
            <w:pPr>
              <w:pStyle w:val="null3"/>
              <w:jc w:val="left"/>
            </w:pPr>
            <w:r>
              <w:rPr/>
              <w:t>质量保证及售后服务方案 (3.0分)</w:t>
            </w:r>
          </w:p>
        </w:tc>
        <w:tc>
          <w:tcPr>
            <w:tcW w:type="dxa" w:w="5076"/>
          </w:tcPr>
          <w:p>
            <w:pPr>
              <w:pStyle w:val="null3"/>
              <w:jc w:val="left"/>
            </w:pPr>
            <w:r>
              <w:rPr/>
              <w:t>根据投标人针对本项目所提供的质量保证及售后服务方案，方案内容包括但不限于售后服务人员（专人跟进、服务沟通等）的安排、服务计划安排、响应时间的及时性、提供备品备件服务等内容进行评审： （1）投标人所提供的质量保证及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完全满足项目要求的得3分； （2）投标人所提供的质量保证及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部分满足项目要求的得2分； （3）投标人只提供了简单的质量保证及售后服务方案，维修服务安排无法满足项目要求，对日常维修和应急情况响应慢，不能满足项目要求的得1分； （4）不提供的不得分。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投标人的履约能力 (3.0分)</w:t>
            </w:r>
          </w:p>
        </w:tc>
        <w:tc>
          <w:tcPr>
            <w:tcW w:type="dxa" w:w="5076"/>
          </w:tcPr>
          <w:p>
            <w:pPr>
              <w:pStyle w:val="null3"/>
              <w:jc w:val="left"/>
            </w:pPr>
            <w:r>
              <w:rPr/>
              <w:t>根据投标人的履约能力作为评审依据，包括以下内容：①项目测试方案②运输方案 注：每提供1项内容且表述完整、科学、可行，能体现投标人完全具备本项目履约能力的，得1.5分。 提供体现投标人履约能力的方案或相关证明材料并加盖公章，不提供方案或相关证明材料的不得分。</w:t>
            </w:r>
          </w:p>
        </w:tc>
      </w:tr>
      <w:tr>
        <w:tc>
          <w:tcPr>
            <w:tcW w:type="dxa" w:w="922"/>
            <w:gridSpan w:val="2"/>
            <w:vMerge/>
          </w:tcPr>
          <w:p/>
        </w:tc>
        <w:tc>
          <w:tcPr>
            <w:tcW w:type="dxa" w:w="2307"/>
          </w:tcPr>
          <w:p>
            <w:pPr>
              <w:pStyle w:val="null3"/>
              <w:jc w:val="left"/>
            </w:pPr>
            <w:r>
              <w:rPr/>
              <w:t>投标人自2023年以来的同类设备的业绩 (4.0分)</w:t>
            </w:r>
          </w:p>
        </w:tc>
        <w:tc>
          <w:tcPr>
            <w:tcW w:type="dxa" w:w="5076"/>
          </w:tcPr>
          <w:p>
            <w:pPr>
              <w:pStyle w:val="null3"/>
              <w:jc w:val="left"/>
            </w:pPr>
            <w:r>
              <w:rPr/>
              <w:t>投标人2023年1月1日至今（已签订日期为准）每提供一项同类项目业绩的合同关键页或中标通知书复印件并加盖公章得1分，最高得4分，不提供不得分。 1.如提供合同证明资料的，则需提供合同 关键信息（含首页、签字页）证明文件 2.通过中标通知书或合同关键信息无法 判断是否得分的，还须同时提供能证明得 分的其它证明资料，如项目报告或合同甲 方出具的证明文件等。 3.以上资料均要求提供扫描件。评分中出现无证明资料或专家无法凭所提供资料判断是否得分的情况，一律作不得分处理。</w:t>
            </w:r>
          </w:p>
        </w:tc>
      </w:tr>
      <w:tr>
        <w:tc>
          <w:tcPr>
            <w:tcW w:type="dxa" w:w="922"/>
            <w:gridSpan w:val="2"/>
            <w:vMerge/>
          </w:tcPr>
          <w:p/>
        </w:tc>
        <w:tc>
          <w:tcPr>
            <w:tcW w:type="dxa" w:w="2307"/>
          </w:tcPr>
          <w:p>
            <w:pPr>
              <w:pStyle w:val="null3"/>
              <w:jc w:val="left"/>
            </w:pPr>
            <w:r>
              <w:rPr/>
              <w:t>使用用户评价 (3.0分)</w:t>
            </w:r>
          </w:p>
        </w:tc>
        <w:tc>
          <w:tcPr>
            <w:tcW w:type="dxa" w:w="5076"/>
          </w:tcPr>
          <w:p>
            <w:pPr>
              <w:pStyle w:val="null3"/>
              <w:jc w:val="left"/>
            </w:pPr>
            <w:r>
              <w:rPr/>
              <w:t>提供上述有效投标货物业绩的使用用户评价，每提供一个类似“满意”或“非常满意”或“优”的使用用户评价得1 分，本项最高不超过3分。须提供用户单位的评价证明（格式自拟，须加盖用户单位印章）。其他表达满意度的词语，由评委参照以上评价等级程度认定对应的评价等级。同一法人单位的多份用户评价只计算 1 份。</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0"/>
          <w:b/>
          <w:color w:val="000000"/>
        </w:rPr>
        <w:t>设备采购合同</w:t>
      </w:r>
    </w:p>
    <w:p>
      <w:pPr>
        <w:pStyle w:val="null3"/>
        <w:jc w:val="both"/>
      </w:pPr>
      <w:r>
        <w:rPr>
          <w:sz w:val="20"/>
          <w:b/>
          <w:color w:val="000000"/>
        </w:rPr>
        <w:t>甲方：（受委托方、采购人）</w:t>
      </w:r>
      <w:r>
        <w:rPr>
          <w:sz w:val="20"/>
          <w:b/>
        </w:rPr>
        <w:t>广州中医药大学第一附属医院深汕医院</w:t>
      </w:r>
      <w:r>
        <w:rPr>
          <w:sz w:val="20"/>
          <w:b/>
        </w:rPr>
        <w:t>(深汕中医医院、汕尾市中医医院)</w:t>
      </w:r>
    </w:p>
    <w:p>
      <w:pPr>
        <w:pStyle w:val="null3"/>
        <w:jc w:val="both"/>
      </w:pPr>
      <w:r>
        <w:rPr>
          <w:sz w:val="20"/>
          <w:color w:val="000000"/>
        </w:rPr>
        <w:t>乙方：（供应商）</w:t>
      </w:r>
    </w:p>
    <w:p>
      <w:pPr>
        <w:pStyle w:val="null3"/>
        <w:ind w:left="210"/>
        <w:jc w:val="both"/>
      </w:pPr>
      <w:r>
        <w:rPr>
          <w:sz w:val="20"/>
          <w:color w:val="000000"/>
        </w:rPr>
        <w:t>丙方：（委托方）</w:t>
      </w:r>
      <w:r>
        <w:rPr>
          <w:sz w:val="20"/>
        </w:rPr>
        <w:t>汕尾市卫生健康局</w:t>
      </w:r>
    </w:p>
    <w:p>
      <w:pPr>
        <w:pStyle w:val="null3"/>
        <w:jc w:val="both"/>
      </w:pPr>
      <w:r>
        <w:rPr>
          <w:sz w:val="20"/>
          <w:b/>
          <w:color w:val="000000"/>
        </w:rPr>
        <w:t>本合同设备是甲方受丙方委托采购的深汕中医医院（汕尾市中医医院）建设项目</w:t>
      </w:r>
      <w:r>
        <w:rPr>
          <w:sz w:val="20"/>
          <w:b/>
          <w:color w:val="000000"/>
        </w:rPr>
        <w:t>一期配套设备</w:t>
      </w:r>
      <w:r>
        <w:rPr>
          <w:sz w:val="20"/>
          <w:b/>
          <w:color w:val="000000"/>
        </w:rPr>
        <w:t>，属于政府采购项目，货款由财政部门支付。根据中华人民共和国现行法律法规，甲、乙、丙三方经协商确定，甲方受丙方委托向乙方订购医疗设备及其服务，为明确三方责任和权利，特签订本合同，共同遵守。具体条款如下：</w:t>
      </w:r>
    </w:p>
    <w:p>
      <w:pPr>
        <w:pStyle w:val="null3"/>
        <w:ind w:firstLine="482"/>
        <w:jc w:val="both"/>
      </w:pPr>
      <w:r>
        <w:rPr/>
        <w:t xml:space="preserve">  </w:t>
      </w:r>
      <w:r>
        <w:rPr>
          <w:sz w:val="20"/>
          <w:b/>
        </w:rPr>
        <w:t>1、合同设备</w:t>
      </w:r>
    </w:p>
    <w:p>
      <w:pPr>
        <w:pStyle w:val="null3"/>
        <w:ind w:firstLine="480"/>
        <w:jc w:val="both"/>
      </w:pPr>
      <w:r>
        <w:rPr>
          <w:sz w:val="20"/>
        </w:rPr>
        <w:t>乙方负责向甲方供应下表中</w:t>
      </w:r>
      <w:r>
        <w:rPr>
          <w:sz w:val="20"/>
        </w:rPr>
        <w:t>设备</w:t>
      </w:r>
      <w:r>
        <w:rPr>
          <w:sz w:val="20"/>
        </w:rPr>
        <w:t>及负责安装调试至可以安全稳定正常使用。</w:t>
      </w:r>
    </w:p>
    <w:tbl>
      <w:tblPr>
        <w:tblW w:w="0" w:type="auto"/>
        <w:tblBorders>
          <w:top w:val="none" w:color="000000" w:sz="4"/>
          <w:left w:val="none" w:color="000000" w:sz="4"/>
          <w:bottom w:val="none" w:color="000000" w:sz="4"/>
          <w:right w:val="none" w:color="000000" w:sz="4"/>
          <w:insideH w:val="none"/>
          <w:insideV w:val="none"/>
        </w:tblBorders>
      </w:tblPr>
      <w:tblGrid>
        <w:gridCol w:w="711"/>
        <w:gridCol w:w="1195"/>
        <w:gridCol w:w="923"/>
        <w:gridCol w:w="817"/>
        <w:gridCol w:w="772"/>
        <w:gridCol w:w="711"/>
        <w:gridCol w:w="817"/>
        <w:gridCol w:w="1407"/>
        <w:gridCol w:w="953"/>
      </w:tblGrid>
      <w:tr>
        <w:tc>
          <w:tcPr>
            <w:tcW w:type="dxa" w:w="7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品名</w:t>
            </w:r>
          </w:p>
        </w:tc>
        <w:tc>
          <w:tcPr>
            <w:tcW w:type="dxa" w:w="11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规格型号</w:t>
            </w:r>
          </w:p>
        </w:tc>
        <w:tc>
          <w:tcPr>
            <w:tcW w:type="dxa" w:w="9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品牌</w:t>
            </w:r>
          </w:p>
        </w:tc>
        <w:tc>
          <w:tcPr>
            <w:tcW w:type="dxa" w:w="8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产地</w:t>
            </w:r>
          </w:p>
        </w:tc>
        <w:tc>
          <w:tcPr>
            <w:tcW w:type="dxa" w:w="7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单位</w:t>
            </w:r>
          </w:p>
        </w:tc>
        <w:tc>
          <w:tcPr>
            <w:tcW w:type="dxa" w:w="7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数量</w:t>
            </w:r>
          </w:p>
        </w:tc>
        <w:tc>
          <w:tcPr>
            <w:tcW w:type="dxa" w:w="8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单价</w:t>
            </w:r>
          </w:p>
        </w:tc>
        <w:tc>
          <w:tcPr>
            <w:tcW w:type="dxa" w:w="14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总价</w:t>
            </w:r>
          </w:p>
        </w:tc>
        <w:tc>
          <w:tcPr>
            <w:tcW w:type="dxa" w:w="9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随机配件</w:t>
            </w:r>
          </w:p>
        </w:tc>
      </w:tr>
      <w:tr>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0"/>
          <w:b/>
        </w:rPr>
        <w:t>2、合同总价</w:t>
      </w:r>
    </w:p>
    <w:p>
      <w:pPr>
        <w:pStyle w:val="null3"/>
        <w:ind w:firstLine="480"/>
        <w:jc w:val="both"/>
      </w:pPr>
      <w:r>
        <w:rPr>
          <w:sz w:val="20"/>
        </w:rPr>
        <w:t>总价为</w:t>
      </w:r>
      <w:r>
        <w:rPr>
          <w:sz w:val="20"/>
        </w:rPr>
        <w:t>(大写)：</w:t>
      </w:r>
      <w:r>
        <w:rPr>
          <w:sz w:val="21"/>
          <w:u w:val="single"/>
        </w:rPr>
        <w:t xml:space="preserve">  </w:t>
      </w:r>
      <w:r>
        <w:rPr>
          <w:sz w:val="20"/>
        </w:rPr>
        <w:t>元整，即</w:t>
      </w:r>
      <w:r>
        <w:rPr>
          <w:sz w:val="20"/>
        </w:rPr>
        <w:t>RMB</w:t>
      </w:r>
      <w:r>
        <w:rPr>
          <w:sz w:val="20"/>
          <w:u w:val="single"/>
        </w:rPr>
        <w:t>￥：</w:t>
      </w:r>
      <w:r>
        <w:rPr>
          <w:sz w:val="20"/>
        </w:rPr>
        <w:t>元，该合同总金额是设计、设备制造、包装、运输、安装、使用培训及验收合格之前及保修期与备品备件发生的所有含税费用。本合同执行期间合同总金额不变。</w:t>
      </w:r>
    </w:p>
    <w:p>
      <w:pPr>
        <w:pStyle w:val="null3"/>
        <w:jc w:val="both"/>
      </w:pPr>
      <w:r>
        <w:rPr>
          <w:sz w:val="20"/>
          <w:b/>
        </w:rPr>
        <w:t>3、合同组成</w:t>
      </w:r>
    </w:p>
    <w:p>
      <w:pPr>
        <w:pStyle w:val="null3"/>
        <w:spacing w:after="120"/>
        <w:ind w:firstLine="480"/>
        <w:jc w:val="both"/>
      </w:pPr>
      <w:r>
        <w:rPr>
          <w:sz w:val="20"/>
        </w:rPr>
        <w:t>详细价格、技术说明及其他有关合同项目的特定信息由合同附件说明，所有附件及本项目的采购文件、响应文件、中标通知书、会议纪要等均为本合同不可分割之一部分。</w:t>
      </w:r>
    </w:p>
    <w:p>
      <w:pPr>
        <w:pStyle w:val="null3"/>
        <w:jc w:val="both"/>
      </w:pPr>
      <w:r>
        <w:rPr>
          <w:sz w:val="20"/>
          <w:b/>
        </w:rPr>
        <w:t>4、各方权利义务</w:t>
      </w:r>
    </w:p>
    <w:p>
      <w:pPr>
        <w:pStyle w:val="null3"/>
        <w:spacing w:after="120"/>
        <w:ind w:firstLine="480"/>
        <w:jc w:val="both"/>
      </w:pPr>
      <w:r>
        <w:rPr>
          <w:sz w:val="20"/>
        </w:rPr>
        <w:t>甲方作为采购方，乙方作为供应商，全面履行合同内甲乙双方的权利和义务，丙方作为委托方，履行合同内丙方的权利和义务，监督甲乙两方履行合同条款。</w:t>
      </w:r>
    </w:p>
    <w:p>
      <w:pPr>
        <w:pStyle w:val="null3"/>
        <w:jc w:val="both"/>
      </w:pPr>
      <w:r>
        <w:rPr>
          <w:sz w:val="20"/>
          <w:b/>
        </w:rPr>
        <w:t>5、技术要求</w:t>
      </w:r>
    </w:p>
    <w:p>
      <w:pPr>
        <w:pStyle w:val="null3"/>
        <w:ind w:firstLine="480"/>
        <w:jc w:val="left"/>
      </w:pPr>
      <w:r>
        <w:rPr>
          <w:sz w:val="20"/>
        </w:rPr>
        <w:t>乙方所提供设备，必须符合国家有关规范和环保要求及甲方的技术要求，并提供设备的出厂测试报告。</w:t>
      </w:r>
    </w:p>
    <w:p>
      <w:pPr>
        <w:pStyle w:val="null3"/>
        <w:jc w:val="both"/>
      </w:pPr>
      <w:r>
        <w:rPr>
          <w:sz w:val="20"/>
          <w:b/>
        </w:rPr>
        <w:t>6、合同设备包装、交货、安装及验收</w:t>
      </w:r>
    </w:p>
    <w:p>
      <w:pPr>
        <w:pStyle w:val="null3"/>
        <w:ind w:firstLine="240"/>
        <w:jc w:val="both"/>
      </w:pPr>
      <w:r>
        <w:rPr>
          <w:sz w:val="20"/>
        </w:rPr>
        <w:t>（</w:t>
      </w:r>
      <w:r>
        <w:rPr>
          <w:sz w:val="20"/>
        </w:rPr>
        <w:t>1）  合同设备的包装</w:t>
      </w:r>
    </w:p>
    <w:p>
      <w:pPr>
        <w:pStyle w:val="null3"/>
        <w:ind w:firstLine="480"/>
        <w:jc w:val="both"/>
      </w:pPr>
      <w:r>
        <w:rPr>
          <w:sz w:val="20"/>
        </w:rPr>
        <w:t>设备的包装均应有良好的防湿、防锈、防潮、防雨、防腐及防碰撞的措施。凡由于包装不良造成的损失和由此产生的费用均由乙方自行承担，若因此导致甲方或丙方损失的，乙方还应当承担相应的违约责任和赔偿损失。</w:t>
      </w:r>
    </w:p>
    <w:p>
      <w:pPr>
        <w:pStyle w:val="null3"/>
        <w:ind w:firstLine="480"/>
        <w:jc w:val="both"/>
      </w:pPr>
      <w:r>
        <w:rPr>
          <w:sz w:val="20"/>
        </w:rPr>
        <w:t>（</w:t>
      </w:r>
      <w:r>
        <w:rPr>
          <w:sz w:val="20"/>
        </w:rPr>
        <w:t>2）  合同设备的交货</w:t>
      </w:r>
    </w:p>
    <w:p>
      <w:pPr>
        <w:pStyle w:val="null3"/>
        <w:ind w:left="480"/>
        <w:jc w:val="both"/>
      </w:pPr>
      <w:r>
        <w:rPr>
          <w:sz w:val="20"/>
        </w:rPr>
        <w:t>1）乙方交货时间：合同生效后，接到采购人通知后15个日历日内供货、安装调试</w:t>
      </w:r>
      <w:r>
        <w:br/>
      </w:r>
      <w:r>
        <w:rPr>
          <w:sz w:val="20"/>
        </w:rPr>
        <w:t>2）乙方交货地点：由乙方负责运输及卸车至甲方指定地点并承担运输及卸载的费用。货物交付并验收合格且安装完毕前的风险由乙方承担。费用已经包含在本合同总价内。</w:t>
      </w:r>
    </w:p>
    <w:p>
      <w:pPr>
        <w:pStyle w:val="null3"/>
        <w:ind w:firstLine="480"/>
        <w:jc w:val="both"/>
      </w:pPr>
      <w:r>
        <w:rPr>
          <w:sz w:val="20"/>
        </w:rPr>
        <w:t>（</w:t>
      </w:r>
      <w:r>
        <w:rPr>
          <w:sz w:val="20"/>
        </w:rPr>
        <w:t>3）  合同设备的安装</w:t>
      </w:r>
    </w:p>
    <w:p>
      <w:pPr>
        <w:pStyle w:val="null3"/>
        <w:ind w:firstLine="480"/>
        <w:jc w:val="both"/>
      </w:pPr>
      <w:r>
        <w:rPr>
          <w:sz w:val="20"/>
        </w:rPr>
        <w:t>1）乙方负责合同项下的安装维修调试，一切费用由乙方负责。</w:t>
      </w:r>
    </w:p>
    <w:p>
      <w:pPr>
        <w:pStyle w:val="null3"/>
        <w:ind w:firstLine="480"/>
        <w:jc w:val="both"/>
      </w:pPr>
      <w:r>
        <w:rPr>
          <w:sz w:val="20"/>
        </w:rPr>
        <w:t>2）乙方安装时须对各安装场地内的其他设备、设施有良好保护措施。不得对其他设备、设施造成任何损坏，否则，乙方应承担相应的违约责任和赔偿损失。</w:t>
      </w:r>
    </w:p>
    <w:p>
      <w:pPr>
        <w:pStyle w:val="null3"/>
        <w:ind w:firstLine="480"/>
        <w:jc w:val="both"/>
      </w:pPr>
      <w:r>
        <w:rPr>
          <w:sz w:val="20"/>
        </w:rPr>
        <w:t>3）乙方接到甲方发货通知后</w:t>
      </w:r>
      <w:r>
        <w:rPr>
          <w:sz w:val="20"/>
        </w:rPr>
        <w:t>15</w:t>
      </w:r>
      <w:r>
        <w:rPr>
          <w:sz w:val="20"/>
        </w:rPr>
        <w:t>日内完成交货、安装并调试至可以正常稳定安全使用。</w:t>
      </w:r>
    </w:p>
    <w:p>
      <w:pPr>
        <w:pStyle w:val="null3"/>
        <w:jc w:val="both"/>
      </w:pPr>
      <w:r>
        <w:rPr>
          <w:sz w:val="20"/>
        </w:rPr>
        <w:t>（</w:t>
      </w:r>
      <w:r>
        <w:rPr>
          <w:sz w:val="20"/>
        </w:rPr>
        <w:t>4）  设备的验收</w:t>
      </w:r>
    </w:p>
    <w:p>
      <w:pPr>
        <w:pStyle w:val="null3"/>
        <w:ind w:firstLine="480"/>
        <w:jc w:val="both"/>
      </w:pPr>
      <w:r>
        <w:rPr>
          <w:sz w:val="20"/>
        </w:rPr>
        <w:t>签订合同接</w:t>
      </w:r>
      <w:r>
        <w:rPr>
          <w:sz w:val="20"/>
        </w:rPr>
        <w:t>甲方</w:t>
      </w:r>
      <w:r>
        <w:rPr>
          <w:sz w:val="20"/>
        </w:rPr>
        <w:t>发货通知后</w:t>
      </w:r>
      <w:r>
        <w:rPr>
          <w:sz w:val="20"/>
        </w:rPr>
        <w:t>15</w:t>
      </w:r>
      <w:r>
        <w:rPr>
          <w:sz w:val="20"/>
        </w:rPr>
        <w:t>个日历日内完成货物（设备）的配套安装、调试工作，并在完成上述工作后</w:t>
      </w:r>
      <w:r>
        <w:rPr>
          <w:sz w:val="20"/>
        </w:rPr>
        <w:t>5个日历日内通过</w:t>
      </w:r>
      <w:r>
        <w:rPr>
          <w:sz w:val="20"/>
        </w:rPr>
        <w:t>甲方</w:t>
      </w:r>
      <w:r>
        <w:rPr>
          <w:sz w:val="20"/>
        </w:rPr>
        <w:t>的验收，交付给</w:t>
      </w:r>
      <w:r>
        <w:rPr>
          <w:sz w:val="20"/>
        </w:rPr>
        <w:t>甲方</w:t>
      </w:r>
      <w:r>
        <w:rPr>
          <w:sz w:val="20"/>
        </w:rPr>
        <w:t>正常使用（具体要求根据</w:t>
      </w:r>
      <w:r>
        <w:rPr>
          <w:sz w:val="20"/>
        </w:rPr>
        <w:t>甲方</w:t>
      </w:r>
      <w:r>
        <w:rPr>
          <w:sz w:val="20"/>
        </w:rPr>
        <w:t>实际情况及资金实际安排而定）</w:t>
      </w:r>
    </w:p>
    <w:p>
      <w:pPr>
        <w:pStyle w:val="null3"/>
        <w:ind w:firstLine="480"/>
        <w:jc w:val="both"/>
      </w:pPr>
      <w:r>
        <w:rPr>
          <w:sz w:val="20"/>
          <w:b/>
        </w:rPr>
        <w:t>7、质量保证及培训、售后服务</w:t>
      </w:r>
    </w:p>
    <w:p>
      <w:pPr>
        <w:pStyle w:val="null3"/>
        <w:ind w:firstLine="400"/>
        <w:jc w:val="both"/>
      </w:pPr>
      <w:r>
        <w:rPr>
          <w:sz w:val="20"/>
        </w:rPr>
        <w:t>（</w:t>
      </w:r>
      <w:r>
        <w:rPr>
          <w:sz w:val="20"/>
        </w:rPr>
        <w:t>1）乙方保证合同设备是全新、未曾使用过、符合国家有关法律规定的产品，其质量、规格及技术特征符合合同附件的要求。</w:t>
      </w:r>
    </w:p>
    <w:p>
      <w:pPr>
        <w:pStyle w:val="null3"/>
        <w:ind w:firstLine="400"/>
        <w:jc w:val="both"/>
      </w:pPr>
      <w:r>
        <w:rPr>
          <w:sz w:val="20"/>
        </w:rPr>
        <w:t>（</w:t>
      </w:r>
      <w:r>
        <w:rPr>
          <w:sz w:val="20"/>
        </w:rPr>
        <w:t>2）</w:t>
      </w:r>
      <w:r>
        <w:rPr>
          <w:sz w:val="20"/>
        </w:rPr>
        <w:t>验收合格后，</w:t>
      </w:r>
      <w:r>
        <w:rPr>
          <w:sz w:val="20"/>
        </w:rPr>
        <w:t>整车质保</w:t>
      </w:r>
      <w:r>
        <w:rPr>
          <w:sz w:val="20"/>
        </w:rPr>
        <w:t>/核心部件质保期3年或6万公里；随车设备（9项：吸痰机、快速血糖自动测定仪、气压止血器、血糖仪、血压计、担架、轮椅、转运箱、转运床）部分质保2年，车辆改装的部件部分3年，</w:t>
      </w:r>
      <w:r>
        <w:rPr>
          <w:sz w:val="20"/>
        </w:rPr>
        <w:t>在质保期内，非人为原因而出现设备材料及工程质量问题，由</w:t>
      </w:r>
      <w:r>
        <w:rPr>
          <w:sz w:val="20"/>
        </w:rPr>
        <w:t>乙方</w:t>
      </w:r>
      <w:r>
        <w:rPr>
          <w:sz w:val="20"/>
        </w:rPr>
        <w:t>负责其故障排除、设备材料及零配件更换等维修、维护工作，有需要时应提供上门服务，并承担因此而产生的一切费用。</w:t>
      </w:r>
    </w:p>
    <w:p>
      <w:pPr>
        <w:pStyle w:val="null3"/>
        <w:ind w:firstLine="400"/>
        <w:jc w:val="both"/>
      </w:pPr>
      <w:r>
        <w:rPr>
          <w:sz w:val="20"/>
        </w:rPr>
        <w:t>（</w:t>
      </w:r>
      <w:r>
        <w:rPr>
          <w:sz w:val="20"/>
        </w:rPr>
        <w:t>3</w:t>
      </w:r>
      <w:r>
        <w:rPr>
          <w:sz w:val="20"/>
        </w:rPr>
        <w:t>）</w:t>
      </w:r>
      <w:r>
        <w:rPr>
          <w:sz w:val="20"/>
        </w:rPr>
        <w:t>售后服务</w:t>
      </w:r>
    </w:p>
    <w:p>
      <w:pPr>
        <w:pStyle w:val="null3"/>
        <w:jc w:val="both"/>
      </w:pPr>
      <w:r>
        <w:rPr>
          <w:sz w:val="20"/>
        </w:rPr>
        <w:t>①按厂家承诺进行；②免费送货上门；③免费安装调试合格；须派出有相应资格的技术工程师到现场负责设备安装调试，直至正常使用；④提供免费培训计划，直至操作人员正常使用；（2）对甲方的服务通知，乙方在接报后1小时内响应，4小时内到达现场，48小时内处理完毕；若在48小时内仍未能有效解决，乙方须免费提供同级别的设备予甲方临时使用。</w:t>
      </w:r>
    </w:p>
    <w:p>
      <w:pPr>
        <w:pStyle w:val="null3"/>
        <w:jc w:val="both"/>
      </w:pPr>
      <w:r>
        <w:rPr>
          <w:sz w:val="20"/>
        </w:rPr>
        <w:t>2）对</w:t>
      </w:r>
      <w:r>
        <w:rPr>
          <w:sz w:val="20"/>
        </w:rPr>
        <w:t>甲方</w:t>
      </w:r>
      <w:r>
        <w:rPr>
          <w:sz w:val="20"/>
        </w:rPr>
        <w:t>的服务通知，</w:t>
      </w:r>
      <w:r>
        <w:rPr>
          <w:sz w:val="20"/>
        </w:rPr>
        <w:t>乙方</w:t>
      </w:r>
      <w:r>
        <w:rPr>
          <w:sz w:val="20"/>
        </w:rPr>
        <w:t>4小时内派员到现场维修，</w:t>
      </w:r>
      <w:r>
        <w:rPr>
          <w:sz w:val="20"/>
        </w:rPr>
        <w:t>乙方</w:t>
      </w:r>
      <w:r>
        <w:rPr>
          <w:sz w:val="20"/>
        </w:rPr>
        <w:t>无偿培训采购人维修人员。培训地点主要在设备安装现场或按采购人安排。</w:t>
      </w:r>
    </w:p>
    <w:p>
      <w:pPr>
        <w:pStyle w:val="null3"/>
        <w:jc w:val="both"/>
      </w:pPr>
      <w:r>
        <w:rPr>
          <w:sz w:val="20"/>
          <w:b/>
        </w:rPr>
        <w:t>8、付款办法</w:t>
      </w:r>
    </w:p>
    <w:p>
      <w:pPr>
        <w:pStyle w:val="null3"/>
        <w:ind w:firstLine="400"/>
        <w:jc w:val="both"/>
      </w:pPr>
      <w:r>
        <w:rPr>
          <w:sz w:val="20"/>
        </w:rPr>
        <w:t>乙方应知悉并同意本项目是广州中医药大学第一附属医院深汕医院受汕尾市卫生健康局委托采购的深汕中医医院（汕尾市中医医院）建设项目一期配套</w:t>
      </w:r>
      <w:r>
        <w:rPr>
          <w:sz w:val="20"/>
        </w:rPr>
        <w:t>设备</w:t>
      </w:r>
      <w:r>
        <w:rPr>
          <w:sz w:val="20"/>
        </w:rPr>
        <w:t>，属于政府采购项目，由财政资金支付。因本项目使用的是财政资金，乙方清楚知悉本合同所需的款项须由甲方向丙方申请</w:t>
      </w:r>
      <w:r>
        <w:rPr>
          <w:sz w:val="20"/>
        </w:rPr>
        <w:t>,丙方向深汕中医医院（汕尾市中医医院）建设办公室申请,深汕中医医院（汕尾市中医医院）建设办公室向市财政部门申请拨付，财政部门付款须履行相关流程，合同约定的付款时间为甲方提出支付申请的时间，而非款项实际支付时间。如因政府财政支付流程导致的支付延期，付款期限顺延至财政资金拨付之日，甲方、丙方不承担因财政资金不能及时到位导致延期或无法支付合同价款的违约责任，且不承担由此给乙方造成的任何损失，该情况也不能作为乙方延迟履行或者不履行合同义务的抗辩理由。对于满足约定支付条件的，乙方应当向丙方开具合法、有效、等额的增值税发票，否则甲方、丙方有权暂不申请支付款且无需承担任何违约责任。乙方怠于提供发票的，甲方、丙方有权顺延付款期限，乙方不得据此怠于履行约定的义务 。</w:t>
      </w:r>
    </w:p>
    <w:p>
      <w:pPr>
        <w:pStyle w:val="null3"/>
        <w:jc w:val="both"/>
      </w:pPr>
      <w:r>
        <w:rPr>
          <w:sz w:val="20"/>
        </w:rPr>
        <w:t xml:space="preserve">   </w:t>
      </w:r>
      <w:r>
        <w:rPr>
          <w:sz w:val="20"/>
        </w:rPr>
        <w:t>8.1若乙方为大型企业（依据《关于印发中小企业划型标准规定的通知》工信部联企业〔2011〕300号划分大型企业），设备安装调试验收合格后，乙方应向甲方提交(1)中标通知书；(2)合同；(3)请款函；(4)经甲方确认的付款当期的验收证明和现场安装照片；(5)乙方向丙方开具的等额正式发票,向甲方申请付款。甲方在收到乙方提供的资料后，满足支付条件后最多不超过10个工作日内办理支付手续，向乙方支付合同金额的100%的货款。</w:t>
      </w:r>
    </w:p>
    <w:p>
      <w:pPr>
        <w:pStyle w:val="null3"/>
        <w:jc w:val="both"/>
      </w:pPr>
      <w:r>
        <w:rPr>
          <w:sz w:val="20"/>
        </w:rPr>
        <w:t>8.2如乙方为中小企业（依据《关于印发中小企业划型标准规定的通知》工信部联企业〔2011〕300号划分中小企业） 1）合同签订后，乙方向丙方开具合同总价30%的发票，满足付款支付条件后最多不超过10个工作日内支付合同总金额的30%； 2） 设备安装调试验收合格后，乙方向甲方提交(1)中标通知书；(2)合同；(3)请款函；(4)经甲方确认的付款当期的验收证明和现场安装照片；(5)乙方向丙方开具的等额正式发票,向甲方申请付款。甲方在收到乙方提供的资料后，满足支付条件后最多不超过10个工作日内办理支付手续，向乙方支付合同金额的70%的货款。</w:t>
      </w:r>
    </w:p>
    <w:p>
      <w:pPr>
        <w:pStyle w:val="null3"/>
        <w:jc w:val="both"/>
      </w:pPr>
      <w:r>
        <w:rPr>
          <w:sz w:val="20"/>
          <w:b/>
        </w:rPr>
        <w:t>9、技术服务</w:t>
      </w:r>
    </w:p>
    <w:p>
      <w:pPr>
        <w:pStyle w:val="null3"/>
        <w:ind w:firstLine="480"/>
        <w:jc w:val="both"/>
      </w:pPr>
      <w:r>
        <w:rPr>
          <w:sz w:val="20"/>
        </w:rPr>
        <w:t>乙方应派员到甲方指定地点配合工作，按甲方提供的合同执行进度计划，再配合甲方及有关单位，以此做好合同执行进度上的配合工作。</w:t>
      </w:r>
    </w:p>
    <w:p>
      <w:pPr>
        <w:pStyle w:val="null3"/>
        <w:jc w:val="both"/>
      </w:pPr>
      <w:r>
        <w:rPr>
          <w:sz w:val="20"/>
          <w:b/>
        </w:rPr>
        <w:t>10、不可抗力</w:t>
      </w:r>
    </w:p>
    <w:p>
      <w:pPr>
        <w:pStyle w:val="null3"/>
        <w:ind w:firstLine="480"/>
        <w:jc w:val="both"/>
      </w:pPr>
      <w:r>
        <w:rPr>
          <w:sz w:val="20"/>
        </w:rPr>
        <w:t>（</w:t>
      </w:r>
      <w:r>
        <w:rPr>
          <w:sz w:val="20"/>
        </w:rPr>
        <w:t>1）不可抗力指战争、严重火灾、洪水、台风、地震等或其他三方认定的不可抗力事件。</w:t>
      </w:r>
    </w:p>
    <w:p>
      <w:pPr>
        <w:pStyle w:val="null3"/>
        <w:ind w:firstLine="480"/>
        <w:jc w:val="both"/>
      </w:pPr>
      <w:r>
        <w:rPr>
          <w:sz w:val="20"/>
        </w:rPr>
        <w:t>（</w:t>
      </w:r>
      <w:r>
        <w:rPr>
          <w:sz w:val="20"/>
        </w:rPr>
        <w:t>2）签约双方中任何一方由于不可抗力影响合同执行时，发生不可抗力一方应尽快将事故通知另一方。在此情况下，乙方仍然有责任采取必要的措施加速供货，双方应通过友好协商解决本合同的执行问题</w:t>
      </w:r>
      <w:r>
        <w:rPr>
          <w:sz w:val="20"/>
          <w:b/>
        </w:rPr>
        <w:t>。</w:t>
      </w:r>
    </w:p>
    <w:p>
      <w:pPr>
        <w:pStyle w:val="null3"/>
        <w:jc w:val="both"/>
      </w:pPr>
      <w:r>
        <w:rPr>
          <w:sz w:val="20"/>
          <w:b/>
        </w:rPr>
        <w:t>11索赔</w:t>
      </w:r>
    </w:p>
    <w:p>
      <w:pPr>
        <w:pStyle w:val="null3"/>
        <w:ind w:firstLine="480"/>
        <w:jc w:val="both"/>
      </w:pPr>
      <w:r>
        <w:rPr>
          <w:sz w:val="20"/>
        </w:rPr>
        <w:t>（</w:t>
      </w:r>
      <w:r>
        <w:rPr>
          <w:sz w:val="20"/>
        </w:rPr>
        <w:t>1）如甲方对货物质量有异议，甲方有权根据有关质检部门的检验结果向乙方提出索赔。</w:t>
      </w:r>
    </w:p>
    <w:p>
      <w:pPr>
        <w:pStyle w:val="null3"/>
        <w:ind w:firstLine="480"/>
        <w:jc w:val="both"/>
      </w:pPr>
      <w:r>
        <w:rPr>
          <w:sz w:val="20"/>
        </w:rPr>
        <w:t>（</w:t>
      </w:r>
      <w:r>
        <w:rPr>
          <w:sz w:val="20"/>
        </w:rPr>
        <w:t>2）在合同执行期间，如果乙方对甲方提出的索赔和差异负有责任，乙方应按照甲方同意的下列一种或多种方式解决索赔事宜。</w:t>
      </w:r>
    </w:p>
    <w:p>
      <w:pPr>
        <w:pStyle w:val="null3"/>
        <w:ind w:firstLine="480"/>
        <w:jc w:val="both"/>
      </w:pPr>
      <w:r>
        <w:rPr>
          <w:sz w:val="20"/>
        </w:rPr>
        <w:t>1）乙方同意退货，并按合同规定的同种货币将货款退还给甲方，并承担由此发生的一切损失和费用。</w:t>
      </w:r>
    </w:p>
    <w:p>
      <w:pPr>
        <w:pStyle w:val="null3"/>
        <w:ind w:firstLine="480"/>
        <w:jc w:val="both"/>
      </w:pPr>
      <w:r>
        <w:rPr>
          <w:sz w:val="20"/>
        </w:rPr>
        <w:t>2）根据货物低劣程度、损坏程度以及甲方所遭受损失的数额，甲乙双方商定降低货物的价格。</w:t>
      </w:r>
    </w:p>
    <w:p>
      <w:pPr>
        <w:pStyle w:val="null3"/>
        <w:ind w:firstLine="480"/>
        <w:jc w:val="both"/>
      </w:pPr>
      <w:r>
        <w:rPr>
          <w:sz w:val="20"/>
        </w:rPr>
        <w:t>3）用符合规格、质量和性能要求的新零件、部件或货物来更换有缺陷部分或修补缺陷的部分，乙方应承担一切费用和风险并负担甲方所发生的一切直接费用。同时，相应延长质量保证期。</w:t>
      </w:r>
    </w:p>
    <w:p>
      <w:pPr>
        <w:pStyle w:val="null3"/>
        <w:ind w:firstLine="480"/>
        <w:jc w:val="both"/>
      </w:pPr>
      <w:r>
        <w:rPr>
          <w:sz w:val="20"/>
        </w:rPr>
        <w:t>（</w:t>
      </w:r>
      <w:r>
        <w:rPr>
          <w:sz w:val="20"/>
        </w:rPr>
        <w:t>3） 如果在甲方发出索赔通知后30天内，乙方未作答复，索赔通知中的索赔事宜应视为已被乙方接受。甲方将从合同款项中扣回索赔金额。如果这些金额不足以补偿索赔金额，甲方有权向乙方提出不足部分的补偿。</w:t>
      </w:r>
    </w:p>
    <w:p>
      <w:pPr>
        <w:pStyle w:val="null3"/>
        <w:ind w:firstLine="480"/>
        <w:jc w:val="both"/>
      </w:pPr>
      <w:r>
        <w:rPr>
          <w:sz w:val="20"/>
        </w:rPr>
        <w:t>（</w:t>
      </w:r>
      <w:r>
        <w:rPr>
          <w:sz w:val="20"/>
        </w:rPr>
        <w:t>4）本合同所称之损失包括直接经济损失和合同履行后可以获得的利益及合理的调查费、评估费、公证费、诉讼费、交通费、律师费等相关法律费用。</w:t>
      </w:r>
    </w:p>
    <w:p>
      <w:pPr>
        <w:pStyle w:val="null3"/>
        <w:jc w:val="both"/>
      </w:pPr>
      <w:r>
        <w:rPr>
          <w:sz w:val="20"/>
          <w:b/>
        </w:rPr>
        <w:t>12、违约与处罚</w:t>
      </w:r>
    </w:p>
    <w:p>
      <w:pPr>
        <w:pStyle w:val="null3"/>
        <w:ind w:firstLine="480"/>
        <w:jc w:val="both"/>
      </w:pPr>
      <w:r>
        <w:rPr>
          <w:sz w:val="20"/>
        </w:rPr>
        <w:t>（</w:t>
      </w:r>
      <w:r>
        <w:rPr>
          <w:sz w:val="20"/>
        </w:rPr>
        <w:t>1）乙方未能按时交货，每拖延一天，须向甲方支付合同金额的万分之五的违约金；逾期超过15日，甲方有权单方解除本合同，乙方应当退还甲方已付的货款（如有）并按本合同总价款的20%向甲方支付违约金，由此造成甲方或丙方损失的，乙方承担损失赔偿责任。</w:t>
      </w:r>
    </w:p>
    <w:p>
      <w:pPr>
        <w:pStyle w:val="null3"/>
        <w:ind w:firstLine="480"/>
        <w:jc w:val="both"/>
      </w:pPr>
      <w:r>
        <w:rPr>
          <w:sz w:val="20"/>
        </w:rPr>
        <w:t>（</w:t>
      </w:r>
      <w:r>
        <w:rPr>
          <w:sz w:val="20"/>
        </w:rPr>
        <w:t>2）乙方交付的货物不符合合同规定的，或甲方、丙方要求的，甲方有权选择单方解除合同或要求乙方继续履行合同。如甲方未提出解除合同，乙方应继续履行合同，由此造成逾期交付的，乙方按本合同第11条第（1）项的约定承担违约责任；如甲方提出解除合同，甲方有权拒付货款，乙方应当退还甲方已付的货款（如有），并向甲方支付本合同总金额20%的违约金，同时不予退还履约保证金（如有），由此造成甲方损失的，乙方承担损失赔偿责任。</w:t>
      </w:r>
    </w:p>
    <w:p>
      <w:pPr>
        <w:pStyle w:val="null3"/>
        <w:ind w:firstLine="240"/>
        <w:jc w:val="both"/>
      </w:pPr>
      <w:r>
        <w:rPr>
          <w:sz w:val="20"/>
        </w:rPr>
        <w:t>（</w:t>
      </w:r>
      <w:r>
        <w:rPr>
          <w:sz w:val="20"/>
        </w:rPr>
        <w:t>3）乙方未能交付货物，甲方有权单方解除本合同，乙方应当退还甲方已付的货款（如有）并按本合同总价款的20%向甲方支付违约金，由此造成甲方或丙方损失的，乙方承担损失赔偿责任。</w:t>
      </w:r>
    </w:p>
    <w:p>
      <w:pPr>
        <w:pStyle w:val="null3"/>
        <w:ind w:firstLine="480"/>
        <w:jc w:val="both"/>
      </w:pPr>
      <w:r>
        <w:rPr>
          <w:sz w:val="20"/>
        </w:rPr>
        <w:t>（</w:t>
      </w:r>
      <w:r>
        <w:rPr>
          <w:sz w:val="20"/>
        </w:rPr>
        <w:t>4）乙方以保函(保险)形式提交本合同总金额5%履约保证金，若乙方没有违约行为，待设备安装正常运行后甲方在收到相关申请资料后次月自动失效。</w:t>
      </w:r>
    </w:p>
    <w:p>
      <w:pPr>
        <w:pStyle w:val="null3"/>
        <w:ind w:left="210"/>
        <w:jc w:val="both"/>
      </w:pPr>
      <w:r>
        <w:rPr>
          <w:sz w:val="20"/>
        </w:rPr>
        <w:t xml:space="preserve">  </w:t>
      </w:r>
      <w:r>
        <w:rPr>
          <w:sz w:val="20"/>
        </w:rPr>
        <w:t>（</w:t>
      </w:r>
      <w:r>
        <w:rPr>
          <w:sz w:val="20"/>
        </w:rPr>
        <w:t>5）乙方不得在未经甲丙双方书面同意的情况下，将本合同项下服务以任何方式转包或分包给第三人承担，否则，甲方有权单方解除本合同并不支付本合同项下任何款项，且乙方应当向甲方支付本合同总价20%的违约金和承担甲方、丙方的损失。</w:t>
      </w:r>
    </w:p>
    <w:p>
      <w:pPr>
        <w:pStyle w:val="null3"/>
        <w:ind w:firstLine="240"/>
        <w:jc w:val="both"/>
      </w:pPr>
      <w:r>
        <w:rPr>
          <w:sz w:val="20"/>
        </w:rPr>
        <w:t>（</w:t>
      </w:r>
      <w:r>
        <w:rPr>
          <w:sz w:val="20"/>
        </w:rPr>
        <w:t>6）乙方应保证其在本项目的服务、交付的货物或其任何一部分不会产生因第三方提出侵犯其专利权、商标权或其他知识产权而引起的法律和经济纠纷，否则，一切责任由乙方承担，乙方应当向甲方支付本合同总价20%的违约金和承担甲方、丙方的损失。</w:t>
      </w:r>
    </w:p>
    <w:p>
      <w:pPr>
        <w:pStyle w:val="null3"/>
        <w:jc w:val="both"/>
      </w:pPr>
      <w:r>
        <w:rPr>
          <w:sz w:val="20"/>
          <w:b/>
        </w:rPr>
        <w:t>13、保密条款：</w:t>
      </w:r>
    </w:p>
    <w:p>
      <w:pPr>
        <w:pStyle w:val="null3"/>
        <w:ind w:firstLine="480"/>
        <w:jc w:val="left"/>
      </w:pPr>
      <w:r>
        <w:rPr>
          <w:sz w:val="20"/>
        </w:rPr>
        <w:t>未经对方书面同意，任何一方不得向任何第三方泄露对方信息。如一方泄露信息，另一方可单方解除合同，同时泄露方应承担信息泄露所产生的法律责任。</w:t>
      </w:r>
    </w:p>
    <w:p>
      <w:pPr>
        <w:pStyle w:val="null3"/>
        <w:ind w:firstLine="480"/>
        <w:jc w:val="left"/>
      </w:pPr>
      <w:r>
        <w:rPr>
          <w:sz w:val="20"/>
        </w:rPr>
        <w:t>未经对方书面同意，双方均不向第三方（乙方合作机构除外）泄露本协议的存在以及本协议的内容，包括但不限于价格条款、付费及支付方式、合作模式等。</w:t>
      </w:r>
    </w:p>
    <w:p>
      <w:pPr>
        <w:pStyle w:val="null3"/>
        <w:jc w:val="both"/>
      </w:pPr>
      <w:r>
        <w:rPr>
          <w:sz w:val="20"/>
          <w:b/>
        </w:rPr>
        <w:t>14、法律诉讼</w:t>
      </w:r>
    </w:p>
    <w:p>
      <w:pPr>
        <w:pStyle w:val="null3"/>
        <w:ind w:firstLine="480"/>
        <w:jc w:val="both"/>
      </w:pPr>
      <w:r>
        <w:rPr>
          <w:sz w:val="20"/>
        </w:rPr>
        <w:t>签约三方在履约中发生争执和分歧，三方应通过友好协商解决，若经协商不成时，则向丙方所在地人民法院提起诉讼。诉讼期间，三方应继续执行合同其余无争议部分。</w:t>
      </w:r>
    </w:p>
    <w:p>
      <w:pPr>
        <w:pStyle w:val="null3"/>
        <w:jc w:val="both"/>
      </w:pPr>
      <w:r>
        <w:rPr>
          <w:sz w:val="20"/>
          <w:b/>
        </w:rPr>
        <w:t>15、送达条款：</w:t>
      </w:r>
    </w:p>
    <w:p>
      <w:pPr>
        <w:pStyle w:val="null3"/>
        <w:ind w:firstLine="420"/>
        <w:jc w:val="left"/>
      </w:pPr>
      <w:r>
        <w:rPr>
          <w:sz w:val="20"/>
        </w:rPr>
        <w:t>（</w:t>
      </w:r>
      <w:r>
        <w:rPr>
          <w:sz w:val="20"/>
        </w:rPr>
        <w:t>1）三方在此确认，本合同中三方各自的地址是双方指定接收各类法律文书、往来函件、通知的唯一邮寄地址，双方承诺上述住所地址信息均是真实、准确、完整的；</w:t>
      </w:r>
      <w:r>
        <w:br/>
      </w:r>
      <w:r>
        <w:rPr>
          <w:sz w:val="20"/>
        </w:rPr>
        <w:t xml:space="preserve">   </w:t>
      </w:r>
      <w:r>
        <w:rPr>
          <w:sz w:val="20"/>
        </w:rPr>
        <w:t>（</w:t>
      </w:r>
      <w:r>
        <w:rPr>
          <w:sz w:val="20"/>
        </w:rPr>
        <w:t>2）如果上述邮寄地址发生变更，三方应当在变更后的三天内及时书面通知各方新的邮寄地址，如果未及时通知各方，未收到变更通知的一方按照原地址向各方送达各类法律文书、往来函件、通知，仍视为有效送达。</w:t>
      </w:r>
      <w:r>
        <w:br/>
      </w:r>
      <w:r>
        <w:rPr>
          <w:sz w:val="20"/>
        </w:rPr>
        <w:t xml:space="preserve">   </w:t>
      </w:r>
      <w:r>
        <w:rPr>
          <w:sz w:val="20"/>
        </w:rPr>
        <w:t>（</w:t>
      </w:r>
      <w:r>
        <w:rPr>
          <w:sz w:val="20"/>
        </w:rPr>
        <w:t>3）三方按照指定的邮寄地址邮寄各类法律文书、函件、通知被退回的，文书、函件、通知被退回之日视为送达之日。</w:t>
      </w:r>
      <w:r>
        <w:br/>
      </w:r>
      <w:r>
        <w:rPr>
          <w:sz w:val="20"/>
        </w:rPr>
        <w:t xml:space="preserve">   </w:t>
      </w:r>
      <w:r>
        <w:rPr>
          <w:sz w:val="20"/>
        </w:rPr>
        <w:t>（</w:t>
      </w:r>
      <w:r>
        <w:rPr>
          <w:sz w:val="20"/>
        </w:rPr>
        <w:t>4）上述送达地址持续适用于合同履行期间、履行本合同发生争议进入民事诉讼程序(包括一审、二审、再审、执行程序和特别程序)或仲裁阶段后，人民法院或仲裁机构向各方送达各类法律文书。</w:t>
      </w:r>
    </w:p>
    <w:p>
      <w:pPr>
        <w:pStyle w:val="null3"/>
        <w:jc w:val="both"/>
      </w:pPr>
      <w:r>
        <w:rPr>
          <w:sz w:val="20"/>
          <w:b/>
        </w:rPr>
        <w:t>16、其他</w:t>
      </w:r>
    </w:p>
    <w:p>
      <w:pPr>
        <w:pStyle w:val="null3"/>
        <w:ind w:firstLine="480"/>
        <w:jc w:val="both"/>
      </w:pPr>
      <w:r>
        <w:rPr>
          <w:sz w:val="20"/>
        </w:rPr>
        <w:t>本合同正本伍份，具有同等法律效力，甲方执叁份，乙方执壹份，丙方执壹份。本合同经甲乙法定代表人（委托代理人）、丙方签约代表签字并加盖单位合同印章之日起即时生效。</w:t>
      </w:r>
    </w:p>
    <w:p>
      <w:pPr>
        <w:pStyle w:val="null3"/>
        <w:ind w:firstLine="480"/>
        <w:jc w:val="both"/>
      </w:pPr>
      <w:r>
        <w:rPr>
          <w:sz w:val="20"/>
        </w:rPr>
        <w:t>本合同执行期内，甲乙双方均不得随意变更或解除本合同。未尽事宜，由双方共同协商达成补充协议解决。补充协议与本合同不一致的，以补充协议为准。</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2648"/>
        <w:gridCol w:w="2829"/>
        <w:gridCol w:w="2829"/>
      </w:tblGrid>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甲方：广州中医药大学第一附属医院深汕医院</w:t>
            </w:r>
            <w:r>
              <w:rPr>
                <w:sz w:val="20"/>
              </w:rPr>
              <w:t>(深汕中医医院、汕尾市中医医院)</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乙方：</w:t>
            </w:r>
          </w:p>
          <w:p>
            <w:pPr>
              <w:pStyle w:val="null3"/>
              <w:jc w:val="both"/>
            </w:pP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丙方：汕尾市卫生健康局</w:t>
            </w: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法定代表人签名：</w:t>
            </w:r>
            <w:r>
              <w:rPr>
                <w:sz w:val="20"/>
              </w:rPr>
              <w:t xml:space="preserve">                        </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法定代表人签名：</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法定代表人签名：</w:t>
            </w: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签约代表：</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签约代表：</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签约代表：</w:t>
            </w: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地址：</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地址：</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电话：</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电话：</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电话：</w:t>
            </w: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传真：</w:t>
            </w:r>
            <w:r>
              <w:rPr>
                <w:sz w:val="20"/>
              </w:rPr>
              <w:t>/</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传真：</w:t>
            </w:r>
            <w:r>
              <w:rPr>
                <w:sz w:val="20"/>
              </w:rPr>
              <w:t>/</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传真：</w:t>
            </w:r>
            <w:r>
              <w:rPr>
                <w:sz w:val="20"/>
              </w:rPr>
              <w:t>/</w:t>
            </w: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签约日期：</w:t>
            </w:r>
            <w:r>
              <w:rPr>
                <w:sz w:val="20"/>
              </w:rPr>
              <w:t xml:space="preserve">     </w:t>
            </w:r>
            <w:r>
              <w:rPr>
                <w:sz w:val="20"/>
              </w:rPr>
              <w:t>年</w:t>
            </w:r>
            <w:r>
              <w:rPr>
                <w:sz w:val="20"/>
              </w:rPr>
              <w:t xml:space="preserve">     </w:t>
            </w:r>
            <w:r>
              <w:rPr>
                <w:sz w:val="20"/>
              </w:rPr>
              <w:t>月</w:t>
            </w:r>
            <w:r>
              <w:rPr>
                <w:sz w:val="20"/>
              </w:rPr>
              <w:t xml:space="preserve">     </w:t>
            </w:r>
            <w:r>
              <w:rPr>
                <w:sz w:val="20"/>
              </w:rPr>
              <w:t>日</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签约日期：</w:t>
            </w:r>
            <w:r>
              <w:rPr>
                <w:sz w:val="20"/>
              </w:rPr>
              <w:t xml:space="preserve">     </w:t>
            </w:r>
            <w:r>
              <w:rPr>
                <w:sz w:val="20"/>
              </w:rPr>
              <w:t>年</w:t>
            </w:r>
            <w:r>
              <w:rPr>
                <w:sz w:val="20"/>
              </w:rPr>
              <w:t xml:space="preserve">     </w:t>
            </w:r>
            <w:r>
              <w:rPr>
                <w:sz w:val="20"/>
              </w:rPr>
              <w:t>月</w:t>
            </w:r>
            <w:r>
              <w:rPr>
                <w:sz w:val="20"/>
              </w:rPr>
              <w:t xml:space="preserve">     </w:t>
            </w:r>
            <w:r>
              <w:rPr>
                <w:sz w:val="20"/>
              </w:rPr>
              <w:t>日</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签约日期：</w:t>
            </w:r>
            <w:r>
              <w:rPr>
                <w:sz w:val="20"/>
              </w:rPr>
              <w:t xml:space="preserve">     </w:t>
            </w:r>
            <w:r>
              <w:rPr>
                <w:sz w:val="20"/>
              </w:rPr>
              <w:t>年</w:t>
            </w:r>
            <w:r>
              <w:rPr>
                <w:sz w:val="20"/>
              </w:rPr>
              <w:t xml:space="preserve">     </w:t>
            </w:r>
            <w:r>
              <w:rPr>
                <w:sz w:val="20"/>
              </w:rPr>
              <w:t>月</w:t>
            </w:r>
            <w:r>
              <w:rPr>
                <w:sz w:val="20"/>
              </w:rPr>
              <w:t xml:space="preserve">     </w:t>
            </w:r>
            <w:r>
              <w:rPr>
                <w:sz w:val="20"/>
              </w:rPr>
              <w:t>日</w:t>
            </w: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签约地点：</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乙方项目联系人：</w:t>
            </w:r>
            <w:r>
              <w:rPr>
                <w:sz w:val="21"/>
                <w:u w:val="single"/>
              </w:rPr>
              <w:t xml:space="preserve"> 电</w:t>
            </w:r>
            <w:r>
              <w:rPr>
                <w:sz w:val="20"/>
              </w:rPr>
              <w:t>话：</w:t>
            </w:r>
            <w:r>
              <w:rPr>
                <w:sz w:val="21"/>
                <w:u w:val="single"/>
              </w:rPr>
              <w:t xml:space="preserve">           </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441501-2026-00274</w:t>
      </w:r>
    </w:p>
    <w:p>
      <w:pPr>
        <w:pStyle w:val="null3"/>
        <w:jc w:val="center"/>
        <w:outlineLvl w:val="3"/>
      </w:pPr>
      <w:r>
        <w:rPr>
          <w:sz w:val="24"/>
          <w:b/>
        </w:rPr>
        <w:t>采购项目编号：</w:t>
      </w:r>
      <w:r>
        <w:rPr>
          <w:sz w:val="24"/>
          <w:b/>
        </w:rPr>
        <w:t>0724-2631SW901224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深汕中医医院一期工程配套项目救护车采购项目</w:t>
      </w:r>
      <w:r>
        <w:rPr>
          <w:u w:val="single"/>
        </w:rPr>
        <w:t>”</w:t>
      </w:r>
      <w:r>
        <w:rPr/>
        <w:t>项目的招标[采购项目编号为：</w:t>
      </w:r>
      <w:r>
        <w:rPr>
          <w:u w:val="single"/>
        </w:rPr>
        <w:t>0724-2631SW901224</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深汕中医医院一期工程配套项目救护车采购项目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深汕中医医院一期工程配套项目救护车采购项目</w:t>
      </w:r>
      <w:r>
        <w:rPr/>
        <w:t>”项目采购[采购项目编号为</w:t>
      </w:r>
      <w:r>
        <w:rPr/>
        <w:t>0724-2631SW901224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广州中医药大学第一附属医院深汕医院(深汕中医医院、汕尾市中医医院)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深汕中医医院一期工程配套项目救护车采购项目</w:t>
      </w:r>
      <w:r>
        <w:rPr/>
        <w:t>招标中获中标（采购项目编号：</w:t>
      </w:r>
      <w:r>
        <w:rPr/>
        <w:t>0724-2631SW901224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深汕中医医院一期工程配套项目救护车采购项目</w:t>
      </w:r>
      <w:r>
        <w:rPr/>
        <w:t>”项目（采购项目编号：</w:t>
      </w:r>
      <w:r>
        <w:rPr/>
        <w:t>0724-2631SW901224</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