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F3A04">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3348326A">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05DAF174">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6E6E4C2D">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22F9A134">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56B7A794">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7053A366">
      <w:pPr>
        <w:tabs>
          <w:tab w:val="left" w:pos="720"/>
        </w:tabs>
        <w:spacing w:line="360" w:lineRule="auto"/>
        <w:jc w:val="center"/>
        <w:rPr>
          <w:rFonts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lang w:val="en-US" w:eastAsia="zh-CN"/>
          <w14:textFill>
            <w14:solidFill>
              <w14:schemeClr w14:val="tx1"/>
            </w14:solidFill>
          </w14:textFill>
        </w:rPr>
        <w:t>第一部分</w:t>
      </w:r>
      <w:r>
        <w:rPr>
          <w:rFonts w:hint="eastAsia" w:ascii="宋体" w:hAnsi="宋体"/>
          <w:b/>
          <w:color w:val="000000" w:themeColor="text1"/>
          <w:sz w:val="48"/>
          <w:szCs w:val="48"/>
          <w:highlight w:val="none"/>
          <w14:textFill>
            <w14:solidFill>
              <w14:schemeClr w14:val="tx1"/>
            </w14:solidFill>
          </w14:textFill>
        </w:rPr>
        <w:t>、用户需求书</w:t>
      </w:r>
    </w:p>
    <w:p w14:paraId="08857282">
      <w:pPr>
        <w:tabs>
          <w:tab w:val="left" w:pos="720"/>
        </w:tabs>
        <w:spacing w:line="360" w:lineRule="auto"/>
        <w:rPr>
          <w:rFonts w:ascii="宋体" w:hAnsi="宋体"/>
          <w:b/>
          <w:color w:val="000000" w:themeColor="text1"/>
          <w:sz w:val="48"/>
          <w:szCs w:val="48"/>
          <w:highlight w:val="none"/>
          <w14:textFill>
            <w14:solidFill>
              <w14:schemeClr w14:val="tx1"/>
            </w14:solidFill>
          </w14:textFill>
        </w:rPr>
      </w:pPr>
    </w:p>
    <w:p w14:paraId="793E7620">
      <w:pPr>
        <w:spacing w:line="300" w:lineRule="auto"/>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br w:type="page"/>
      </w:r>
    </w:p>
    <w:p w14:paraId="0787F58F">
      <w:pPr>
        <w:numPr>
          <w:ilvl w:val="0"/>
          <w:numId w:val="0"/>
        </w:numPr>
        <w:spacing w:line="300" w:lineRule="auto"/>
        <w:jc w:val="center"/>
        <w:rPr>
          <w:rFonts w:hint="eastAsia" w:ascii="宋体" w:hAnsi="宋体"/>
          <w:b/>
          <w:bCs/>
          <w:color w:val="000000" w:themeColor="text1"/>
          <w:spacing w:val="10"/>
          <w:kern w:val="0"/>
          <w:sz w:val="28"/>
          <w:szCs w:val="28"/>
          <w:highlight w:val="none"/>
          <w:lang w:val="en-US" w:eastAsia="zh-CN"/>
          <w14:textFill>
            <w14:solidFill>
              <w14:schemeClr w14:val="tx1"/>
            </w14:solidFill>
          </w14:textFill>
        </w:rPr>
      </w:pPr>
      <w:r>
        <w:rPr>
          <w:rFonts w:hint="eastAsia" w:ascii="宋体" w:hAnsi="宋体"/>
          <w:b/>
          <w:bCs/>
          <w:color w:val="000000" w:themeColor="text1"/>
          <w:spacing w:val="10"/>
          <w:kern w:val="0"/>
          <w:sz w:val="28"/>
          <w:szCs w:val="28"/>
          <w:highlight w:val="none"/>
          <w:lang w:val="en-US" w:eastAsia="zh-CN"/>
          <w14:textFill>
            <w14:solidFill>
              <w14:schemeClr w14:val="tx1"/>
            </w14:solidFill>
          </w14:textFill>
        </w:rPr>
        <w:t>用户需求书</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656"/>
        <w:gridCol w:w="2196"/>
      </w:tblGrid>
      <w:tr w14:paraId="4646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6A2336B1">
            <w:pPr>
              <w:spacing w:after="0" w:line="24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标的名称</w:t>
            </w:r>
          </w:p>
        </w:tc>
        <w:tc>
          <w:tcPr>
            <w:tcW w:w="0" w:type="auto"/>
            <w:vAlign w:val="center"/>
          </w:tcPr>
          <w:p w14:paraId="15F869FA">
            <w:pPr>
              <w:spacing w:after="0" w:line="24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数量</w:t>
            </w:r>
          </w:p>
        </w:tc>
        <w:tc>
          <w:tcPr>
            <w:tcW w:w="0" w:type="auto"/>
            <w:vAlign w:val="center"/>
          </w:tcPr>
          <w:p w14:paraId="488A520E">
            <w:pPr>
              <w:spacing w:after="0" w:line="24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采购预算（人民币）</w:t>
            </w:r>
          </w:p>
        </w:tc>
      </w:tr>
      <w:tr w14:paraId="7430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53873A59">
            <w:pPr>
              <w:spacing w:after="0" w:line="24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中端麻醉机</w:t>
            </w:r>
          </w:p>
        </w:tc>
        <w:tc>
          <w:tcPr>
            <w:tcW w:w="0" w:type="auto"/>
            <w:vAlign w:val="center"/>
          </w:tcPr>
          <w:p w14:paraId="10B6C922">
            <w:pPr>
              <w:spacing w:after="0" w:line="24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2台</w:t>
            </w:r>
          </w:p>
        </w:tc>
        <w:tc>
          <w:tcPr>
            <w:tcW w:w="0" w:type="auto"/>
            <w:vAlign w:val="center"/>
          </w:tcPr>
          <w:p w14:paraId="5BA7D062">
            <w:pPr>
              <w:spacing w:after="0" w:line="24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¥560,000.00</w:t>
            </w:r>
          </w:p>
        </w:tc>
      </w:tr>
    </w:tbl>
    <w:p w14:paraId="2DC07B77">
      <w:pPr>
        <w:spacing w:after="0" w:line="240" w:lineRule="auto"/>
        <w:rPr>
          <w:rFonts w:hint="eastAsia" w:ascii="宋体" w:hAnsi="宋体" w:eastAsia="宋体" w:cs="宋体"/>
          <w:szCs w:val="21"/>
        </w:rPr>
      </w:pPr>
      <w:r>
        <w:rPr>
          <w:rFonts w:hint="eastAsia" w:ascii="宋体" w:hAnsi="宋体" w:eastAsia="宋体" w:cs="宋体"/>
          <w:szCs w:val="21"/>
        </w:rPr>
        <w:t>本项目采购本国产品。</w:t>
      </w:r>
    </w:p>
    <w:p w14:paraId="724B6A29">
      <w:pPr>
        <w:spacing w:line="300" w:lineRule="auto"/>
        <w:jc w:val="center"/>
        <w:rPr>
          <w:rFonts w:hint="eastAsia" w:hAnsi="宋体"/>
          <w:color w:val="000000" w:themeColor="text1"/>
          <w:highlight w:val="none"/>
          <w14:textFill>
            <w14:solidFill>
              <w14:schemeClr w14:val="tx1"/>
            </w14:solidFill>
          </w14:textFill>
        </w:rPr>
      </w:pPr>
    </w:p>
    <w:p w14:paraId="002B78F8">
      <w:pPr>
        <w:pStyle w:val="30"/>
        <w:rPr>
          <w:rFonts w:hint="eastAsia" w:hAnsi="宋体"/>
          <w:color w:val="000000" w:themeColor="text1"/>
          <w:highlight w:val="none"/>
          <w14:textFill>
            <w14:solidFill>
              <w14:schemeClr w14:val="tx1"/>
            </w14:solidFill>
          </w14:textFill>
        </w:rPr>
      </w:pPr>
    </w:p>
    <w:p w14:paraId="50449B0F">
      <w:pPr>
        <w:pStyle w:val="68"/>
        <w:rPr>
          <w:rFonts w:hint="default" w:ascii="宋体" w:hAnsi="宋体" w:eastAsia="宋体" w:cs="宋体"/>
          <w:sz w:val="21"/>
          <w:szCs w:val="21"/>
        </w:rPr>
      </w:pPr>
      <w:r>
        <w:rPr>
          <w:rFonts w:ascii="宋体" w:hAnsi="宋体" w:eastAsia="宋体" w:cs="宋体"/>
          <w:b/>
          <w:color w:val="000000"/>
          <w:sz w:val="21"/>
          <w:szCs w:val="21"/>
        </w:rPr>
        <w:t>说明：打“★”号条款为实质性条款，若有任何一条负偏离或不满足则导致投标（响应）无效。</w:t>
      </w:r>
    </w:p>
    <w:p w14:paraId="5174A197">
      <w:pPr>
        <w:pStyle w:val="68"/>
        <w:rPr>
          <w:rFonts w:hint="default" w:ascii="宋体" w:hAnsi="宋体" w:eastAsia="宋体" w:cs="宋体"/>
          <w:sz w:val="21"/>
          <w:szCs w:val="21"/>
        </w:rPr>
      </w:pPr>
      <w:r>
        <w:rPr>
          <w:rFonts w:ascii="宋体" w:hAnsi="宋体" w:eastAsia="宋体" w:cs="宋体"/>
          <w:b/>
          <w:color w:val="000000"/>
          <w:sz w:val="21"/>
          <w:szCs w:val="21"/>
        </w:rPr>
        <w:t>打“▲”号条款为重要技术参数（如有），若有部分“▲”条款未响应或不满足，将根据评审要求影响其得分，但不作为无效投标（响应）条款。</w:t>
      </w:r>
    </w:p>
    <w:p w14:paraId="74ADD4D7"/>
    <w:p w14:paraId="2773ADC2">
      <w:pPr>
        <w:jc w:val="center"/>
        <w:rPr>
          <w:b/>
          <w:bCs/>
        </w:rPr>
      </w:pPr>
      <w:bookmarkStart w:id="5" w:name="_GoBack"/>
      <w:bookmarkEnd w:id="5"/>
    </w:p>
    <w:p w14:paraId="70D9B6D1">
      <w:pPr>
        <w:pStyle w:val="9"/>
        <w:spacing w:after="0" w:line="240" w:lineRule="auto"/>
        <w:jc w:val="center"/>
        <w:rPr>
          <w:rFonts w:hint="eastAsia" w:ascii="宋体" w:hAnsi="宋体" w:eastAsia="宋体" w:cs="宋体"/>
          <w:b/>
          <w:bCs/>
          <w:szCs w:val="21"/>
        </w:rPr>
      </w:pPr>
      <w:r>
        <w:rPr>
          <w:rFonts w:hint="eastAsia" w:ascii="宋体" w:hAnsi="宋体" w:eastAsia="宋体" w:cs="宋体"/>
          <w:b/>
          <w:bCs/>
          <w:szCs w:val="21"/>
        </w:rPr>
        <w:t>中端麻醉机用户需求</w:t>
      </w:r>
    </w:p>
    <w:p w14:paraId="094D8CF2">
      <w:pPr>
        <w:spacing w:after="0" w:line="240" w:lineRule="auto"/>
        <w:jc w:val="left"/>
        <w:rPr>
          <w:rFonts w:hint="eastAsia" w:ascii="宋体" w:hAnsi="宋体" w:eastAsia="宋体" w:cs="宋体"/>
          <w:b/>
          <w:bCs/>
          <w:szCs w:val="21"/>
        </w:rPr>
      </w:pPr>
      <w:r>
        <w:rPr>
          <w:rFonts w:hint="eastAsia" w:ascii="宋体" w:hAnsi="宋体" w:eastAsia="宋体" w:cs="宋体"/>
          <w:b/>
          <w:bCs/>
          <w:szCs w:val="21"/>
        </w:rPr>
        <w:t>一、采购需求</w:t>
      </w:r>
    </w:p>
    <w:tbl>
      <w:tblPr>
        <w:tblStyle w:val="22"/>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134"/>
        <w:gridCol w:w="708"/>
        <w:gridCol w:w="1276"/>
        <w:gridCol w:w="1276"/>
        <w:gridCol w:w="2268"/>
      </w:tblGrid>
      <w:tr w14:paraId="5D4C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vAlign w:val="center"/>
          </w:tcPr>
          <w:p w14:paraId="34ACD053">
            <w:pPr>
              <w:pStyle w:val="16"/>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标的名称</w:t>
            </w:r>
          </w:p>
        </w:tc>
        <w:tc>
          <w:tcPr>
            <w:tcW w:w="1134" w:type="dxa"/>
            <w:tcBorders>
              <w:top w:val="single" w:color="auto" w:sz="4" w:space="0"/>
              <w:left w:val="nil"/>
              <w:bottom w:val="single" w:color="auto" w:sz="4" w:space="0"/>
              <w:right w:val="single" w:color="auto" w:sz="4" w:space="0"/>
            </w:tcBorders>
            <w:vAlign w:val="center"/>
          </w:tcPr>
          <w:p w14:paraId="3ECCAE2C">
            <w:pPr>
              <w:pStyle w:val="16"/>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单位</w:t>
            </w:r>
          </w:p>
        </w:tc>
        <w:tc>
          <w:tcPr>
            <w:tcW w:w="708" w:type="dxa"/>
            <w:tcBorders>
              <w:top w:val="single" w:color="auto" w:sz="4" w:space="0"/>
              <w:left w:val="nil"/>
              <w:bottom w:val="single" w:color="auto" w:sz="4" w:space="0"/>
              <w:right w:val="single" w:color="auto" w:sz="4" w:space="0"/>
            </w:tcBorders>
            <w:vAlign w:val="center"/>
          </w:tcPr>
          <w:p w14:paraId="06E028D2">
            <w:pPr>
              <w:pStyle w:val="16"/>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1276" w:type="dxa"/>
            <w:tcBorders>
              <w:top w:val="single" w:color="auto" w:sz="4" w:space="0"/>
              <w:left w:val="nil"/>
              <w:bottom w:val="single" w:color="auto" w:sz="4" w:space="0"/>
              <w:right w:val="single" w:color="auto" w:sz="4" w:space="0"/>
            </w:tcBorders>
            <w:vAlign w:val="center"/>
          </w:tcPr>
          <w:p w14:paraId="0BABEF43">
            <w:pPr>
              <w:pStyle w:val="16"/>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最高单价限价（万元）</w:t>
            </w:r>
          </w:p>
        </w:tc>
        <w:tc>
          <w:tcPr>
            <w:tcW w:w="1276" w:type="dxa"/>
            <w:tcBorders>
              <w:top w:val="single" w:color="auto" w:sz="4" w:space="0"/>
              <w:left w:val="nil"/>
              <w:bottom w:val="single" w:color="auto" w:sz="4" w:space="0"/>
              <w:right w:val="single" w:color="auto" w:sz="4" w:space="0"/>
            </w:tcBorders>
            <w:vAlign w:val="center"/>
          </w:tcPr>
          <w:p w14:paraId="1AD17B22">
            <w:pPr>
              <w:pStyle w:val="16"/>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采购预算（万元）</w:t>
            </w:r>
          </w:p>
        </w:tc>
        <w:tc>
          <w:tcPr>
            <w:tcW w:w="2268" w:type="dxa"/>
            <w:tcBorders>
              <w:top w:val="single" w:color="auto" w:sz="4" w:space="0"/>
              <w:left w:val="nil"/>
              <w:bottom w:val="single" w:color="auto" w:sz="4" w:space="0"/>
              <w:right w:val="single" w:color="auto" w:sz="4" w:space="0"/>
            </w:tcBorders>
            <w:vAlign w:val="center"/>
          </w:tcPr>
          <w:p w14:paraId="042AB084">
            <w:pPr>
              <w:pStyle w:val="16"/>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品目</w:t>
            </w:r>
          </w:p>
        </w:tc>
      </w:tr>
      <w:tr w14:paraId="17F8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555" w:type="dxa"/>
            <w:vAlign w:val="center"/>
          </w:tcPr>
          <w:p w14:paraId="704AF719">
            <w:pPr>
              <w:pStyle w:val="16"/>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中端麻醉机</w:t>
            </w:r>
          </w:p>
        </w:tc>
        <w:tc>
          <w:tcPr>
            <w:tcW w:w="1134" w:type="dxa"/>
            <w:vAlign w:val="center"/>
          </w:tcPr>
          <w:p w14:paraId="47A1C233">
            <w:pPr>
              <w:spacing w:after="0" w:line="240" w:lineRule="auto"/>
              <w:jc w:val="center"/>
              <w:rPr>
                <w:rFonts w:hint="eastAsia" w:ascii="宋体" w:hAnsi="宋体" w:eastAsia="宋体" w:cs="宋体"/>
                <w:szCs w:val="21"/>
              </w:rPr>
            </w:pPr>
            <w:r>
              <w:rPr>
                <w:rFonts w:hint="eastAsia" w:ascii="宋体" w:hAnsi="宋体" w:eastAsia="宋体" w:cs="宋体"/>
                <w:szCs w:val="21"/>
              </w:rPr>
              <w:t>台</w:t>
            </w:r>
          </w:p>
        </w:tc>
        <w:tc>
          <w:tcPr>
            <w:tcW w:w="708" w:type="dxa"/>
            <w:vAlign w:val="center"/>
          </w:tcPr>
          <w:p w14:paraId="236B60DD">
            <w:pPr>
              <w:spacing w:after="0" w:line="240" w:lineRule="auto"/>
              <w:jc w:val="center"/>
              <w:rPr>
                <w:rFonts w:hint="eastAsia" w:ascii="宋体" w:hAnsi="宋体" w:eastAsia="宋体" w:cs="宋体"/>
                <w:szCs w:val="21"/>
              </w:rPr>
            </w:pPr>
            <w:r>
              <w:rPr>
                <w:rFonts w:hint="eastAsia" w:ascii="宋体" w:hAnsi="宋体" w:eastAsia="宋体" w:cs="宋体"/>
                <w:szCs w:val="21"/>
              </w:rPr>
              <w:t>2</w:t>
            </w:r>
          </w:p>
        </w:tc>
        <w:tc>
          <w:tcPr>
            <w:tcW w:w="1276" w:type="dxa"/>
            <w:vAlign w:val="center"/>
          </w:tcPr>
          <w:p w14:paraId="43757FA3">
            <w:pPr>
              <w:spacing w:after="0" w:line="240" w:lineRule="auto"/>
              <w:jc w:val="center"/>
              <w:rPr>
                <w:rFonts w:hint="eastAsia" w:ascii="宋体" w:hAnsi="宋体" w:eastAsia="宋体" w:cs="宋体"/>
                <w:szCs w:val="21"/>
              </w:rPr>
            </w:pPr>
            <w:r>
              <w:rPr>
                <w:rFonts w:hint="eastAsia" w:ascii="宋体" w:hAnsi="宋体" w:eastAsia="宋体" w:cs="宋体"/>
                <w:szCs w:val="21"/>
              </w:rPr>
              <w:t>28万元</w:t>
            </w:r>
          </w:p>
        </w:tc>
        <w:tc>
          <w:tcPr>
            <w:tcW w:w="1276" w:type="dxa"/>
            <w:vAlign w:val="center"/>
          </w:tcPr>
          <w:p w14:paraId="166B300A">
            <w:pPr>
              <w:spacing w:after="0" w:line="240" w:lineRule="auto"/>
              <w:jc w:val="center"/>
              <w:rPr>
                <w:rFonts w:hint="eastAsia" w:ascii="宋体" w:hAnsi="宋体" w:eastAsia="宋体" w:cs="宋体"/>
                <w:szCs w:val="21"/>
              </w:rPr>
            </w:pPr>
            <w:r>
              <w:rPr>
                <w:rFonts w:hint="eastAsia" w:ascii="宋体" w:hAnsi="宋体" w:eastAsia="宋体" w:cs="宋体"/>
                <w:szCs w:val="21"/>
              </w:rPr>
              <w:t>56万元</w:t>
            </w:r>
          </w:p>
        </w:tc>
        <w:tc>
          <w:tcPr>
            <w:tcW w:w="2268" w:type="dxa"/>
            <w:vAlign w:val="center"/>
          </w:tcPr>
          <w:p w14:paraId="6D8F85C8">
            <w:pPr>
              <w:spacing w:after="0" w:line="240" w:lineRule="auto"/>
              <w:jc w:val="center"/>
              <w:rPr>
                <w:rFonts w:hint="eastAsia" w:ascii="宋体" w:hAnsi="宋体" w:eastAsia="宋体" w:cs="宋体"/>
                <w:szCs w:val="21"/>
              </w:rPr>
            </w:pPr>
            <w:r>
              <w:rPr>
                <w:rFonts w:hint="eastAsia" w:ascii="宋体" w:hAnsi="宋体" w:eastAsia="宋体" w:cs="宋体"/>
                <w:szCs w:val="21"/>
              </w:rPr>
              <w:t>A02322500急救和生命支持设备</w:t>
            </w:r>
          </w:p>
        </w:tc>
      </w:tr>
    </w:tbl>
    <w:p w14:paraId="253A89FC">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报价包含各项税费、交通运输费、保险、装卸费、安装等合同实施过程中应预见或不可预见费用等所有费用。</w:t>
      </w:r>
    </w:p>
    <w:p w14:paraId="23037491">
      <w:pPr>
        <w:pStyle w:val="9"/>
        <w:spacing w:after="0" w:line="240" w:lineRule="auto"/>
        <w:ind w:firstLine="0"/>
        <w:rPr>
          <w:rFonts w:hint="eastAsia" w:ascii="宋体" w:hAnsi="宋体" w:eastAsia="宋体" w:cs="宋体"/>
          <w:szCs w:val="21"/>
        </w:rPr>
      </w:pPr>
      <w:r>
        <w:rPr>
          <w:rFonts w:hint="eastAsia" w:ascii="宋体" w:hAnsi="宋体" w:eastAsia="宋体" w:cs="宋体"/>
          <w:b/>
          <w:bCs/>
          <w:szCs w:val="21"/>
        </w:rPr>
        <w:t>（一）项目需执行的国家相关标准、行业标准、地方标准或者其他标准、规范：</w:t>
      </w:r>
      <w:r>
        <w:rPr>
          <w:rFonts w:hint="eastAsia" w:ascii="宋体" w:hAnsi="宋体" w:eastAsia="宋体" w:cs="宋体"/>
          <w:szCs w:val="21"/>
        </w:rPr>
        <w:t>包含且不限于《医疗器械注册管理办法》、《医疗器械唯一标识系统规则》。</w:t>
      </w:r>
    </w:p>
    <w:p w14:paraId="065B325C">
      <w:pPr>
        <w:spacing w:after="0" w:line="240" w:lineRule="auto"/>
        <w:jc w:val="left"/>
        <w:rPr>
          <w:rFonts w:hint="eastAsia" w:ascii="宋体" w:hAnsi="宋体" w:eastAsia="宋体" w:cs="宋体"/>
          <w:szCs w:val="21"/>
        </w:rPr>
      </w:pPr>
      <w:r>
        <w:rPr>
          <w:rFonts w:hint="eastAsia" w:ascii="宋体" w:hAnsi="宋体" w:eastAsia="宋体" w:cs="宋体"/>
          <w:b/>
          <w:bCs/>
          <w:szCs w:val="21"/>
        </w:rPr>
        <w:t>（二）项目基本概况介绍</w:t>
      </w:r>
    </w:p>
    <w:p w14:paraId="1FE02710">
      <w:pPr>
        <w:widowControl/>
        <w:spacing w:after="0" w:line="240" w:lineRule="auto"/>
        <w:jc w:val="left"/>
        <w:rPr>
          <w:rFonts w:hint="eastAsia" w:ascii="宋体" w:hAnsi="宋体" w:eastAsia="宋体" w:cs="宋体"/>
          <w:szCs w:val="21"/>
        </w:rPr>
      </w:pPr>
      <w:r>
        <w:rPr>
          <w:rFonts w:hint="eastAsia" w:ascii="宋体" w:hAnsi="宋体" w:eastAsia="宋体" w:cs="宋体"/>
          <w:szCs w:val="21"/>
        </w:rPr>
        <w:t>本项目设备</w:t>
      </w:r>
      <w:r>
        <w:rPr>
          <w:rFonts w:hint="eastAsia" w:ascii="宋体" w:hAnsi="宋体" w:eastAsia="宋体" w:cs="宋体"/>
          <w:kern w:val="0"/>
          <w:szCs w:val="21"/>
        </w:rPr>
        <w:t>用于</w:t>
      </w:r>
      <w:r>
        <w:rPr>
          <w:rFonts w:hint="eastAsia" w:ascii="宋体" w:hAnsi="宋体" w:eastAsia="宋体" w:cs="宋体"/>
          <w:szCs w:val="21"/>
        </w:rPr>
        <w:t>多种类型患者（成人、儿童、新生儿）病人的全身麻醉监测、呼吸支持以及麻醉呼吸的全程管理；主要用于全麻手术过程中或者诊疗过程中对病人提供呼吸支持、麻醉支持以及生理监测，确保病人安全麻醉、舒适麻醉、精准麻醉或者舒适诊疗，从而降低病人术后并发症发生的机率，有效避免或者减少诊疗过程中对病人的刺激。</w:t>
      </w:r>
    </w:p>
    <w:p w14:paraId="763EB328">
      <w:pPr>
        <w:spacing w:after="0" w:line="240" w:lineRule="auto"/>
        <w:jc w:val="left"/>
        <w:rPr>
          <w:rFonts w:hint="eastAsia" w:ascii="宋体" w:hAnsi="宋体" w:eastAsia="宋体" w:cs="宋体"/>
          <w:szCs w:val="21"/>
        </w:rPr>
      </w:pPr>
      <w:r>
        <w:rPr>
          <w:rFonts w:hint="eastAsia" w:ascii="宋体" w:hAnsi="宋体" w:eastAsia="宋体" w:cs="宋体"/>
          <w:b/>
          <w:bCs/>
          <w:szCs w:val="21"/>
        </w:rPr>
        <w:t>（三）参数要求</w:t>
      </w:r>
    </w:p>
    <w:p w14:paraId="7E811038">
      <w:pPr>
        <w:pStyle w:val="9"/>
        <w:spacing w:after="0" w:line="240" w:lineRule="auto"/>
        <w:ind w:firstLine="0"/>
        <w:rPr>
          <w:rFonts w:hint="eastAsia" w:ascii="宋体" w:hAnsi="宋体" w:eastAsia="宋体" w:cs="宋体"/>
          <w:b/>
          <w:bCs/>
          <w:szCs w:val="21"/>
        </w:rPr>
      </w:pPr>
      <w:r>
        <w:rPr>
          <w:rFonts w:hint="eastAsia" w:ascii="宋体" w:hAnsi="宋体" w:eastAsia="宋体" w:cs="宋体"/>
          <w:b/>
          <w:bCs/>
          <w:szCs w:val="21"/>
        </w:rPr>
        <w:t>1、技术规格：</w:t>
      </w:r>
    </w:p>
    <w:p w14:paraId="09E8DDD4">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1.1</w:t>
      </w:r>
      <w:r>
        <w:rPr>
          <w:rFonts w:hint="eastAsia" w:ascii="宋体" w:hAnsi="宋体" w:eastAsia="宋体" w:cs="宋体"/>
          <w:szCs w:val="21"/>
        </w:rPr>
        <w:tab/>
      </w:r>
      <w:r>
        <w:rPr>
          <w:rFonts w:hint="eastAsia" w:ascii="宋体" w:hAnsi="宋体" w:eastAsia="宋体" w:cs="宋体"/>
          <w:szCs w:val="21"/>
        </w:rPr>
        <w:t>工作条件</w:t>
      </w:r>
    </w:p>
    <w:p w14:paraId="2ED1EA8B">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1.1.1操作环境，温度：10°至40°C，湿度：15至95%，大气压：500至800mmHg</w:t>
      </w:r>
    </w:p>
    <w:p w14:paraId="2DACB5EE">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1.1.2电源：120/220V-240V (±10%), 50Hz-60Hz</w:t>
      </w:r>
    </w:p>
    <w:p w14:paraId="104F1AF3">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1.1.3具备后备蓄电池，使用时间≥90分钟</w:t>
      </w:r>
    </w:p>
    <w:p w14:paraId="6EF14C52">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1.1.4机架：带推车，三个大抽屉，前轮脚刹，防缆线缠绕。（投标文件中需提供机器实际图片或彩页证明相应功能）</w:t>
      </w:r>
    </w:p>
    <w:p w14:paraId="4A7ADE6F">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1.1.5工作台双层灯光，无极亮度可调（非档位调节）</w:t>
      </w:r>
    </w:p>
    <w:p w14:paraId="7D96D472">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1.1.6具备单宽度麻醉气体模块侧插槽</w:t>
      </w:r>
    </w:p>
    <w:p w14:paraId="70CE0AE0">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1.1.7显示屏（非主机）具备RS232接口，USB接口，以太网络接口，HDMI接口。</w:t>
      </w:r>
    </w:p>
    <w:p w14:paraId="4EFA521D">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1.2</w:t>
      </w:r>
      <w:r>
        <w:rPr>
          <w:rFonts w:hint="eastAsia" w:ascii="宋体" w:hAnsi="宋体" w:eastAsia="宋体" w:cs="宋体"/>
          <w:szCs w:val="21"/>
        </w:rPr>
        <w:tab/>
      </w:r>
      <w:r>
        <w:rPr>
          <w:rFonts w:hint="eastAsia" w:ascii="宋体" w:hAnsi="宋体" w:eastAsia="宋体" w:cs="宋体"/>
          <w:szCs w:val="21"/>
        </w:rPr>
        <w:t>气源</w:t>
      </w:r>
    </w:p>
    <w:p w14:paraId="2CBBAAAD">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1.2.1氧气：具备安全保护装置，在供氧压＜252Kpa时报警</w:t>
      </w:r>
    </w:p>
    <w:p w14:paraId="48E997BF">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1.2.2具有空气气源及接口</w:t>
      </w:r>
    </w:p>
    <w:p w14:paraId="3E7E64EE">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1.2.3快速充氧范围25-75L/min</w:t>
      </w:r>
    </w:p>
    <w:p w14:paraId="6A4157C5">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1.2.4可升级三气源</w:t>
      </w:r>
    </w:p>
    <w:p w14:paraId="74D9BC1C">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1.3</w:t>
      </w:r>
      <w:r>
        <w:rPr>
          <w:rFonts w:hint="eastAsia" w:ascii="宋体" w:hAnsi="宋体" w:eastAsia="宋体" w:cs="宋体"/>
          <w:szCs w:val="21"/>
        </w:rPr>
        <w:tab/>
      </w:r>
      <w:r>
        <w:rPr>
          <w:rFonts w:hint="eastAsia" w:ascii="宋体" w:hAnsi="宋体" w:eastAsia="宋体" w:cs="宋体"/>
          <w:szCs w:val="21"/>
        </w:rPr>
        <w:t>流量计</w:t>
      </w:r>
    </w:p>
    <w:p w14:paraId="24BC0620">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1.3.1电子流量计（数控流量阀技术），氧气、空气，流量通过呼吸机屏幕电子显示；流量范围0.1-15l/min</w:t>
      </w:r>
    </w:p>
    <w:p w14:paraId="3D3978E6">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1.3.2具备备用机械流量管，流量范围1-10l/min，保证在停电时能正常工作</w:t>
      </w:r>
    </w:p>
    <w:p w14:paraId="628E3795">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1.4</w:t>
      </w:r>
      <w:r>
        <w:rPr>
          <w:rFonts w:hint="eastAsia" w:ascii="宋体" w:hAnsi="宋体" w:eastAsia="宋体" w:cs="宋体"/>
          <w:szCs w:val="21"/>
        </w:rPr>
        <w:tab/>
      </w:r>
      <w:r>
        <w:rPr>
          <w:rFonts w:hint="eastAsia" w:ascii="宋体" w:hAnsi="宋体" w:eastAsia="宋体" w:cs="宋体"/>
          <w:szCs w:val="21"/>
        </w:rPr>
        <w:t>挥发罐</w:t>
      </w:r>
    </w:p>
    <w:p w14:paraId="3674B457">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1.4.1内嵌≥2个挥发罐的位置，可升级同品牌同生产厂家地氟醚挥发罐。提供原厂厂家生产证明。罐位不影响手麻系统安装和使用。（投标文件中需提供机器实际图片或彩页证明相应功能）</w:t>
      </w:r>
    </w:p>
    <w:p w14:paraId="508565BA">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▲1.4.2主机自带挥发罐专用照明灯，灯光亮度可调，方便腔镜手术昏暗环境下精准调控挥发罐。（投标文件中需提供机器实际图片或彩页证明相应功能）</w:t>
      </w:r>
    </w:p>
    <w:p w14:paraId="62B9A31B">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1.4.3具备2个挥发罐的位置，具有互锁功能，无需手动选择使用罐，具备≥1个七氟醚挥发罐</w:t>
      </w:r>
    </w:p>
    <w:p w14:paraId="08887ACF">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1.4可升级同品牌地氟醚挥发罐，地氟醚挥发罐在未通电时无法开启，避免药物泄露风险。（投标文件中需提供机器实际图片或彩页证明相应功能）</w:t>
      </w:r>
    </w:p>
    <w:p w14:paraId="1A056BCA">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1.5</w:t>
      </w:r>
      <w:r>
        <w:rPr>
          <w:rFonts w:hint="eastAsia" w:ascii="宋体" w:hAnsi="宋体" w:eastAsia="宋体" w:cs="宋体"/>
          <w:szCs w:val="21"/>
        </w:rPr>
        <w:tab/>
      </w:r>
      <w:r>
        <w:rPr>
          <w:rFonts w:hint="eastAsia" w:ascii="宋体" w:hAnsi="宋体" w:eastAsia="宋体" w:cs="宋体"/>
          <w:szCs w:val="21"/>
        </w:rPr>
        <w:t>呼吸回路</w:t>
      </w:r>
    </w:p>
    <w:p w14:paraId="58752667">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▲1.5.1 回路容积≤3.2L（包含回路系统、二氧化碳吸收罐、风箱），为快速调节新鲜气体流量以及输出麻药浓度提供了保障，且手动皮囊不参与机械通气。（投标文件中提供厂家盖章的产品说明书作为证明材料。）</w:t>
      </w:r>
    </w:p>
    <w:p w14:paraId="6BC599FB">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1.5.2机控下所有与患者呼出气体接触部分的呼吸回路（具备流量传感器、风箱折叠皮囊，二氧化碳吸收罐，呼吸活瓣）可耐受≥134℃高温高压消毒避免院内交叉感染，流量传感器、风箱折叠皮囊、二氧化碳吸收罐上均必须具有≥134℃国际认证标识，提供照片证明</w:t>
      </w:r>
    </w:p>
    <w:p w14:paraId="2316A3EA">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1.5.3模块化呼吸回路，所有传感器及连接电缆内置在回路内（投标文件中需提供机器实际图片或彩页证明相应功能）；所有回路模块不用任何工具可以拆卸、安装</w:t>
      </w:r>
    </w:p>
    <w:p w14:paraId="6B7DD29B">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1.5.4具备可重复使用具备干湿分离功能的双层二氧化碳吸收罐</w:t>
      </w:r>
    </w:p>
    <w:p w14:paraId="6EEFDDF6">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1.5.5具备内置二氧化碳旁路功能，支持术中更换可重复使用的同品牌二氧化碳吸收罐，无需关停机械通气，可方便直接更换，不会产生漏气。</w:t>
      </w:r>
    </w:p>
    <w:p w14:paraId="4464BCE0">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1.5.6使用备用电池时回路仍可部分加热解决回路积水问题</w:t>
      </w:r>
    </w:p>
    <w:p w14:paraId="48B75194">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1.5.7智能回路系统，能识别和显示：正在使用回路类型、正在使用呼吸模式以及二氧化碳吸收罐状态</w:t>
      </w:r>
    </w:p>
    <w:p w14:paraId="68F58850">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1.5.8上升式风箱，可以直接观察病人实际呼吸状态，保证安全</w:t>
      </w:r>
    </w:p>
    <w:p w14:paraId="7023DF6B">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1.5.9手动皮襄支架可不同角度及高度的调整，且不参与手动通气，不存在回路漏气风险，避免通气管道难以消毒彻底，减少交叉感染风险。（投标文件中需提供机器实际图片或彩页证明相应功能）</w:t>
      </w:r>
    </w:p>
    <w:p w14:paraId="19810CD8">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1.6</w:t>
      </w:r>
      <w:r>
        <w:rPr>
          <w:rFonts w:hint="eastAsia" w:ascii="宋体" w:hAnsi="宋体" w:eastAsia="宋体" w:cs="宋体"/>
          <w:szCs w:val="21"/>
        </w:rPr>
        <w:tab/>
      </w:r>
      <w:r>
        <w:rPr>
          <w:rFonts w:hint="eastAsia" w:ascii="宋体" w:hAnsi="宋体" w:eastAsia="宋体" w:cs="宋体"/>
          <w:szCs w:val="21"/>
        </w:rPr>
        <w:t>呼吸机</w:t>
      </w:r>
    </w:p>
    <w:p w14:paraId="5C121802">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▲1.6.1气动电控呼吸机，支持中英文界面</w:t>
      </w:r>
    </w:p>
    <w:p w14:paraId="0EE86880">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1.6.2应用范围：新生儿、儿童及成人等所有病人通气，提供注册证证明</w:t>
      </w:r>
    </w:p>
    <w:p w14:paraId="60236C24">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▲1.6.3 彩色触摸显示屏≥15英寸，可平面旋转</w:t>
      </w:r>
      <w:bookmarkStart w:id="0" w:name="OLE_LINK1"/>
      <w:bookmarkStart w:id="1" w:name="OLE_LINK2"/>
      <w:r>
        <w:rPr>
          <w:rFonts w:hint="eastAsia" w:ascii="宋体" w:hAnsi="宋体" w:eastAsia="宋体" w:cs="宋体"/>
          <w:szCs w:val="21"/>
        </w:rPr>
        <w:t>≥</w:t>
      </w:r>
      <w:bookmarkEnd w:id="0"/>
      <w:bookmarkEnd w:id="1"/>
      <w:r>
        <w:rPr>
          <w:rFonts w:hint="eastAsia" w:ascii="宋体" w:hAnsi="宋体" w:eastAsia="宋体" w:cs="宋体"/>
          <w:szCs w:val="21"/>
        </w:rPr>
        <w:t>120度及可调节倾斜度（非第三方外置屏幕），屏幕位于主机正面左侧，可在同一屏幕上显示气道压力，气源信息，电池信息，且具备双分屏显示功能。当触屏失灵，手动可调。</w:t>
      </w:r>
    </w:p>
    <w:p w14:paraId="33519186">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1.6.4用户可选择的全自检或部分自检功能，既能保证安全的使用，又能保证紧急抢救时的快速启动，可无限次跳过自检。</w:t>
      </w:r>
    </w:p>
    <w:p w14:paraId="6573EF1D">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▲1.6.5开机自检流程中包含挥发罐自检单独功能，图文并茂，自动识别罐位，避免长期使用橡胶圈老化带来的麻药泄露风险，</w:t>
      </w:r>
      <w:r>
        <w:rPr>
          <w:rFonts w:hint="eastAsia"/>
        </w:rPr>
        <w:t>（投标文件中</w:t>
      </w:r>
      <w:r>
        <w:rPr>
          <w:rFonts w:hint="eastAsia" w:ascii="宋体" w:hAnsi="宋体" w:eastAsia="宋体" w:cs="宋体"/>
          <w:szCs w:val="21"/>
        </w:rPr>
        <w:t>提供麻醉机自检流程中的挥发罐自检截图作为证明材料</w:t>
      </w:r>
      <w:r>
        <w:rPr>
          <w:rFonts w:hint="eastAsia"/>
        </w:rPr>
        <w:t>）</w:t>
      </w:r>
    </w:p>
    <w:p w14:paraId="09F9E454">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1.6.6提供辅助/控制/支持通气模式，具备: VCV、PCV、手动通气、电子PEEP。</w:t>
      </w:r>
    </w:p>
    <w:p w14:paraId="5E3D60F7">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1.6.7可升级SIMV PCV、SIMV VCV、PSVPro、PCV-VG高级通气模式</w:t>
      </w:r>
    </w:p>
    <w:p w14:paraId="3A8CF79A">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1.6.8支持通气模式之间切换时，切换后的RR、I:E、PEEP、Pmax保持与当前模式中使用的参数相同。如在容量通气模式下，潮气量不变，通过当前驱动压或者Ppeak - PEEP自动设定Pinsp。在压力通气模式下， Pinsp不变，可通过Vtinsp自动设定TV。</w:t>
      </w:r>
    </w:p>
    <w:p w14:paraId="13784045">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1.6.9潮气量范围:5-1500ml（VCV模式下：20ml-1500ml，PCV模式下5ml-1500ml）</w:t>
      </w:r>
    </w:p>
    <w:p w14:paraId="4871836D">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1.6.10呼吸频率：4-100次/分钟</w:t>
      </w:r>
    </w:p>
    <w:p w14:paraId="7D5171C6">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1.6.11吸呼比：2:1到1:8</w:t>
      </w:r>
    </w:p>
    <w:p w14:paraId="4BC7E4C4">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1.6.12最大吸气流速：120l/min+新鲜气体流量</w:t>
      </w:r>
    </w:p>
    <w:p w14:paraId="5D1EDE2C">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1.6.13压力范围（压力模式）：5到60cmH</w:t>
      </w:r>
      <w:r>
        <w:rPr>
          <w:rFonts w:hint="eastAsia" w:ascii="宋体" w:hAnsi="宋体" w:eastAsia="宋体" w:cs="宋体"/>
          <w:szCs w:val="21"/>
          <w:vertAlign w:val="subscript"/>
        </w:rPr>
        <w:t>2</w:t>
      </w:r>
      <w:r>
        <w:rPr>
          <w:rFonts w:hint="eastAsia" w:ascii="宋体" w:hAnsi="宋体" w:eastAsia="宋体" w:cs="宋体"/>
          <w:szCs w:val="21"/>
        </w:rPr>
        <w:t>O</w:t>
      </w:r>
    </w:p>
    <w:p w14:paraId="38BB9B17">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1.6.14压力限制范围：12到100cmH</w:t>
      </w:r>
      <w:r>
        <w:rPr>
          <w:rFonts w:hint="eastAsia" w:ascii="宋体" w:hAnsi="宋体" w:eastAsia="宋体" w:cs="宋体"/>
          <w:szCs w:val="21"/>
          <w:vertAlign w:val="subscript"/>
        </w:rPr>
        <w:t>2</w:t>
      </w:r>
      <w:r>
        <w:rPr>
          <w:rFonts w:hint="eastAsia" w:ascii="宋体" w:hAnsi="宋体" w:eastAsia="宋体" w:cs="宋体"/>
          <w:szCs w:val="21"/>
        </w:rPr>
        <w:t>O</w:t>
      </w:r>
    </w:p>
    <w:p w14:paraId="2FD9FF55">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1.6.15</w:t>
      </w:r>
      <w:r>
        <w:rPr>
          <w:rFonts w:hint="eastAsia"/>
        </w:rPr>
        <w:t>可升级</w:t>
      </w:r>
      <w:r>
        <w:rPr>
          <w:rFonts w:hint="eastAsia" w:ascii="宋体" w:hAnsi="宋体" w:eastAsia="宋体" w:cs="宋体"/>
          <w:szCs w:val="21"/>
        </w:rPr>
        <w:t>SIMV模式：流速触发，触发范围: 0.2–10 L/min；触发窗范围: 关，5%–80% 呼气时间；机械通气呼吸频率为:2-60次/分钟、吸气时间：0.2-5.0秒；压力支持：2-40cmH</w:t>
      </w:r>
      <w:r>
        <w:rPr>
          <w:rFonts w:hint="eastAsia" w:ascii="宋体" w:hAnsi="宋体" w:eastAsia="宋体" w:cs="宋体"/>
          <w:szCs w:val="21"/>
          <w:vertAlign w:val="subscript"/>
        </w:rPr>
        <w:t>2</w:t>
      </w:r>
      <w:r>
        <w:rPr>
          <w:rFonts w:hint="eastAsia" w:ascii="宋体" w:hAnsi="宋体" w:eastAsia="宋体" w:cs="宋体"/>
          <w:szCs w:val="21"/>
        </w:rPr>
        <w:t>O</w:t>
      </w:r>
    </w:p>
    <w:p w14:paraId="75F3B09F">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1.6.16</w:t>
      </w:r>
      <w:r>
        <w:rPr>
          <w:rFonts w:hint="eastAsia"/>
        </w:rPr>
        <w:t>可升级</w:t>
      </w:r>
      <w:r>
        <w:rPr>
          <w:rFonts w:hint="eastAsia" w:ascii="宋体" w:hAnsi="宋体" w:eastAsia="宋体" w:cs="宋体"/>
          <w:szCs w:val="21"/>
        </w:rPr>
        <w:t>具备窒息保护的带窒息保护的正压通气模式：流速触发；终末吸气流速调节吸、呼转换：吸气暂停:关，5%-60%时间；吸气终止水平：5%-75%；压力范围：0，2-40cmH</w:t>
      </w:r>
      <w:r>
        <w:rPr>
          <w:rFonts w:hint="eastAsia" w:ascii="宋体" w:hAnsi="宋体" w:eastAsia="宋体" w:cs="宋体"/>
          <w:szCs w:val="21"/>
          <w:vertAlign w:val="subscript"/>
        </w:rPr>
        <w:t>2</w:t>
      </w:r>
      <w:r>
        <w:rPr>
          <w:rFonts w:hint="eastAsia" w:ascii="宋体" w:hAnsi="宋体" w:eastAsia="宋体" w:cs="宋体"/>
          <w:szCs w:val="21"/>
        </w:rPr>
        <w:t>O；窒息发生后10—30秒范围内可调启动SIMV-PCV安全模式；当患者触发的呼吸次数的达到“退出后备”中设置的参数后，呼吸机将自动恢复带窒息保护的正压通气模式。</w:t>
      </w:r>
    </w:p>
    <w:p w14:paraId="52B9E3B8">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▲1.6.17触发退出后备通气模式的自主呼吸次数设置范围：关，1-5次，（投标文件中提供设置界面截图作为证明材料。）</w:t>
      </w:r>
    </w:p>
    <w:p w14:paraId="6A969751">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1.6.18 PEEP范围：关，4到30cmH</w:t>
      </w:r>
      <w:r>
        <w:rPr>
          <w:rFonts w:hint="eastAsia" w:ascii="宋体" w:hAnsi="宋体" w:eastAsia="宋体" w:cs="宋体"/>
          <w:szCs w:val="21"/>
          <w:vertAlign w:val="subscript"/>
        </w:rPr>
        <w:t>2</w:t>
      </w:r>
      <w:r>
        <w:rPr>
          <w:rFonts w:hint="eastAsia" w:ascii="宋体" w:hAnsi="宋体" w:eastAsia="宋体" w:cs="宋体"/>
          <w:szCs w:val="21"/>
        </w:rPr>
        <w:t>O</w:t>
      </w:r>
    </w:p>
    <w:p w14:paraId="448F0675">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▲1.6.19具有肺保护性通气工具：支持驱动压测量；具备预测体重计算器。</w:t>
      </w:r>
    </w:p>
    <w:p w14:paraId="3B35DBCC">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1.6.20具备预测体重计算器，基于患者身高的预测体重（PBW）计算，便于初始通气设置，以节省病例启动时间，即基于PWB计算值完成自动TV调节。也可选择不依赖于患者身高独立设定PBW。在对VCV、PCV VG、SIMV VC（VC容量通气模式）下，可根据PBW进行自动调节呼吸频率（RR）。</w:t>
      </w:r>
    </w:p>
    <w:p w14:paraId="70B2B1CF">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1.6.21具备吸入端，呼出端双流量传感器；具备流量静态以及动态实时自动补偿功能，补偿新鲜气体变化、气体压缩、回路顺应性变化以及小的回路泄漏造成的吸入潮气量和设置潮气量的误差；</w:t>
      </w:r>
    </w:p>
    <w:p w14:paraId="30476388">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1.6.22智能化呼吸机，有防止错误设置功能，保证麻醉安全</w:t>
      </w:r>
    </w:p>
    <w:p w14:paraId="4C603E3A">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1.6.23具备30分钟迷你趋势追踪，可以动态显示压力、分钟通气量、CO2等参数30min内的变化，可与术中麻醉机其他参数同屏显示。（投标文件中需提供机器实际图片或彩页证明相应功能）</w:t>
      </w:r>
    </w:p>
    <w:p w14:paraId="460A0CBC">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1.6.24具备被动排污系统，可升级内置（非接口）主动排污。（投标文件中需提供机器实际图片或彩页证明相应功能）</w:t>
      </w:r>
    </w:p>
    <w:p w14:paraId="1962CD1E">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▲1.6.25采用垂直放置活瓣设计，垂直放置活瓣没有自身重力影响，从根本上杜绝活瓣长时间使用无法正常开启的隐患，保障患者生命安全。（投标文件中需提供机器实际图片或彩页证明相应功能）</w:t>
      </w:r>
    </w:p>
    <w:p w14:paraId="5F3ABD89">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1.7</w:t>
      </w:r>
      <w:r>
        <w:rPr>
          <w:rFonts w:hint="eastAsia" w:ascii="宋体" w:hAnsi="宋体" w:eastAsia="宋体" w:cs="宋体"/>
          <w:szCs w:val="21"/>
        </w:rPr>
        <w:tab/>
      </w:r>
      <w:r>
        <w:rPr>
          <w:rFonts w:hint="eastAsia" w:ascii="宋体" w:hAnsi="宋体" w:eastAsia="宋体" w:cs="宋体"/>
          <w:szCs w:val="21"/>
        </w:rPr>
        <w:t>数字和波形监测</w:t>
      </w:r>
    </w:p>
    <w:p w14:paraId="679A9B71">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▲1.7.1监测参数：吸入氧、空气流量、可选笑气、潮气量、分钟通气量、气道压（峰压、平台压、平均压、PEEP，驱动压）；实时压力时间、流速时间呼吸波形描记并同屏显示。</w:t>
      </w:r>
    </w:p>
    <w:p w14:paraId="72FC07FD">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▲1.7.2可升级的回路呼吸环监测功能，可监测描记：压力容量环、流量容量环和压力流量环，并可与波形同屏显示；回路顺应性；气体流速。</w:t>
      </w:r>
    </w:p>
    <w:p w14:paraId="0493C857">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1.7.3可冻结六个呼吸环（不包括基础环），用于不同手术期间肺顺应性监测对比。（投标文件中需提供机器实际图片或彩页证明相应功能）</w:t>
      </w:r>
    </w:p>
    <w:p w14:paraId="4B330A17">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1.7.4报警参数：氧浓度、低驱动压、气道压、潮气量、分钟通气量、窒息</w:t>
      </w:r>
    </w:p>
    <w:p w14:paraId="1B3CF272">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1.7.5具备单宽度气体模块采用旁路式气体监测：O</w:t>
      </w:r>
      <w:r>
        <w:rPr>
          <w:rFonts w:hint="eastAsia" w:ascii="宋体" w:hAnsi="宋体" w:eastAsia="宋体" w:cs="宋体"/>
          <w:szCs w:val="21"/>
          <w:vertAlign w:val="subscript"/>
        </w:rPr>
        <w:t>2</w:t>
      </w:r>
      <w:r>
        <w:rPr>
          <w:rFonts w:hint="eastAsia" w:ascii="宋体" w:hAnsi="宋体" w:eastAsia="宋体" w:cs="宋体"/>
          <w:szCs w:val="21"/>
        </w:rPr>
        <w:t>、N</w:t>
      </w:r>
      <w:r>
        <w:rPr>
          <w:rFonts w:hint="eastAsia" w:ascii="宋体" w:hAnsi="宋体" w:eastAsia="宋体" w:cs="宋体"/>
          <w:szCs w:val="21"/>
          <w:vertAlign w:val="subscript"/>
        </w:rPr>
        <w:t>2</w:t>
      </w:r>
      <w:r>
        <w:rPr>
          <w:rFonts w:hint="eastAsia" w:ascii="宋体" w:hAnsi="宋体" w:eastAsia="宋体" w:cs="宋体"/>
          <w:szCs w:val="21"/>
        </w:rPr>
        <w:t>O、CO</w:t>
      </w:r>
      <w:r>
        <w:rPr>
          <w:rFonts w:hint="eastAsia" w:ascii="宋体" w:hAnsi="宋体" w:eastAsia="宋体" w:cs="宋体"/>
          <w:szCs w:val="21"/>
          <w:vertAlign w:val="subscript"/>
        </w:rPr>
        <w:t>2</w:t>
      </w:r>
      <w:r>
        <w:rPr>
          <w:rFonts w:hint="eastAsia" w:ascii="宋体" w:hAnsi="宋体" w:eastAsia="宋体" w:cs="宋体"/>
          <w:szCs w:val="21"/>
        </w:rPr>
        <w:t>及五种麻醉气体吸入和呼出浓度，有病人顺应性监测；MAC值计算及年龄校正；体积为一个槽位。（投标文件中需提供机器实际图片或彩页证明相应功能）</w:t>
      </w:r>
    </w:p>
    <w:p w14:paraId="6AE51410">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▲1.7.6可升级气体模块可以升级支持近端流量监测（潮气量，气道压力，阻力）并提供原厂近端流量传感器，适用于新生儿等潮气量监测精度较高的麻醉通气。</w:t>
      </w:r>
    </w:p>
    <w:p w14:paraId="58EC959A">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▲1.7.7潮气量监测可提供两种监测数据来源（患者端和机器端），（投标文件中需提供机器实际图片或彩页证明相应功能）。</w:t>
      </w:r>
    </w:p>
    <w:p w14:paraId="2D27127B">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1.7.8智能报警限设置功能，可以根据手术参数运行情况智能给出报警限值参考，智能节约操作，提高效率。</w:t>
      </w:r>
    </w:p>
    <w:p w14:paraId="30237F3C">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1.7.9可升级具备吸入麻醉剂用量实时显示和统计功能，可以在手术开始、手术过程中或手术结束后随时显示吸入麻醉剂使用量。</w:t>
      </w:r>
    </w:p>
    <w:p w14:paraId="07F180E2">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1.7.10具备新鲜气体用量实时显示和统计功能，可以在手术开始、手术过程中或手术结束后随时显示新鲜气体使用量</w:t>
      </w:r>
    </w:p>
    <w:p w14:paraId="4016FBE0">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1.7.11</w:t>
      </w:r>
      <w:r>
        <w:rPr>
          <w:rFonts w:hint="eastAsia"/>
        </w:rPr>
        <w:t>可升级</w:t>
      </w:r>
      <w:r>
        <w:rPr>
          <w:rFonts w:hint="eastAsia" w:ascii="宋体" w:hAnsi="宋体" w:eastAsia="宋体" w:cs="宋体"/>
          <w:szCs w:val="21"/>
        </w:rPr>
        <w:t>可与同品牌监护仪实现数据直连，监护可实时同步显示麻醉机上的肺功能（肺量计测定、气体、警报状态和通气设置数据的数字化趋势和警报历史）相关信息，可全面了解患者的状态，能够在时间紧迫时提供快速决策支持。并支持监护及麻醉机信息同步导出到手麻系统。</w:t>
      </w:r>
    </w:p>
    <w:p w14:paraId="7F16C65C">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1.8</w:t>
      </w:r>
      <w:r>
        <w:rPr>
          <w:rFonts w:hint="eastAsia" w:ascii="宋体" w:hAnsi="宋体" w:eastAsia="宋体" w:cs="宋体"/>
          <w:szCs w:val="21"/>
        </w:rPr>
        <w:tab/>
      </w:r>
      <w:r>
        <w:rPr>
          <w:rFonts w:hint="eastAsia" w:ascii="宋体" w:hAnsi="宋体" w:eastAsia="宋体" w:cs="宋体"/>
          <w:szCs w:val="21"/>
        </w:rPr>
        <w:t>传感器</w:t>
      </w:r>
    </w:p>
    <w:p w14:paraId="4CFE22FE">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1.8.1金属膜片抗变型可变孔口压差式流量传感器，金属膜片更能耐受高频次流量监测，流量传感器具备自加热功能（非回路整体加热），避免水汽凝结影响流量传感器监测精准。（投标文件中需提供机器实际图片或彩页证明相应功能）</w:t>
      </w:r>
    </w:p>
    <w:p w14:paraId="05C264F3">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1.8.2吸入和呼出端双高精度流量传感器，并且可互换位置，保证流量自动实时补偿，流量补偿范围：200ml/min-15l/min；保证SIMV、PSV功能的实施</w:t>
      </w:r>
    </w:p>
    <w:p w14:paraId="07E3EC88">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1.8.3</w:t>
      </w:r>
      <w:r>
        <w:rPr>
          <w:rFonts w:hint="eastAsia"/>
        </w:rPr>
        <w:t>可升级</w:t>
      </w:r>
      <w:r>
        <w:rPr>
          <w:rFonts w:hint="eastAsia" w:ascii="宋体" w:hAnsi="宋体" w:eastAsia="宋体" w:cs="宋体"/>
          <w:szCs w:val="21"/>
        </w:rPr>
        <w:t>两种规格（成人和小儿）的近端流量传感器，位于患者口鼻端，可以更为精准监测患者口鼻端吸入和呼出的潮气量，特别适用于新生儿或早产儿等潮气量监测精度较高的麻醉通气。</w:t>
      </w:r>
    </w:p>
    <w:p w14:paraId="70009E70">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1.8.4金属膜片抗变型可变孔口压差式流量传感器为非耗材设计，可重复性使用</w:t>
      </w:r>
    </w:p>
    <w:p w14:paraId="1BA9C46E">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1.8.5金属膜片抗变型可变孔口压差式流量传感器可以134℃高温高压消毒，避免交叉感染。具有134℃标识，（投标文件中需提供机器实际图片或彩页证明相应功能）</w:t>
      </w:r>
    </w:p>
    <w:p w14:paraId="45CB1436">
      <w:pPr>
        <w:pStyle w:val="9"/>
        <w:spacing w:after="0" w:line="240" w:lineRule="auto"/>
        <w:ind w:firstLine="0"/>
        <w:rPr>
          <w:rFonts w:hint="eastAsia" w:ascii="宋体" w:hAnsi="宋体" w:eastAsia="宋体" w:cs="宋体"/>
          <w:b/>
          <w:bCs/>
          <w:szCs w:val="21"/>
        </w:rPr>
      </w:pPr>
      <w:r>
        <w:rPr>
          <w:rFonts w:hint="eastAsia" w:ascii="宋体" w:hAnsi="宋体" w:eastAsia="宋体" w:cs="宋体"/>
          <w:b/>
          <w:bCs/>
          <w:szCs w:val="21"/>
        </w:rPr>
        <w:t>2、备件，资料及技术服务</w:t>
      </w:r>
    </w:p>
    <w:p w14:paraId="3FC5EBE6">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2.1</w:t>
      </w:r>
      <w:r>
        <w:rPr>
          <w:rFonts w:hint="eastAsia" w:ascii="宋体" w:hAnsi="宋体" w:eastAsia="宋体" w:cs="宋体"/>
          <w:szCs w:val="21"/>
        </w:rPr>
        <w:tab/>
      </w:r>
      <w:r>
        <w:rPr>
          <w:rFonts w:hint="eastAsia" w:ascii="宋体" w:hAnsi="宋体" w:eastAsia="宋体" w:cs="宋体"/>
          <w:szCs w:val="21"/>
        </w:rPr>
        <w:t>为保证设备正常运行，厂家应在中国境内方便的地点设置备件库，存入所有必须的备件（投标人需提供承诺函，格式自拟）</w:t>
      </w:r>
    </w:p>
    <w:p w14:paraId="3FE9C9BB">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2.3</w:t>
      </w:r>
      <w:r>
        <w:rPr>
          <w:rFonts w:hint="eastAsia" w:ascii="宋体" w:hAnsi="宋体" w:eastAsia="宋体" w:cs="宋体"/>
          <w:szCs w:val="21"/>
        </w:rPr>
        <w:tab/>
      </w:r>
      <w:r>
        <w:rPr>
          <w:rFonts w:hint="eastAsia" w:ascii="宋体" w:hAnsi="宋体" w:eastAsia="宋体" w:cs="宋体"/>
          <w:szCs w:val="21"/>
        </w:rPr>
        <w:t>厂家须向用户提供设备的运行、安装、使用环境要求</w:t>
      </w:r>
    </w:p>
    <w:p w14:paraId="56629F09">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2.4</w:t>
      </w:r>
      <w:r>
        <w:rPr>
          <w:rFonts w:hint="eastAsia" w:ascii="宋体" w:hAnsi="宋体" w:eastAsia="宋体" w:cs="宋体"/>
          <w:szCs w:val="21"/>
        </w:rPr>
        <w:tab/>
      </w:r>
      <w:r>
        <w:rPr>
          <w:rFonts w:hint="eastAsia" w:ascii="宋体" w:hAnsi="宋体" w:eastAsia="宋体" w:cs="宋体"/>
          <w:szCs w:val="21"/>
        </w:rPr>
        <w:t>在货物到达使用单位后，厂家应在7天内派工程技术人员到达现场，在用户技术人员在场的情况下开箱清点货物，组织安装调试，并承担因此发生的一切费用。</w:t>
      </w:r>
    </w:p>
    <w:p w14:paraId="7BF7E977">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2.5</w:t>
      </w:r>
      <w:r>
        <w:rPr>
          <w:rFonts w:hint="eastAsia" w:ascii="宋体" w:hAnsi="宋体" w:eastAsia="宋体" w:cs="宋体"/>
          <w:szCs w:val="21"/>
        </w:rPr>
        <w:tab/>
      </w:r>
      <w:r>
        <w:rPr>
          <w:rFonts w:hint="eastAsia" w:ascii="宋体" w:hAnsi="宋体" w:eastAsia="宋体" w:cs="宋体"/>
          <w:szCs w:val="21"/>
        </w:rPr>
        <w:t>设备安装后，医院按国际和国家标准及厂家标准进行质量验收。</w:t>
      </w:r>
    </w:p>
    <w:p w14:paraId="13CE7766">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2.6</w:t>
      </w:r>
      <w:r>
        <w:rPr>
          <w:rFonts w:hint="eastAsia" w:ascii="宋体" w:hAnsi="宋体" w:eastAsia="宋体" w:cs="宋体"/>
          <w:szCs w:val="21"/>
        </w:rPr>
        <w:tab/>
      </w:r>
      <w:r>
        <w:rPr>
          <w:rFonts w:hint="eastAsia" w:ascii="宋体" w:hAnsi="宋体" w:eastAsia="宋体" w:cs="宋体"/>
          <w:szCs w:val="21"/>
        </w:rPr>
        <w:t>在中国境内有相应的零配件库和维修机构。</w:t>
      </w:r>
    </w:p>
    <w:p w14:paraId="108D3AB7">
      <w:pPr>
        <w:pStyle w:val="9"/>
        <w:spacing w:after="0" w:line="240" w:lineRule="auto"/>
        <w:ind w:firstLine="0"/>
        <w:rPr>
          <w:rFonts w:hint="eastAsia" w:ascii="宋体" w:hAnsi="宋体" w:eastAsia="宋体" w:cs="宋体"/>
          <w:b/>
          <w:bCs/>
          <w:szCs w:val="21"/>
        </w:rPr>
      </w:pPr>
      <w:r>
        <w:rPr>
          <w:rFonts w:hint="eastAsia" w:ascii="宋体" w:hAnsi="宋体" w:eastAsia="宋体" w:cs="宋体"/>
          <w:b/>
          <w:bCs/>
          <w:szCs w:val="21"/>
        </w:rPr>
        <w:t>3、技术培训要求</w:t>
      </w:r>
    </w:p>
    <w:p w14:paraId="7077C057">
      <w:pPr>
        <w:pStyle w:val="9"/>
        <w:spacing w:after="0" w:line="240" w:lineRule="auto"/>
        <w:ind w:firstLine="0"/>
        <w:rPr>
          <w:rFonts w:hint="eastAsia" w:ascii="宋体" w:hAnsi="宋体" w:eastAsia="宋体" w:cs="宋体"/>
          <w:szCs w:val="21"/>
        </w:rPr>
      </w:pPr>
      <w:r>
        <w:rPr>
          <w:rFonts w:hint="eastAsia" w:ascii="宋体" w:hAnsi="宋体" w:eastAsia="宋体" w:cs="宋体"/>
          <w:szCs w:val="21"/>
        </w:rPr>
        <w:t>3.1</w:t>
      </w:r>
      <w:r>
        <w:rPr>
          <w:rFonts w:hint="eastAsia" w:ascii="宋体" w:hAnsi="宋体" w:eastAsia="宋体" w:cs="宋体"/>
          <w:szCs w:val="21"/>
        </w:rPr>
        <w:tab/>
      </w:r>
      <w:r>
        <w:rPr>
          <w:rFonts w:hint="eastAsia" w:ascii="宋体" w:hAnsi="宋体" w:eastAsia="宋体" w:cs="宋体"/>
          <w:szCs w:val="21"/>
        </w:rPr>
        <w:t>网络培训：具有专用的网址或公众号，在线提供高级临床应用直播及产品操作指导。</w:t>
      </w:r>
    </w:p>
    <w:p w14:paraId="6CCD813D">
      <w:pPr>
        <w:widowControl/>
        <w:tabs>
          <w:tab w:val="left" w:pos="420"/>
        </w:tabs>
        <w:spacing w:after="0" w:line="240" w:lineRule="auto"/>
        <w:rPr>
          <w:rStyle w:val="25"/>
          <w:rFonts w:hint="eastAsia" w:ascii="宋体" w:hAnsi="宋体" w:eastAsia="宋体" w:cs="宋体"/>
          <w:b w:val="0"/>
          <w:bCs/>
          <w:szCs w:val="21"/>
          <w:shd w:val="clear" w:color="auto" w:fill="FDFDFE"/>
        </w:rPr>
      </w:pPr>
      <w:r>
        <w:rPr>
          <w:rStyle w:val="25"/>
          <w:rFonts w:hint="eastAsia" w:ascii="宋体" w:hAnsi="宋体" w:eastAsia="宋体" w:cs="宋体"/>
          <w:szCs w:val="21"/>
          <w:shd w:val="clear" w:color="auto" w:fill="FDFDFE"/>
        </w:rPr>
        <w:t>（四）单台配置清单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827"/>
        <w:gridCol w:w="992"/>
        <w:gridCol w:w="993"/>
      </w:tblGrid>
      <w:tr w14:paraId="0356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46" w:type="dxa"/>
            <w:vAlign w:val="center"/>
          </w:tcPr>
          <w:p w14:paraId="64EEEF2D">
            <w:pPr>
              <w:pStyle w:val="9"/>
              <w:spacing w:after="0" w:line="240" w:lineRule="auto"/>
              <w:ind w:firstLine="0"/>
              <w:jc w:val="center"/>
              <w:rPr>
                <w:rFonts w:hint="eastAsia" w:ascii="宋体" w:hAnsi="宋体" w:eastAsia="宋体" w:cs="宋体"/>
                <w:b/>
                <w:bCs/>
                <w:szCs w:val="21"/>
              </w:rPr>
            </w:pPr>
            <w:r>
              <w:rPr>
                <w:rFonts w:hint="eastAsia" w:ascii="宋体" w:hAnsi="宋体" w:eastAsia="宋体" w:cs="宋体"/>
                <w:b/>
                <w:bCs/>
                <w:szCs w:val="21"/>
              </w:rPr>
              <w:t>序号</w:t>
            </w:r>
          </w:p>
        </w:tc>
        <w:tc>
          <w:tcPr>
            <w:tcW w:w="3827" w:type="dxa"/>
            <w:vAlign w:val="center"/>
          </w:tcPr>
          <w:p w14:paraId="72E6263D">
            <w:pPr>
              <w:pStyle w:val="9"/>
              <w:spacing w:after="0" w:line="240" w:lineRule="auto"/>
              <w:ind w:firstLine="0"/>
              <w:jc w:val="center"/>
              <w:rPr>
                <w:rFonts w:hint="eastAsia" w:ascii="宋体" w:hAnsi="宋体" w:eastAsia="宋体" w:cs="宋体"/>
                <w:b/>
                <w:bCs/>
                <w:szCs w:val="21"/>
              </w:rPr>
            </w:pPr>
            <w:r>
              <w:rPr>
                <w:rFonts w:hint="eastAsia" w:ascii="宋体" w:hAnsi="宋体" w:eastAsia="宋体" w:cs="宋体"/>
                <w:b/>
                <w:bCs/>
                <w:szCs w:val="21"/>
              </w:rPr>
              <w:t>配置名称</w:t>
            </w:r>
          </w:p>
        </w:tc>
        <w:tc>
          <w:tcPr>
            <w:tcW w:w="992" w:type="dxa"/>
            <w:vAlign w:val="center"/>
          </w:tcPr>
          <w:p w14:paraId="0BE4144A">
            <w:pPr>
              <w:pStyle w:val="9"/>
              <w:spacing w:after="0" w:line="240" w:lineRule="auto"/>
              <w:ind w:firstLine="0"/>
              <w:jc w:val="center"/>
              <w:rPr>
                <w:rFonts w:hint="eastAsia" w:ascii="宋体" w:hAnsi="宋体" w:eastAsia="宋体" w:cs="宋体"/>
                <w:b/>
                <w:bCs/>
                <w:szCs w:val="21"/>
              </w:rPr>
            </w:pPr>
            <w:r>
              <w:rPr>
                <w:rFonts w:hint="eastAsia" w:ascii="宋体" w:hAnsi="宋体" w:eastAsia="宋体" w:cs="宋体"/>
                <w:b/>
                <w:bCs/>
                <w:szCs w:val="21"/>
              </w:rPr>
              <w:t>数量</w:t>
            </w:r>
          </w:p>
        </w:tc>
        <w:tc>
          <w:tcPr>
            <w:tcW w:w="993" w:type="dxa"/>
            <w:vAlign w:val="center"/>
          </w:tcPr>
          <w:p w14:paraId="13C115AA">
            <w:pPr>
              <w:pStyle w:val="9"/>
              <w:spacing w:after="0" w:line="240" w:lineRule="auto"/>
              <w:ind w:firstLine="0"/>
              <w:jc w:val="center"/>
              <w:rPr>
                <w:rFonts w:hint="eastAsia" w:ascii="宋体" w:hAnsi="宋体" w:eastAsia="宋体" w:cs="宋体"/>
                <w:b/>
                <w:bCs/>
                <w:szCs w:val="21"/>
              </w:rPr>
            </w:pPr>
            <w:r>
              <w:rPr>
                <w:rFonts w:hint="eastAsia" w:ascii="宋体" w:hAnsi="宋体" w:eastAsia="宋体" w:cs="宋体"/>
                <w:b/>
                <w:bCs/>
                <w:szCs w:val="21"/>
              </w:rPr>
              <w:t>单位</w:t>
            </w:r>
          </w:p>
        </w:tc>
      </w:tr>
      <w:tr w14:paraId="315B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46" w:type="dxa"/>
            <w:vAlign w:val="center"/>
          </w:tcPr>
          <w:p w14:paraId="6CD6C32B">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szCs w:val="21"/>
              </w:rPr>
              <w:t>1</w:t>
            </w:r>
          </w:p>
        </w:tc>
        <w:tc>
          <w:tcPr>
            <w:tcW w:w="3827" w:type="dxa"/>
            <w:vAlign w:val="center"/>
          </w:tcPr>
          <w:p w14:paraId="7BEE8142">
            <w:pPr>
              <w:spacing w:after="0" w:line="240" w:lineRule="auto"/>
              <w:jc w:val="both"/>
              <w:rPr>
                <w:rFonts w:hint="eastAsia" w:ascii="宋体" w:hAnsi="宋体" w:eastAsia="宋体" w:cs="宋体"/>
                <w:szCs w:val="21"/>
              </w:rPr>
            </w:pPr>
            <w:r>
              <w:rPr>
                <w:rFonts w:hint="eastAsia" w:ascii="宋体" w:hAnsi="宋体" w:eastAsia="宋体" w:cs="宋体"/>
                <w:szCs w:val="21"/>
              </w:rPr>
              <w:t>麻醉机主机</w:t>
            </w:r>
          </w:p>
        </w:tc>
        <w:tc>
          <w:tcPr>
            <w:tcW w:w="992" w:type="dxa"/>
            <w:vAlign w:val="center"/>
          </w:tcPr>
          <w:p w14:paraId="0CE683A9">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1</w:t>
            </w:r>
          </w:p>
        </w:tc>
        <w:tc>
          <w:tcPr>
            <w:tcW w:w="993" w:type="dxa"/>
            <w:vAlign w:val="center"/>
          </w:tcPr>
          <w:p w14:paraId="01B54391">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台</w:t>
            </w:r>
          </w:p>
        </w:tc>
      </w:tr>
      <w:tr w14:paraId="688B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46" w:type="dxa"/>
            <w:vAlign w:val="center"/>
          </w:tcPr>
          <w:p w14:paraId="0C464B91">
            <w:pPr>
              <w:widowControl/>
              <w:spacing w:after="0" w:line="24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3827" w:type="dxa"/>
            <w:vAlign w:val="center"/>
          </w:tcPr>
          <w:p w14:paraId="7BA4DCD9">
            <w:pPr>
              <w:widowControl/>
              <w:spacing w:after="0" w:line="240" w:lineRule="auto"/>
              <w:jc w:val="left"/>
              <w:rPr>
                <w:rFonts w:hint="eastAsia" w:ascii="宋体" w:hAnsi="宋体" w:eastAsia="宋体" w:cs="宋体"/>
                <w:color w:val="000000"/>
                <w:szCs w:val="21"/>
              </w:rPr>
            </w:pPr>
            <w:r>
              <w:rPr>
                <w:rFonts w:hint="eastAsia" w:ascii="宋体" w:hAnsi="宋体" w:eastAsia="宋体" w:cs="宋体"/>
                <w:color w:val="000000"/>
                <w:szCs w:val="21"/>
              </w:rPr>
              <w:t>中文软件和用户手册</w:t>
            </w:r>
          </w:p>
        </w:tc>
        <w:tc>
          <w:tcPr>
            <w:tcW w:w="992" w:type="dxa"/>
            <w:vAlign w:val="center"/>
          </w:tcPr>
          <w:p w14:paraId="1897FB51">
            <w:pPr>
              <w:widowControl/>
              <w:spacing w:after="0" w:line="240" w:lineRule="auto"/>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993" w:type="dxa"/>
            <w:vAlign w:val="center"/>
          </w:tcPr>
          <w:p w14:paraId="0A63A5E4">
            <w:pPr>
              <w:widowControl/>
              <w:spacing w:after="0" w:line="240" w:lineRule="auto"/>
              <w:jc w:val="center"/>
              <w:rPr>
                <w:rFonts w:hint="eastAsia" w:ascii="宋体" w:hAnsi="宋体" w:eastAsia="宋体" w:cs="宋体"/>
                <w:color w:val="000000"/>
                <w:szCs w:val="21"/>
              </w:rPr>
            </w:pPr>
            <w:r>
              <w:rPr>
                <w:rFonts w:hint="eastAsia" w:ascii="宋体" w:hAnsi="宋体" w:eastAsia="宋体" w:cs="宋体"/>
                <w:color w:val="000000"/>
                <w:szCs w:val="21"/>
              </w:rPr>
              <w:t>套</w:t>
            </w:r>
          </w:p>
        </w:tc>
      </w:tr>
      <w:tr w14:paraId="5CDE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46" w:type="dxa"/>
            <w:vAlign w:val="center"/>
          </w:tcPr>
          <w:p w14:paraId="3CC99B58">
            <w:pPr>
              <w:spacing w:after="0" w:line="240" w:lineRule="auto"/>
              <w:jc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3827" w:type="dxa"/>
            <w:vAlign w:val="center"/>
          </w:tcPr>
          <w:p w14:paraId="44F17717">
            <w:pPr>
              <w:spacing w:after="0" w:line="240" w:lineRule="auto"/>
              <w:jc w:val="both"/>
              <w:rPr>
                <w:rFonts w:hint="eastAsia" w:ascii="宋体" w:hAnsi="宋体" w:eastAsia="宋体" w:cs="宋体"/>
                <w:szCs w:val="21"/>
              </w:rPr>
            </w:pPr>
            <w:r>
              <w:rPr>
                <w:rFonts w:hint="eastAsia" w:ascii="宋体" w:hAnsi="宋体" w:eastAsia="宋体" w:cs="宋体"/>
                <w:szCs w:val="21"/>
              </w:rPr>
              <w:t>备用氧接口</w:t>
            </w:r>
          </w:p>
        </w:tc>
        <w:tc>
          <w:tcPr>
            <w:tcW w:w="992" w:type="dxa"/>
            <w:vAlign w:val="center"/>
          </w:tcPr>
          <w:p w14:paraId="0144B115">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1</w:t>
            </w:r>
          </w:p>
        </w:tc>
        <w:tc>
          <w:tcPr>
            <w:tcW w:w="993" w:type="dxa"/>
            <w:vAlign w:val="center"/>
          </w:tcPr>
          <w:p w14:paraId="7D3A564B">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个</w:t>
            </w:r>
          </w:p>
        </w:tc>
      </w:tr>
      <w:tr w14:paraId="6BF7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46" w:type="dxa"/>
            <w:vAlign w:val="center"/>
          </w:tcPr>
          <w:p w14:paraId="0E05349C">
            <w:pPr>
              <w:spacing w:after="0" w:line="240" w:lineRule="auto"/>
              <w:jc w:val="center"/>
              <w:rPr>
                <w:rFonts w:hint="eastAsia" w:ascii="宋体" w:hAnsi="宋体" w:eastAsia="宋体" w:cs="宋体"/>
                <w:color w:val="000000"/>
                <w:szCs w:val="21"/>
              </w:rPr>
            </w:pPr>
            <w:r>
              <w:rPr>
                <w:rFonts w:hint="eastAsia" w:ascii="宋体" w:hAnsi="宋体" w:eastAsia="宋体" w:cs="宋体"/>
                <w:color w:val="000000"/>
                <w:szCs w:val="21"/>
              </w:rPr>
              <w:t>4</w:t>
            </w:r>
          </w:p>
        </w:tc>
        <w:tc>
          <w:tcPr>
            <w:tcW w:w="3827" w:type="dxa"/>
            <w:vAlign w:val="center"/>
          </w:tcPr>
          <w:p w14:paraId="240FE7C4">
            <w:pPr>
              <w:spacing w:after="0" w:line="240" w:lineRule="auto"/>
              <w:jc w:val="both"/>
              <w:rPr>
                <w:rFonts w:hint="eastAsia" w:ascii="宋体" w:hAnsi="宋体" w:eastAsia="宋体" w:cs="宋体"/>
                <w:szCs w:val="21"/>
              </w:rPr>
            </w:pPr>
            <w:r>
              <w:rPr>
                <w:rFonts w:hint="eastAsia" w:ascii="宋体" w:hAnsi="宋体" w:eastAsia="宋体" w:cs="宋体"/>
                <w:szCs w:val="21"/>
              </w:rPr>
              <w:t>中国制式电源及无电源插座</w:t>
            </w:r>
          </w:p>
        </w:tc>
        <w:tc>
          <w:tcPr>
            <w:tcW w:w="992" w:type="dxa"/>
            <w:vAlign w:val="center"/>
          </w:tcPr>
          <w:p w14:paraId="41D2E55B">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1</w:t>
            </w:r>
          </w:p>
        </w:tc>
        <w:tc>
          <w:tcPr>
            <w:tcW w:w="993" w:type="dxa"/>
            <w:vAlign w:val="center"/>
          </w:tcPr>
          <w:p w14:paraId="066B11B8">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个</w:t>
            </w:r>
          </w:p>
        </w:tc>
      </w:tr>
      <w:tr w14:paraId="082F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46" w:type="dxa"/>
            <w:vAlign w:val="center"/>
          </w:tcPr>
          <w:p w14:paraId="0422FDC3">
            <w:pPr>
              <w:spacing w:after="0" w:line="240" w:lineRule="auto"/>
              <w:jc w:val="center"/>
              <w:rPr>
                <w:rFonts w:hint="eastAsia" w:ascii="宋体" w:hAnsi="宋体" w:eastAsia="宋体" w:cs="宋体"/>
                <w:color w:val="000000"/>
                <w:szCs w:val="21"/>
              </w:rPr>
            </w:pPr>
            <w:r>
              <w:rPr>
                <w:rFonts w:hint="eastAsia" w:ascii="宋体" w:hAnsi="宋体" w:eastAsia="宋体" w:cs="宋体"/>
                <w:color w:val="000000"/>
                <w:szCs w:val="21"/>
              </w:rPr>
              <w:t>5</w:t>
            </w:r>
          </w:p>
        </w:tc>
        <w:tc>
          <w:tcPr>
            <w:tcW w:w="3827" w:type="dxa"/>
            <w:vAlign w:val="center"/>
          </w:tcPr>
          <w:p w14:paraId="6970D09A">
            <w:pPr>
              <w:spacing w:after="0" w:line="240" w:lineRule="auto"/>
              <w:jc w:val="both"/>
              <w:rPr>
                <w:rFonts w:hint="eastAsia" w:ascii="宋体" w:hAnsi="宋体" w:eastAsia="宋体" w:cs="宋体"/>
                <w:szCs w:val="21"/>
              </w:rPr>
            </w:pPr>
            <w:r>
              <w:rPr>
                <w:rFonts w:hint="eastAsia" w:ascii="宋体" w:hAnsi="宋体" w:eastAsia="宋体" w:cs="宋体"/>
                <w:szCs w:val="21"/>
              </w:rPr>
              <w:t>手动皮囊支臂</w:t>
            </w:r>
          </w:p>
        </w:tc>
        <w:tc>
          <w:tcPr>
            <w:tcW w:w="992" w:type="dxa"/>
            <w:vAlign w:val="center"/>
          </w:tcPr>
          <w:p w14:paraId="0D286DDC">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1</w:t>
            </w:r>
          </w:p>
        </w:tc>
        <w:tc>
          <w:tcPr>
            <w:tcW w:w="993" w:type="dxa"/>
            <w:vAlign w:val="center"/>
          </w:tcPr>
          <w:p w14:paraId="0E27D3B8">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个</w:t>
            </w:r>
          </w:p>
        </w:tc>
      </w:tr>
      <w:tr w14:paraId="3440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46" w:type="dxa"/>
            <w:vAlign w:val="center"/>
          </w:tcPr>
          <w:p w14:paraId="1E02DD7F">
            <w:pPr>
              <w:spacing w:after="0" w:line="240" w:lineRule="auto"/>
              <w:jc w:val="center"/>
              <w:rPr>
                <w:rFonts w:hint="eastAsia" w:ascii="宋体" w:hAnsi="宋体" w:eastAsia="宋体" w:cs="宋体"/>
                <w:color w:val="000000"/>
                <w:szCs w:val="21"/>
              </w:rPr>
            </w:pPr>
            <w:r>
              <w:rPr>
                <w:rFonts w:hint="eastAsia" w:ascii="宋体" w:hAnsi="宋体" w:eastAsia="宋体" w:cs="宋体"/>
                <w:color w:val="000000"/>
                <w:szCs w:val="21"/>
              </w:rPr>
              <w:t>6</w:t>
            </w:r>
          </w:p>
        </w:tc>
        <w:tc>
          <w:tcPr>
            <w:tcW w:w="3827" w:type="dxa"/>
            <w:vAlign w:val="center"/>
          </w:tcPr>
          <w:p w14:paraId="51666BA2">
            <w:pPr>
              <w:spacing w:after="0" w:line="240" w:lineRule="auto"/>
              <w:jc w:val="both"/>
              <w:rPr>
                <w:rFonts w:hint="eastAsia" w:ascii="宋体" w:hAnsi="宋体" w:eastAsia="宋体" w:cs="宋体"/>
                <w:szCs w:val="21"/>
              </w:rPr>
            </w:pPr>
            <w:r>
              <w:rPr>
                <w:rFonts w:hint="eastAsia" w:ascii="宋体" w:hAnsi="宋体" w:eastAsia="宋体" w:cs="宋体"/>
                <w:szCs w:val="21"/>
              </w:rPr>
              <w:t>附加吸氧组件</w:t>
            </w:r>
          </w:p>
        </w:tc>
        <w:tc>
          <w:tcPr>
            <w:tcW w:w="992" w:type="dxa"/>
            <w:vAlign w:val="center"/>
          </w:tcPr>
          <w:p w14:paraId="76BAF329">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1</w:t>
            </w:r>
          </w:p>
        </w:tc>
        <w:tc>
          <w:tcPr>
            <w:tcW w:w="993" w:type="dxa"/>
            <w:vAlign w:val="center"/>
          </w:tcPr>
          <w:p w14:paraId="3FA1E37B">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套</w:t>
            </w:r>
          </w:p>
        </w:tc>
      </w:tr>
      <w:tr w14:paraId="42EB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46" w:type="dxa"/>
            <w:vAlign w:val="center"/>
          </w:tcPr>
          <w:p w14:paraId="51DB1480">
            <w:pPr>
              <w:spacing w:after="0" w:line="240" w:lineRule="auto"/>
              <w:jc w:val="center"/>
              <w:rPr>
                <w:rFonts w:hint="eastAsia" w:ascii="宋体" w:hAnsi="宋体" w:eastAsia="宋体" w:cs="宋体"/>
                <w:color w:val="000000"/>
                <w:szCs w:val="21"/>
              </w:rPr>
            </w:pPr>
            <w:r>
              <w:rPr>
                <w:rFonts w:hint="eastAsia" w:ascii="宋体" w:hAnsi="宋体" w:eastAsia="宋体" w:cs="宋体"/>
                <w:color w:val="000000"/>
                <w:szCs w:val="21"/>
              </w:rPr>
              <w:t>7</w:t>
            </w:r>
          </w:p>
        </w:tc>
        <w:tc>
          <w:tcPr>
            <w:tcW w:w="3827" w:type="dxa"/>
            <w:vAlign w:val="center"/>
          </w:tcPr>
          <w:p w14:paraId="390B842D">
            <w:pPr>
              <w:spacing w:after="0" w:line="240" w:lineRule="auto"/>
              <w:jc w:val="both"/>
              <w:rPr>
                <w:rFonts w:hint="eastAsia" w:ascii="宋体" w:hAnsi="宋体" w:eastAsia="宋体" w:cs="宋体"/>
                <w:szCs w:val="21"/>
              </w:rPr>
            </w:pPr>
            <w:r>
              <w:rPr>
                <w:rFonts w:hint="eastAsia" w:ascii="宋体" w:hAnsi="宋体" w:eastAsia="宋体" w:cs="宋体"/>
                <w:szCs w:val="21"/>
              </w:rPr>
              <w:t>被动排污系统</w:t>
            </w:r>
          </w:p>
        </w:tc>
        <w:tc>
          <w:tcPr>
            <w:tcW w:w="992" w:type="dxa"/>
            <w:vAlign w:val="center"/>
          </w:tcPr>
          <w:p w14:paraId="3D0A85B9">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1</w:t>
            </w:r>
          </w:p>
        </w:tc>
        <w:tc>
          <w:tcPr>
            <w:tcW w:w="993" w:type="dxa"/>
            <w:vAlign w:val="center"/>
          </w:tcPr>
          <w:p w14:paraId="5E663F45">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套</w:t>
            </w:r>
          </w:p>
        </w:tc>
      </w:tr>
      <w:tr w14:paraId="5B05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46" w:type="dxa"/>
            <w:vAlign w:val="center"/>
          </w:tcPr>
          <w:p w14:paraId="69D3EC30">
            <w:pPr>
              <w:spacing w:after="0" w:line="240" w:lineRule="auto"/>
              <w:jc w:val="center"/>
              <w:rPr>
                <w:rFonts w:hint="eastAsia" w:ascii="宋体" w:hAnsi="宋体" w:eastAsia="宋体" w:cs="宋体"/>
                <w:color w:val="000000"/>
                <w:szCs w:val="21"/>
              </w:rPr>
            </w:pPr>
            <w:r>
              <w:rPr>
                <w:rFonts w:hint="eastAsia" w:ascii="宋体" w:hAnsi="宋体" w:eastAsia="宋体" w:cs="宋体"/>
                <w:color w:val="000000"/>
                <w:szCs w:val="21"/>
              </w:rPr>
              <w:t>8</w:t>
            </w:r>
          </w:p>
        </w:tc>
        <w:tc>
          <w:tcPr>
            <w:tcW w:w="3827" w:type="dxa"/>
            <w:vAlign w:val="center"/>
          </w:tcPr>
          <w:p w14:paraId="2AF0AD97">
            <w:pPr>
              <w:spacing w:after="0" w:line="240" w:lineRule="auto"/>
              <w:jc w:val="both"/>
              <w:rPr>
                <w:rFonts w:hint="eastAsia" w:ascii="宋体" w:hAnsi="宋体" w:eastAsia="宋体" w:cs="宋体"/>
                <w:szCs w:val="21"/>
              </w:rPr>
            </w:pPr>
            <w:r>
              <w:rPr>
                <w:rFonts w:hint="eastAsia" w:ascii="宋体" w:hAnsi="宋体" w:eastAsia="宋体" w:cs="宋体"/>
                <w:szCs w:val="21"/>
              </w:rPr>
              <w:t>容量控制通气模式</w:t>
            </w:r>
          </w:p>
        </w:tc>
        <w:tc>
          <w:tcPr>
            <w:tcW w:w="992" w:type="dxa"/>
            <w:vAlign w:val="center"/>
          </w:tcPr>
          <w:p w14:paraId="13612011">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1</w:t>
            </w:r>
          </w:p>
        </w:tc>
        <w:tc>
          <w:tcPr>
            <w:tcW w:w="993" w:type="dxa"/>
            <w:vAlign w:val="center"/>
          </w:tcPr>
          <w:p w14:paraId="5BA1A11C">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项</w:t>
            </w:r>
          </w:p>
        </w:tc>
      </w:tr>
      <w:tr w14:paraId="4051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46" w:type="dxa"/>
            <w:vAlign w:val="center"/>
          </w:tcPr>
          <w:p w14:paraId="583C2717">
            <w:pPr>
              <w:spacing w:after="0" w:line="240" w:lineRule="auto"/>
              <w:jc w:val="center"/>
              <w:rPr>
                <w:rFonts w:hint="eastAsia" w:ascii="宋体" w:hAnsi="宋体" w:eastAsia="宋体" w:cs="宋体"/>
                <w:color w:val="000000"/>
                <w:szCs w:val="21"/>
              </w:rPr>
            </w:pPr>
            <w:r>
              <w:rPr>
                <w:rFonts w:hint="eastAsia" w:ascii="宋体" w:hAnsi="宋体" w:eastAsia="宋体" w:cs="宋体"/>
                <w:color w:val="000000"/>
                <w:szCs w:val="21"/>
              </w:rPr>
              <w:t>9</w:t>
            </w:r>
          </w:p>
        </w:tc>
        <w:tc>
          <w:tcPr>
            <w:tcW w:w="3827" w:type="dxa"/>
            <w:vAlign w:val="center"/>
          </w:tcPr>
          <w:p w14:paraId="2DAB8C69">
            <w:pPr>
              <w:spacing w:after="0" w:line="240" w:lineRule="auto"/>
              <w:jc w:val="both"/>
              <w:rPr>
                <w:rFonts w:hint="eastAsia" w:ascii="宋体" w:hAnsi="宋体" w:eastAsia="宋体" w:cs="宋体"/>
                <w:szCs w:val="21"/>
              </w:rPr>
            </w:pPr>
            <w:r>
              <w:rPr>
                <w:rFonts w:hint="eastAsia" w:ascii="宋体" w:hAnsi="宋体" w:eastAsia="宋体" w:cs="宋体"/>
                <w:szCs w:val="21"/>
              </w:rPr>
              <w:t>压力控制通气模式</w:t>
            </w:r>
          </w:p>
        </w:tc>
        <w:tc>
          <w:tcPr>
            <w:tcW w:w="992" w:type="dxa"/>
            <w:vAlign w:val="center"/>
          </w:tcPr>
          <w:p w14:paraId="43A6AC8E">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1</w:t>
            </w:r>
          </w:p>
        </w:tc>
        <w:tc>
          <w:tcPr>
            <w:tcW w:w="993" w:type="dxa"/>
            <w:vAlign w:val="center"/>
          </w:tcPr>
          <w:p w14:paraId="02E72F19">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项</w:t>
            </w:r>
          </w:p>
        </w:tc>
      </w:tr>
      <w:tr w14:paraId="218E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46" w:type="dxa"/>
            <w:vAlign w:val="center"/>
          </w:tcPr>
          <w:p w14:paraId="7457CE68">
            <w:pPr>
              <w:spacing w:after="0" w:line="240" w:lineRule="auto"/>
              <w:jc w:val="center"/>
              <w:rPr>
                <w:rFonts w:hint="eastAsia" w:ascii="宋体" w:hAnsi="宋体" w:eastAsia="宋体" w:cs="宋体"/>
                <w:color w:val="000000"/>
                <w:szCs w:val="21"/>
              </w:rPr>
            </w:pPr>
            <w:r>
              <w:rPr>
                <w:rFonts w:hint="eastAsia" w:ascii="宋体" w:hAnsi="宋体" w:eastAsia="宋体" w:cs="宋体"/>
                <w:color w:val="000000"/>
                <w:szCs w:val="21"/>
              </w:rPr>
              <w:t>10</w:t>
            </w:r>
          </w:p>
        </w:tc>
        <w:tc>
          <w:tcPr>
            <w:tcW w:w="3827" w:type="dxa"/>
            <w:vAlign w:val="center"/>
          </w:tcPr>
          <w:p w14:paraId="24507B25">
            <w:pPr>
              <w:spacing w:after="0" w:line="240" w:lineRule="auto"/>
              <w:jc w:val="both"/>
              <w:rPr>
                <w:rFonts w:hint="eastAsia" w:ascii="宋体" w:hAnsi="宋体" w:eastAsia="宋体" w:cs="宋体"/>
                <w:szCs w:val="21"/>
              </w:rPr>
            </w:pPr>
            <w:r>
              <w:rPr>
                <w:rFonts w:hint="eastAsia" w:ascii="宋体" w:hAnsi="宋体" w:eastAsia="宋体" w:cs="宋体"/>
                <w:szCs w:val="21"/>
              </w:rPr>
              <w:t>氧电池</w:t>
            </w:r>
          </w:p>
        </w:tc>
        <w:tc>
          <w:tcPr>
            <w:tcW w:w="992" w:type="dxa"/>
            <w:vAlign w:val="center"/>
          </w:tcPr>
          <w:p w14:paraId="3D6961D5">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1</w:t>
            </w:r>
          </w:p>
        </w:tc>
        <w:tc>
          <w:tcPr>
            <w:tcW w:w="993" w:type="dxa"/>
            <w:vAlign w:val="center"/>
          </w:tcPr>
          <w:p w14:paraId="5FCA8694">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个</w:t>
            </w:r>
          </w:p>
        </w:tc>
      </w:tr>
      <w:tr w14:paraId="68AC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46" w:type="dxa"/>
            <w:vAlign w:val="center"/>
          </w:tcPr>
          <w:p w14:paraId="59FB7847">
            <w:pPr>
              <w:spacing w:after="0" w:line="240" w:lineRule="auto"/>
              <w:jc w:val="center"/>
              <w:rPr>
                <w:rFonts w:hint="eastAsia" w:ascii="宋体" w:hAnsi="宋体" w:eastAsia="宋体" w:cs="宋体"/>
                <w:color w:val="000000"/>
                <w:szCs w:val="21"/>
              </w:rPr>
            </w:pPr>
            <w:r>
              <w:rPr>
                <w:rFonts w:hint="eastAsia" w:ascii="宋体" w:hAnsi="宋体" w:eastAsia="宋体" w:cs="宋体"/>
                <w:color w:val="000000"/>
                <w:szCs w:val="21"/>
              </w:rPr>
              <w:t>11</w:t>
            </w:r>
          </w:p>
        </w:tc>
        <w:tc>
          <w:tcPr>
            <w:tcW w:w="3827" w:type="dxa"/>
            <w:vAlign w:val="center"/>
          </w:tcPr>
          <w:p w14:paraId="715142C4">
            <w:pPr>
              <w:spacing w:after="0" w:line="240" w:lineRule="auto"/>
              <w:jc w:val="both"/>
              <w:rPr>
                <w:rFonts w:hint="eastAsia" w:ascii="宋体" w:hAnsi="宋体" w:eastAsia="宋体" w:cs="宋体"/>
                <w:szCs w:val="21"/>
              </w:rPr>
            </w:pPr>
            <w:r>
              <w:rPr>
                <w:rFonts w:hint="eastAsia" w:ascii="宋体" w:hAnsi="宋体" w:eastAsia="宋体" w:cs="宋体"/>
                <w:szCs w:val="21"/>
              </w:rPr>
              <w:t>单宽度气体模块插槽</w:t>
            </w:r>
          </w:p>
        </w:tc>
        <w:tc>
          <w:tcPr>
            <w:tcW w:w="992" w:type="dxa"/>
            <w:vAlign w:val="center"/>
          </w:tcPr>
          <w:p w14:paraId="3F587307">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1</w:t>
            </w:r>
          </w:p>
        </w:tc>
        <w:tc>
          <w:tcPr>
            <w:tcW w:w="993" w:type="dxa"/>
            <w:vAlign w:val="center"/>
          </w:tcPr>
          <w:p w14:paraId="019B8A88">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个</w:t>
            </w:r>
          </w:p>
        </w:tc>
      </w:tr>
      <w:tr w14:paraId="3BEE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46" w:type="dxa"/>
            <w:vAlign w:val="center"/>
          </w:tcPr>
          <w:p w14:paraId="4F0BBD0B">
            <w:pPr>
              <w:spacing w:after="0" w:line="240" w:lineRule="auto"/>
              <w:jc w:val="center"/>
              <w:rPr>
                <w:rFonts w:hint="eastAsia" w:ascii="宋体" w:hAnsi="宋体" w:eastAsia="宋体" w:cs="宋体"/>
                <w:color w:val="000000"/>
                <w:szCs w:val="21"/>
              </w:rPr>
            </w:pPr>
            <w:r>
              <w:rPr>
                <w:rFonts w:hint="eastAsia" w:ascii="宋体" w:hAnsi="宋体" w:eastAsia="宋体" w:cs="宋体"/>
                <w:color w:val="000000"/>
                <w:szCs w:val="21"/>
              </w:rPr>
              <w:t>12</w:t>
            </w:r>
          </w:p>
        </w:tc>
        <w:tc>
          <w:tcPr>
            <w:tcW w:w="3827" w:type="dxa"/>
            <w:vAlign w:val="center"/>
          </w:tcPr>
          <w:p w14:paraId="24560A41">
            <w:pPr>
              <w:spacing w:after="0" w:line="240" w:lineRule="auto"/>
              <w:jc w:val="both"/>
              <w:rPr>
                <w:rFonts w:hint="eastAsia" w:ascii="宋体" w:hAnsi="宋体" w:eastAsia="宋体" w:cs="宋体"/>
                <w:szCs w:val="21"/>
              </w:rPr>
            </w:pPr>
            <w:r>
              <w:rPr>
                <w:rFonts w:hint="eastAsia" w:ascii="宋体" w:hAnsi="宋体" w:eastAsia="宋体" w:cs="宋体"/>
                <w:szCs w:val="21"/>
              </w:rPr>
              <w:t>钠石灰罐组件</w:t>
            </w:r>
          </w:p>
        </w:tc>
        <w:tc>
          <w:tcPr>
            <w:tcW w:w="992" w:type="dxa"/>
            <w:vAlign w:val="center"/>
          </w:tcPr>
          <w:p w14:paraId="003BDA7C">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1</w:t>
            </w:r>
          </w:p>
        </w:tc>
        <w:tc>
          <w:tcPr>
            <w:tcW w:w="993" w:type="dxa"/>
            <w:vAlign w:val="center"/>
          </w:tcPr>
          <w:p w14:paraId="3D40C546">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个</w:t>
            </w:r>
          </w:p>
        </w:tc>
      </w:tr>
      <w:tr w14:paraId="6C1D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46" w:type="dxa"/>
            <w:vAlign w:val="center"/>
          </w:tcPr>
          <w:p w14:paraId="35CA075C">
            <w:pPr>
              <w:spacing w:after="0" w:line="240" w:lineRule="auto"/>
              <w:jc w:val="center"/>
              <w:rPr>
                <w:rFonts w:hint="eastAsia" w:ascii="宋体" w:hAnsi="宋体" w:eastAsia="宋体" w:cs="宋体"/>
                <w:color w:val="000000"/>
                <w:szCs w:val="21"/>
              </w:rPr>
            </w:pPr>
            <w:r>
              <w:rPr>
                <w:rFonts w:hint="eastAsia" w:ascii="宋体" w:hAnsi="宋体" w:eastAsia="宋体" w:cs="宋体"/>
                <w:color w:val="000000"/>
                <w:szCs w:val="21"/>
              </w:rPr>
              <w:t>13</w:t>
            </w:r>
          </w:p>
        </w:tc>
        <w:tc>
          <w:tcPr>
            <w:tcW w:w="3827" w:type="dxa"/>
            <w:vAlign w:val="center"/>
          </w:tcPr>
          <w:p w14:paraId="21E17AC3">
            <w:pPr>
              <w:spacing w:after="0" w:line="240" w:lineRule="auto"/>
              <w:jc w:val="both"/>
              <w:rPr>
                <w:rFonts w:hint="eastAsia" w:ascii="宋体" w:hAnsi="宋体" w:eastAsia="宋体" w:cs="宋体"/>
                <w:szCs w:val="21"/>
              </w:rPr>
            </w:pPr>
            <w:r>
              <w:rPr>
                <w:rFonts w:hint="eastAsia" w:ascii="宋体" w:hAnsi="宋体" w:eastAsia="宋体" w:cs="宋体"/>
                <w:szCs w:val="21"/>
              </w:rPr>
              <w:t>七氟醚挥发罐</w:t>
            </w:r>
          </w:p>
        </w:tc>
        <w:tc>
          <w:tcPr>
            <w:tcW w:w="992" w:type="dxa"/>
            <w:vAlign w:val="center"/>
          </w:tcPr>
          <w:p w14:paraId="144F6D3F">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1</w:t>
            </w:r>
          </w:p>
        </w:tc>
        <w:tc>
          <w:tcPr>
            <w:tcW w:w="993" w:type="dxa"/>
          </w:tcPr>
          <w:p w14:paraId="311D2E53">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个</w:t>
            </w:r>
          </w:p>
        </w:tc>
      </w:tr>
      <w:tr w14:paraId="67C7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46" w:type="dxa"/>
            <w:vAlign w:val="center"/>
          </w:tcPr>
          <w:p w14:paraId="57853C1C">
            <w:pPr>
              <w:spacing w:after="0" w:line="240" w:lineRule="auto"/>
              <w:jc w:val="center"/>
              <w:rPr>
                <w:rFonts w:hint="eastAsia" w:ascii="宋体" w:hAnsi="宋体" w:eastAsia="宋体" w:cs="宋体"/>
                <w:color w:val="000000"/>
                <w:szCs w:val="21"/>
              </w:rPr>
            </w:pPr>
            <w:r>
              <w:rPr>
                <w:rFonts w:hint="eastAsia" w:ascii="宋体" w:hAnsi="宋体" w:eastAsia="宋体" w:cs="宋体"/>
                <w:color w:val="000000"/>
                <w:szCs w:val="21"/>
              </w:rPr>
              <w:t>14</w:t>
            </w:r>
          </w:p>
        </w:tc>
        <w:tc>
          <w:tcPr>
            <w:tcW w:w="3827" w:type="dxa"/>
            <w:vAlign w:val="center"/>
          </w:tcPr>
          <w:p w14:paraId="169E6CDF">
            <w:pPr>
              <w:spacing w:after="0" w:line="240" w:lineRule="auto"/>
              <w:jc w:val="both"/>
              <w:rPr>
                <w:rFonts w:hint="eastAsia" w:ascii="宋体" w:hAnsi="宋体" w:eastAsia="宋体" w:cs="宋体"/>
                <w:szCs w:val="21"/>
              </w:rPr>
            </w:pPr>
            <w:r>
              <w:rPr>
                <w:rFonts w:hint="eastAsia" w:ascii="宋体" w:hAnsi="宋体" w:eastAsia="宋体" w:cs="宋体"/>
                <w:szCs w:val="21"/>
              </w:rPr>
              <w:t>七氟醚加药器</w:t>
            </w:r>
          </w:p>
        </w:tc>
        <w:tc>
          <w:tcPr>
            <w:tcW w:w="992" w:type="dxa"/>
            <w:vAlign w:val="center"/>
          </w:tcPr>
          <w:p w14:paraId="25E063E9">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1</w:t>
            </w:r>
          </w:p>
        </w:tc>
        <w:tc>
          <w:tcPr>
            <w:tcW w:w="993" w:type="dxa"/>
          </w:tcPr>
          <w:p w14:paraId="340EBAFE">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个</w:t>
            </w:r>
          </w:p>
        </w:tc>
      </w:tr>
      <w:tr w14:paraId="6136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46" w:type="dxa"/>
            <w:vAlign w:val="center"/>
          </w:tcPr>
          <w:p w14:paraId="0619830B">
            <w:pPr>
              <w:spacing w:after="0" w:line="240" w:lineRule="auto"/>
              <w:jc w:val="center"/>
              <w:rPr>
                <w:rFonts w:hint="eastAsia" w:ascii="宋体" w:hAnsi="宋体" w:eastAsia="宋体" w:cs="宋体"/>
                <w:color w:val="000000"/>
                <w:szCs w:val="21"/>
              </w:rPr>
            </w:pPr>
            <w:r>
              <w:rPr>
                <w:rFonts w:hint="eastAsia" w:ascii="宋体" w:hAnsi="宋体" w:eastAsia="宋体" w:cs="宋体"/>
                <w:color w:val="000000"/>
                <w:szCs w:val="21"/>
              </w:rPr>
              <w:t>15</w:t>
            </w:r>
          </w:p>
        </w:tc>
        <w:tc>
          <w:tcPr>
            <w:tcW w:w="3827" w:type="dxa"/>
            <w:vAlign w:val="center"/>
          </w:tcPr>
          <w:p w14:paraId="0F815D81">
            <w:pPr>
              <w:spacing w:after="0" w:line="240" w:lineRule="auto"/>
              <w:jc w:val="both"/>
              <w:rPr>
                <w:rFonts w:hint="eastAsia" w:ascii="宋体" w:hAnsi="宋体" w:eastAsia="宋体" w:cs="宋体"/>
                <w:szCs w:val="21"/>
              </w:rPr>
            </w:pPr>
            <w:r>
              <w:rPr>
                <w:rFonts w:hint="eastAsia" w:ascii="宋体" w:hAnsi="宋体" w:eastAsia="宋体" w:cs="宋体"/>
                <w:szCs w:val="21"/>
              </w:rPr>
              <w:t>成人麻醉管路</w:t>
            </w:r>
          </w:p>
        </w:tc>
        <w:tc>
          <w:tcPr>
            <w:tcW w:w="992" w:type="dxa"/>
            <w:vAlign w:val="center"/>
          </w:tcPr>
          <w:p w14:paraId="5DDF30F3">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1</w:t>
            </w:r>
          </w:p>
        </w:tc>
        <w:tc>
          <w:tcPr>
            <w:tcW w:w="993" w:type="dxa"/>
            <w:vAlign w:val="center"/>
          </w:tcPr>
          <w:p w14:paraId="41EBA841">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套</w:t>
            </w:r>
          </w:p>
        </w:tc>
      </w:tr>
      <w:tr w14:paraId="3D8D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46" w:type="dxa"/>
            <w:vAlign w:val="center"/>
          </w:tcPr>
          <w:p w14:paraId="5E94FD48">
            <w:pPr>
              <w:spacing w:after="0" w:line="240" w:lineRule="auto"/>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3827" w:type="dxa"/>
            <w:vAlign w:val="center"/>
          </w:tcPr>
          <w:p w14:paraId="369E6A33">
            <w:pPr>
              <w:spacing w:after="0" w:line="240" w:lineRule="auto"/>
              <w:jc w:val="both"/>
              <w:rPr>
                <w:rFonts w:hint="eastAsia" w:ascii="宋体" w:hAnsi="宋体" w:eastAsia="宋体" w:cs="宋体"/>
                <w:szCs w:val="21"/>
              </w:rPr>
            </w:pPr>
            <w:r>
              <w:rPr>
                <w:rFonts w:hint="eastAsia" w:ascii="宋体" w:hAnsi="宋体" w:eastAsia="宋体" w:cs="宋体"/>
                <w:szCs w:val="21"/>
              </w:rPr>
              <w:t>儿童麻醉管路</w:t>
            </w:r>
          </w:p>
        </w:tc>
        <w:tc>
          <w:tcPr>
            <w:tcW w:w="992" w:type="dxa"/>
            <w:vAlign w:val="center"/>
          </w:tcPr>
          <w:p w14:paraId="47B0443C">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1</w:t>
            </w:r>
          </w:p>
        </w:tc>
        <w:tc>
          <w:tcPr>
            <w:tcW w:w="993" w:type="dxa"/>
            <w:vAlign w:val="center"/>
          </w:tcPr>
          <w:p w14:paraId="6D52B585">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套</w:t>
            </w:r>
          </w:p>
        </w:tc>
      </w:tr>
      <w:tr w14:paraId="4060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46" w:type="dxa"/>
            <w:vAlign w:val="center"/>
          </w:tcPr>
          <w:p w14:paraId="710330ED">
            <w:pPr>
              <w:spacing w:after="0" w:line="240" w:lineRule="auto"/>
              <w:jc w:val="center"/>
              <w:rPr>
                <w:rFonts w:hint="eastAsia" w:ascii="宋体" w:hAnsi="宋体" w:eastAsia="宋体" w:cs="宋体"/>
                <w:color w:val="000000"/>
                <w:szCs w:val="21"/>
              </w:rPr>
            </w:pPr>
            <w:r>
              <w:rPr>
                <w:rFonts w:hint="eastAsia" w:ascii="宋体" w:hAnsi="宋体" w:eastAsia="宋体" w:cs="宋体"/>
                <w:color w:val="000000"/>
                <w:szCs w:val="21"/>
              </w:rPr>
              <w:t>17</w:t>
            </w:r>
          </w:p>
        </w:tc>
        <w:tc>
          <w:tcPr>
            <w:tcW w:w="3827" w:type="dxa"/>
            <w:vAlign w:val="center"/>
          </w:tcPr>
          <w:p w14:paraId="502F8735">
            <w:pPr>
              <w:spacing w:after="0" w:line="240" w:lineRule="auto"/>
              <w:jc w:val="both"/>
              <w:rPr>
                <w:rFonts w:hint="eastAsia" w:ascii="宋体" w:hAnsi="宋体" w:eastAsia="宋体" w:cs="宋体"/>
                <w:szCs w:val="21"/>
              </w:rPr>
            </w:pPr>
            <w:r>
              <w:rPr>
                <w:rFonts w:hint="eastAsia" w:ascii="宋体" w:hAnsi="宋体" w:eastAsia="宋体" w:cs="宋体"/>
                <w:szCs w:val="21"/>
              </w:rPr>
              <w:t>采样管</w:t>
            </w:r>
          </w:p>
        </w:tc>
        <w:tc>
          <w:tcPr>
            <w:tcW w:w="992" w:type="dxa"/>
            <w:vAlign w:val="center"/>
          </w:tcPr>
          <w:p w14:paraId="11952B4C">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1</w:t>
            </w:r>
          </w:p>
        </w:tc>
        <w:tc>
          <w:tcPr>
            <w:tcW w:w="993" w:type="dxa"/>
            <w:vAlign w:val="center"/>
          </w:tcPr>
          <w:p w14:paraId="56FECE36">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套</w:t>
            </w:r>
          </w:p>
        </w:tc>
      </w:tr>
      <w:tr w14:paraId="3CDF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46" w:type="dxa"/>
            <w:vAlign w:val="center"/>
          </w:tcPr>
          <w:p w14:paraId="25CA39BF">
            <w:pPr>
              <w:spacing w:after="0" w:line="240" w:lineRule="auto"/>
              <w:jc w:val="center"/>
              <w:rPr>
                <w:rFonts w:hint="eastAsia" w:ascii="宋体" w:hAnsi="宋体" w:eastAsia="宋体" w:cs="宋体"/>
                <w:color w:val="000000"/>
                <w:szCs w:val="21"/>
              </w:rPr>
            </w:pPr>
            <w:r>
              <w:rPr>
                <w:rFonts w:hint="eastAsia" w:ascii="宋体" w:hAnsi="宋体" w:eastAsia="宋体" w:cs="宋体"/>
                <w:color w:val="000000"/>
                <w:szCs w:val="21"/>
              </w:rPr>
              <w:t>18</w:t>
            </w:r>
          </w:p>
        </w:tc>
        <w:tc>
          <w:tcPr>
            <w:tcW w:w="3827" w:type="dxa"/>
            <w:vAlign w:val="center"/>
          </w:tcPr>
          <w:p w14:paraId="5D4DEA0F">
            <w:pPr>
              <w:spacing w:after="0" w:line="240" w:lineRule="auto"/>
              <w:jc w:val="both"/>
              <w:rPr>
                <w:rFonts w:hint="eastAsia" w:ascii="宋体" w:hAnsi="宋体" w:eastAsia="宋体" w:cs="宋体"/>
                <w:szCs w:val="21"/>
              </w:rPr>
            </w:pPr>
            <w:r>
              <w:rPr>
                <w:rFonts w:hint="eastAsia" w:ascii="宋体" w:hAnsi="宋体" w:eastAsia="宋体" w:cs="宋体"/>
                <w:szCs w:val="21"/>
              </w:rPr>
              <w:t>输氧面罩</w:t>
            </w:r>
          </w:p>
        </w:tc>
        <w:tc>
          <w:tcPr>
            <w:tcW w:w="992" w:type="dxa"/>
            <w:vAlign w:val="center"/>
          </w:tcPr>
          <w:p w14:paraId="093E4557">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1</w:t>
            </w:r>
          </w:p>
        </w:tc>
        <w:tc>
          <w:tcPr>
            <w:tcW w:w="993" w:type="dxa"/>
            <w:vAlign w:val="center"/>
          </w:tcPr>
          <w:p w14:paraId="691DC4B7">
            <w:pPr>
              <w:pStyle w:val="9"/>
              <w:spacing w:after="0" w:line="240" w:lineRule="auto"/>
              <w:ind w:firstLine="0"/>
              <w:jc w:val="center"/>
              <w:rPr>
                <w:rFonts w:hint="eastAsia" w:ascii="宋体" w:hAnsi="宋体" w:eastAsia="宋体" w:cs="宋体"/>
                <w:szCs w:val="21"/>
              </w:rPr>
            </w:pPr>
            <w:r>
              <w:rPr>
                <w:rFonts w:hint="eastAsia" w:ascii="宋体" w:hAnsi="宋体" w:eastAsia="宋体" w:cs="宋体"/>
                <w:szCs w:val="21"/>
              </w:rPr>
              <w:t>个</w:t>
            </w:r>
          </w:p>
        </w:tc>
      </w:tr>
    </w:tbl>
    <w:p w14:paraId="556E8118">
      <w:pPr>
        <w:pStyle w:val="9"/>
        <w:spacing w:after="0" w:line="240" w:lineRule="auto"/>
        <w:ind w:firstLine="0"/>
        <w:rPr>
          <w:rFonts w:hint="eastAsia" w:ascii="宋体" w:hAnsi="宋体" w:eastAsia="宋体" w:cs="宋体"/>
          <w:b/>
          <w:bCs/>
          <w:szCs w:val="21"/>
        </w:rPr>
      </w:pPr>
      <w:r>
        <w:rPr>
          <w:rFonts w:hint="eastAsia" w:ascii="宋体" w:hAnsi="宋体" w:eastAsia="宋体" w:cs="宋体"/>
          <w:b/>
          <w:bCs/>
          <w:szCs w:val="21"/>
        </w:rPr>
        <w:t>（五）质保期及售后服务要求</w:t>
      </w:r>
    </w:p>
    <w:p w14:paraId="75EB2C2A">
      <w:pPr>
        <w:spacing w:after="0" w:line="240" w:lineRule="auto"/>
        <w:rPr>
          <w:rFonts w:hint="eastAsia" w:ascii="宋体" w:hAnsi="宋体" w:eastAsia="宋体" w:cs="宋体"/>
          <w:szCs w:val="21"/>
        </w:rPr>
      </w:pPr>
      <w:r>
        <w:rPr>
          <w:rFonts w:hint="eastAsia" w:ascii="宋体" w:hAnsi="宋体" w:eastAsia="宋体" w:cs="宋体"/>
          <w:szCs w:val="21"/>
        </w:rPr>
        <w:t>1.提供至少3年的免费质保服务，包括设备故障维修、软件升级等。</w:t>
      </w:r>
    </w:p>
    <w:p w14:paraId="3E2969B2">
      <w:pPr>
        <w:spacing w:after="0" w:line="240" w:lineRule="auto"/>
        <w:rPr>
          <w:rFonts w:hint="eastAsia" w:ascii="宋体" w:hAnsi="宋体" w:eastAsia="宋体" w:cs="宋体"/>
          <w:szCs w:val="21"/>
        </w:rPr>
      </w:pPr>
      <w:r>
        <w:rPr>
          <w:rFonts w:hint="eastAsia" w:ascii="宋体" w:hAnsi="宋体" w:eastAsia="宋体" w:cs="宋体"/>
          <w:szCs w:val="21"/>
        </w:rPr>
        <w:t>2.中标后设立24小时客服热线，确保在设备使用过程中能够及时解决各类问题。</w:t>
      </w:r>
    </w:p>
    <w:p w14:paraId="3436307D">
      <w:pPr>
        <w:spacing w:after="0" w:line="240" w:lineRule="auto"/>
        <w:rPr>
          <w:rFonts w:hint="eastAsia" w:ascii="宋体" w:hAnsi="宋体" w:eastAsia="宋体" w:cs="宋体"/>
          <w:szCs w:val="21"/>
        </w:rPr>
      </w:pPr>
      <w:r>
        <w:rPr>
          <w:rFonts w:hint="eastAsia" w:ascii="宋体" w:hAnsi="宋体" w:eastAsia="宋体" w:cs="宋体"/>
          <w:szCs w:val="21"/>
        </w:rPr>
        <w:t>3.提供每季度至少一次的设备巡检和维护服务，确保设备长期稳定运行。</w:t>
      </w:r>
    </w:p>
    <w:p w14:paraId="669B5325">
      <w:pPr>
        <w:spacing w:after="0" w:line="240" w:lineRule="auto"/>
        <w:rPr>
          <w:rFonts w:hint="eastAsia" w:ascii="宋体" w:hAnsi="宋体" w:eastAsia="宋体" w:cs="宋体"/>
          <w:szCs w:val="21"/>
        </w:rPr>
      </w:pPr>
      <w:r>
        <w:rPr>
          <w:rFonts w:hint="eastAsia" w:ascii="宋体" w:hAnsi="宋体" w:eastAsia="宋体" w:cs="宋体"/>
          <w:szCs w:val="21"/>
        </w:rPr>
        <w:t>4.提供完善的培训和技术支持服务，确保医护人员能够熟练掌握设备操作。</w:t>
      </w:r>
    </w:p>
    <w:p w14:paraId="1D3CBCB4">
      <w:pPr>
        <w:widowControl/>
        <w:tabs>
          <w:tab w:val="left" w:pos="420"/>
        </w:tabs>
        <w:spacing w:after="0" w:line="240" w:lineRule="auto"/>
        <w:rPr>
          <w:rStyle w:val="25"/>
          <w:rFonts w:hint="eastAsia" w:ascii="宋体" w:hAnsi="宋体" w:eastAsia="宋体" w:cs="宋体"/>
          <w:szCs w:val="21"/>
          <w:shd w:val="clear" w:color="auto" w:fill="FDFDFE"/>
        </w:rPr>
      </w:pPr>
      <w:r>
        <w:rPr>
          <w:rStyle w:val="25"/>
          <w:rFonts w:hint="eastAsia" w:ascii="宋体" w:hAnsi="宋体" w:eastAsia="宋体" w:cs="宋体"/>
          <w:szCs w:val="21"/>
          <w:shd w:val="clear" w:color="auto" w:fill="FDFDFE"/>
        </w:rPr>
        <w:t>（六）基本要求</w:t>
      </w:r>
    </w:p>
    <w:p w14:paraId="2A914FB4">
      <w:pPr>
        <w:spacing w:after="0" w:line="240" w:lineRule="auto"/>
        <w:rPr>
          <w:rFonts w:hint="eastAsia" w:ascii="宋体" w:hAnsi="宋体" w:eastAsia="宋体" w:cs="宋体"/>
          <w:szCs w:val="21"/>
        </w:rPr>
      </w:pPr>
      <w:r>
        <w:rPr>
          <w:rFonts w:hint="eastAsia" w:ascii="宋体" w:hAnsi="宋体" w:eastAsia="宋体" w:cs="宋体"/>
          <w:szCs w:val="21"/>
        </w:rPr>
        <w:t>★1.所投设备具有有效的医疗器械注册证明（如国家有相关规定）。</w:t>
      </w:r>
    </w:p>
    <w:p w14:paraId="57F95BB0">
      <w:pPr>
        <w:spacing w:after="0" w:line="240" w:lineRule="auto"/>
        <w:rPr>
          <w:rFonts w:hint="eastAsia" w:ascii="宋体" w:hAnsi="宋体" w:eastAsia="宋体" w:cs="宋体"/>
          <w:szCs w:val="21"/>
          <w:shd w:val="clear" w:color="auto" w:fill="FDFDFE"/>
        </w:rPr>
      </w:pPr>
      <w:r>
        <w:rPr>
          <w:rFonts w:hint="eastAsia" w:ascii="宋体" w:hAnsi="宋体" w:eastAsia="宋体" w:cs="宋体"/>
          <w:szCs w:val="21"/>
        </w:rPr>
        <w:t>▲2.如投标人为代理经销商，应提供制造商对所投产品的合法授权函。</w:t>
      </w:r>
    </w:p>
    <w:p w14:paraId="1F4BA99B">
      <w:pPr>
        <w:spacing w:after="0" w:line="240" w:lineRule="auto"/>
        <w:jc w:val="left"/>
        <w:rPr>
          <w:rFonts w:hint="eastAsia" w:ascii="宋体" w:hAnsi="宋体" w:eastAsia="宋体" w:cs="宋体"/>
          <w:b/>
          <w:bCs/>
          <w:szCs w:val="21"/>
        </w:rPr>
      </w:pPr>
    </w:p>
    <w:p w14:paraId="517AC222">
      <w:pPr>
        <w:spacing w:after="0" w:line="240" w:lineRule="auto"/>
        <w:jc w:val="left"/>
        <w:rPr>
          <w:rFonts w:hint="eastAsia" w:ascii="宋体" w:hAnsi="宋体" w:eastAsia="宋体" w:cs="宋体"/>
          <w:b/>
          <w:bCs/>
          <w:szCs w:val="21"/>
        </w:rPr>
      </w:pPr>
      <w:r>
        <w:rPr>
          <w:rFonts w:hint="eastAsia" w:ascii="宋体" w:hAnsi="宋体" w:eastAsia="宋体" w:cs="宋体"/>
          <w:b/>
          <w:bCs/>
          <w:szCs w:val="21"/>
        </w:rPr>
        <w:t>二、交货要求</w:t>
      </w:r>
    </w:p>
    <w:p w14:paraId="3F83825B">
      <w:pPr>
        <w:spacing w:after="0" w:line="240" w:lineRule="auto"/>
        <w:jc w:val="left"/>
        <w:rPr>
          <w:rFonts w:hint="eastAsia" w:ascii="宋体" w:hAnsi="宋体" w:eastAsia="宋体" w:cs="宋体"/>
          <w:szCs w:val="21"/>
        </w:rPr>
      </w:pPr>
      <w:r>
        <w:rPr>
          <w:rFonts w:hint="eastAsia" w:ascii="宋体" w:hAnsi="宋体" w:eastAsia="宋体" w:cs="宋体"/>
          <w:szCs w:val="21"/>
        </w:rPr>
        <w:t>（一）交货期：合同签订后收到采购人供货通知后30日历天内交货、安装、调试。</w:t>
      </w:r>
    </w:p>
    <w:p w14:paraId="4F8AB0AB">
      <w:pPr>
        <w:spacing w:after="0" w:line="240" w:lineRule="auto"/>
        <w:jc w:val="left"/>
        <w:rPr>
          <w:rFonts w:hint="eastAsia" w:ascii="宋体" w:hAnsi="宋体" w:eastAsia="宋体" w:cs="宋体"/>
          <w:szCs w:val="21"/>
        </w:rPr>
      </w:pPr>
      <w:r>
        <w:rPr>
          <w:rFonts w:hint="eastAsia" w:ascii="宋体" w:hAnsi="宋体" w:eastAsia="宋体" w:cs="宋体"/>
          <w:szCs w:val="21"/>
        </w:rPr>
        <w:t>（二）交货地点：广州市第一人民医院（采购人指定地点）。中标人需按有关标准提供货物的包装，并采用恰当的方式将货物运抵交货地点。</w:t>
      </w:r>
    </w:p>
    <w:p w14:paraId="54D991A5">
      <w:pPr>
        <w:spacing w:after="0" w:line="240" w:lineRule="auto"/>
        <w:jc w:val="left"/>
        <w:rPr>
          <w:rFonts w:hint="eastAsia" w:ascii="宋体" w:hAnsi="宋体" w:eastAsia="宋体" w:cs="宋体"/>
          <w:b/>
          <w:bCs/>
          <w:szCs w:val="21"/>
        </w:rPr>
      </w:pPr>
      <w:r>
        <w:rPr>
          <w:rFonts w:hint="eastAsia" w:ascii="宋体" w:hAnsi="宋体" w:eastAsia="宋体" w:cs="宋体"/>
          <w:b/>
          <w:bCs/>
          <w:szCs w:val="21"/>
        </w:rPr>
        <w:t>三、包装、运输及到货检验</w:t>
      </w:r>
    </w:p>
    <w:p w14:paraId="56CFB80C">
      <w:pPr>
        <w:spacing w:after="0" w:line="240" w:lineRule="auto"/>
        <w:jc w:val="left"/>
        <w:rPr>
          <w:rFonts w:hint="eastAsia" w:ascii="宋体" w:hAnsi="宋体" w:eastAsia="宋体" w:cs="宋体"/>
          <w:szCs w:val="21"/>
        </w:rPr>
      </w:pPr>
      <w:r>
        <w:rPr>
          <w:rFonts w:hint="eastAsia" w:ascii="宋体" w:hAnsi="宋体" w:eastAsia="宋体" w:cs="宋体"/>
          <w:szCs w:val="21"/>
        </w:rPr>
        <w:t>1.设备需由原厂包装，包装箱内需有下列随箱资料：产品合格证（包括出厂试验数据）、产品使用说明书、随箱清单等。</w:t>
      </w:r>
    </w:p>
    <w:p w14:paraId="48CB5D76">
      <w:pPr>
        <w:spacing w:after="0" w:line="240" w:lineRule="auto"/>
        <w:jc w:val="left"/>
        <w:rPr>
          <w:rFonts w:hint="eastAsia" w:ascii="宋体" w:hAnsi="宋体" w:eastAsia="宋体" w:cs="宋体"/>
          <w:szCs w:val="21"/>
        </w:rPr>
      </w:pPr>
      <w:r>
        <w:rPr>
          <w:rFonts w:hint="eastAsia" w:ascii="宋体" w:hAnsi="宋体" w:eastAsia="宋体" w:cs="宋体"/>
          <w:szCs w:val="21"/>
        </w:rPr>
        <w:t>2.中标人负责所有设备从出厂到安装现场的运输。</w:t>
      </w:r>
    </w:p>
    <w:p w14:paraId="4EF63D98">
      <w:pPr>
        <w:spacing w:after="0" w:line="240" w:lineRule="auto"/>
        <w:jc w:val="left"/>
        <w:rPr>
          <w:rFonts w:hint="eastAsia" w:ascii="宋体" w:hAnsi="宋体" w:eastAsia="宋体" w:cs="宋体"/>
          <w:szCs w:val="21"/>
        </w:rPr>
      </w:pPr>
      <w:r>
        <w:rPr>
          <w:rFonts w:hint="eastAsia" w:ascii="宋体" w:hAnsi="宋体" w:eastAsia="宋体" w:cs="宋体"/>
          <w:szCs w:val="21"/>
        </w:rPr>
        <w:t>3.双方将依据有关规定，对到货的规格、数量等进行检验。中标人需对其全部产品、零件、配件、介质造册登记，并与装箱单对比，如有出入需立即书面记录，由中标人解决，如影响安装则按合同有关条款处理。登记册作为验收文档之一。</w:t>
      </w:r>
    </w:p>
    <w:p w14:paraId="0818927E">
      <w:pPr>
        <w:spacing w:after="0" w:line="240" w:lineRule="auto"/>
        <w:jc w:val="left"/>
        <w:rPr>
          <w:rFonts w:hint="eastAsia" w:ascii="宋体" w:hAnsi="宋体" w:eastAsia="宋体" w:cs="宋体"/>
          <w:b/>
          <w:bCs/>
          <w:szCs w:val="21"/>
        </w:rPr>
      </w:pPr>
      <w:r>
        <w:rPr>
          <w:rFonts w:hint="eastAsia" w:ascii="宋体" w:hAnsi="宋体" w:eastAsia="宋体" w:cs="宋体"/>
          <w:b/>
          <w:bCs/>
          <w:szCs w:val="21"/>
        </w:rPr>
        <w:t>四、安装调试要求</w:t>
      </w:r>
    </w:p>
    <w:p w14:paraId="6D51534A">
      <w:pPr>
        <w:spacing w:after="0" w:line="240" w:lineRule="auto"/>
        <w:jc w:val="left"/>
        <w:rPr>
          <w:rFonts w:hint="eastAsia" w:ascii="宋体" w:hAnsi="宋体" w:eastAsia="宋体" w:cs="宋体"/>
          <w:szCs w:val="21"/>
        </w:rPr>
      </w:pPr>
      <w:r>
        <w:rPr>
          <w:rFonts w:hint="eastAsia" w:ascii="宋体" w:hAnsi="宋体" w:eastAsia="宋体" w:cs="宋体"/>
          <w:szCs w:val="21"/>
        </w:rPr>
        <w:t>1.安装和调试应由具备相应资质和能力的专业技术人员执行，确保设备的正确安装和功能的正常发挥。</w:t>
      </w:r>
    </w:p>
    <w:p w14:paraId="1407D439">
      <w:pPr>
        <w:spacing w:after="0" w:line="240" w:lineRule="auto"/>
        <w:jc w:val="left"/>
        <w:rPr>
          <w:rFonts w:hint="eastAsia" w:ascii="宋体" w:hAnsi="宋体" w:eastAsia="宋体" w:cs="宋体"/>
          <w:szCs w:val="21"/>
        </w:rPr>
      </w:pPr>
      <w:r>
        <w:rPr>
          <w:rFonts w:hint="eastAsia" w:ascii="宋体" w:hAnsi="宋体" w:eastAsia="宋体" w:cs="宋体"/>
          <w:szCs w:val="21"/>
        </w:rPr>
        <w:t>2.安装前应确保产品名称、型号、规格、生产企业信息、医疗器械注册证编号等信息明确无误。</w:t>
      </w:r>
    </w:p>
    <w:p w14:paraId="49397D15">
      <w:pPr>
        <w:spacing w:after="0" w:line="240" w:lineRule="auto"/>
        <w:jc w:val="left"/>
        <w:rPr>
          <w:rFonts w:hint="eastAsia" w:ascii="宋体" w:hAnsi="宋体" w:eastAsia="宋体" w:cs="宋体"/>
          <w:szCs w:val="21"/>
        </w:rPr>
      </w:pPr>
      <w:r>
        <w:rPr>
          <w:rFonts w:hint="eastAsia" w:ascii="宋体" w:hAnsi="宋体" w:eastAsia="宋体" w:cs="宋体"/>
          <w:szCs w:val="21"/>
        </w:rPr>
        <w:t>3.在安装和调试过程中，必须遵守相应的操作规程和标准，以确保过程的准确性和可靠性。</w:t>
      </w:r>
    </w:p>
    <w:p w14:paraId="14833816">
      <w:pPr>
        <w:spacing w:after="0" w:line="240" w:lineRule="auto"/>
        <w:jc w:val="left"/>
        <w:rPr>
          <w:rFonts w:hint="eastAsia" w:ascii="宋体" w:hAnsi="宋体" w:eastAsia="宋体" w:cs="宋体"/>
          <w:szCs w:val="21"/>
        </w:rPr>
      </w:pPr>
      <w:r>
        <w:rPr>
          <w:rFonts w:hint="eastAsia" w:ascii="宋体" w:hAnsi="宋体" w:eastAsia="宋体" w:cs="宋体"/>
          <w:szCs w:val="21"/>
        </w:rPr>
        <w:t>4.在验收过程中，应有详细的报告记录测试和调试的结果，确保所有功能都符合规定的要求。</w:t>
      </w:r>
    </w:p>
    <w:p w14:paraId="78F0FB2F">
      <w:pPr>
        <w:spacing w:after="0" w:line="240" w:lineRule="auto"/>
        <w:jc w:val="left"/>
        <w:rPr>
          <w:rFonts w:hint="eastAsia" w:ascii="宋体" w:hAnsi="宋体" w:eastAsia="宋体" w:cs="宋体"/>
          <w:b/>
          <w:bCs/>
          <w:szCs w:val="21"/>
          <w:shd w:val="clear" w:color="auto" w:fill="FDFDFE"/>
        </w:rPr>
      </w:pPr>
      <w:r>
        <w:rPr>
          <w:rFonts w:hint="eastAsia" w:ascii="宋体" w:hAnsi="宋体" w:eastAsia="宋体" w:cs="宋体"/>
          <w:b/>
          <w:bCs/>
          <w:szCs w:val="21"/>
        </w:rPr>
        <w:t>五、验收要求和验收标准</w:t>
      </w:r>
    </w:p>
    <w:p w14:paraId="5326E11C">
      <w:pPr>
        <w:widowControl/>
        <w:tabs>
          <w:tab w:val="left" w:pos="420"/>
        </w:tabs>
        <w:spacing w:after="0" w:line="240" w:lineRule="auto"/>
        <w:rPr>
          <w:rFonts w:hint="eastAsia" w:ascii="宋体" w:hAnsi="宋体" w:eastAsia="宋体" w:cs="宋体"/>
          <w:szCs w:val="21"/>
          <w:shd w:val="clear" w:color="auto" w:fill="FDFDFE"/>
        </w:rPr>
      </w:pPr>
      <w:r>
        <w:rPr>
          <w:rFonts w:hint="eastAsia" w:ascii="宋体" w:hAnsi="宋体" w:eastAsia="宋体" w:cs="宋体"/>
          <w:szCs w:val="21"/>
          <w:shd w:val="clear" w:color="auto" w:fill="FDFDFE"/>
        </w:rPr>
        <w:t>设备到货后依照招标文件及中标人投标文件响应内容中关于货物的技术规格要求和质量标准进行验收，必须免费安装调试至能正常使用，并免费培训操作。</w:t>
      </w:r>
    </w:p>
    <w:p w14:paraId="4689E5D6">
      <w:pPr>
        <w:spacing w:after="0" w:line="240" w:lineRule="auto"/>
        <w:jc w:val="left"/>
        <w:rPr>
          <w:rFonts w:hint="eastAsia" w:ascii="宋体" w:hAnsi="宋体" w:eastAsia="宋体" w:cs="宋体"/>
          <w:b/>
          <w:bCs/>
          <w:szCs w:val="21"/>
        </w:rPr>
      </w:pPr>
      <w:r>
        <w:rPr>
          <w:rFonts w:hint="eastAsia" w:ascii="宋体" w:hAnsi="宋体" w:eastAsia="宋体" w:cs="宋体"/>
          <w:b/>
          <w:bCs/>
          <w:szCs w:val="21"/>
        </w:rPr>
        <w:t>六、培训要求</w:t>
      </w:r>
    </w:p>
    <w:p w14:paraId="4236C703">
      <w:pPr>
        <w:spacing w:after="0" w:line="240" w:lineRule="auto"/>
        <w:jc w:val="left"/>
        <w:rPr>
          <w:rFonts w:hint="eastAsia" w:ascii="宋体" w:hAnsi="宋体" w:eastAsia="宋体" w:cs="宋体"/>
          <w:szCs w:val="21"/>
        </w:rPr>
      </w:pPr>
      <w:r>
        <w:rPr>
          <w:rFonts w:hint="eastAsia" w:ascii="宋体" w:hAnsi="宋体" w:eastAsia="宋体" w:cs="宋体"/>
          <w:szCs w:val="21"/>
        </w:rPr>
        <w:t>1.须提供设备使用维护培训，使采购人使用人员能掌握设备的结构原理、检修方法与操作要点。</w:t>
      </w:r>
    </w:p>
    <w:p w14:paraId="53C6FB73">
      <w:pPr>
        <w:spacing w:after="0" w:line="240" w:lineRule="auto"/>
        <w:jc w:val="left"/>
        <w:rPr>
          <w:rFonts w:hint="eastAsia" w:ascii="宋体" w:hAnsi="宋体" w:eastAsia="宋体" w:cs="宋体"/>
          <w:szCs w:val="21"/>
        </w:rPr>
      </w:pPr>
      <w:r>
        <w:rPr>
          <w:rFonts w:hint="eastAsia" w:ascii="宋体" w:hAnsi="宋体" w:eastAsia="宋体" w:cs="宋体"/>
          <w:szCs w:val="21"/>
        </w:rPr>
        <w:t>2.培训应包括医疗设备的安全使用知识，包括设备的使用期限、禁忌、注意事项等。</w:t>
      </w:r>
    </w:p>
    <w:p w14:paraId="610B56FD">
      <w:pPr>
        <w:spacing w:after="0" w:line="240" w:lineRule="auto"/>
        <w:jc w:val="left"/>
        <w:rPr>
          <w:rFonts w:hint="eastAsia" w:ascii="宋体" w:hAnsi="宋体" w:eastAsia="宋体" w:cs="宋体"/>
          <w:szCs w:val="21"/>
        </w:rPr>
      </w:pPr>
      <w:r>
        <w:rPr>
          <w:rFonts w:hint="eastAsia" w:ascii="宋体" w:hAnsi="宋体" w:eastAsia="宋体" w:cs="宋体"/>
          <w:szCs w:val="21"/>
        </w:rPr>
        <w:t>3.培训内容应涵盖设备的维护和保养方法，以及特殊运输、贮存的条件和方法。</w:t>
      </w:r>
    </w:p>
    <w:p w14:paraId="713661B5">
      <w:pPr>
        <w:spacing w:after="0" w:line="240" w:lineRule="auto"/>
        <w:jc w:val="left"/>
        <w:rPr>
          <w:rFonts w:hint="eastAsia" w:ascii="宋体" w:hAnsi="宋体" w:eastAsia="宋体" w:cs="宋体"/>
          <w:szCs w:val="21"/>
        </w:rPr>
      </w:pPr>
      <w:r>
        <w:rPr>
          <w:rFonts w:hint="eastAsia" w:ascii="宋体" w:hAnsi="宋体" w:eastAsia="宋体" w:cs="宋体"/>
          <w:szCs w:val="21"/>
        </w:rPr>
        <w:t>4.培训应包括设备故障和问题应急处理，以便在紧急情况下能够迅速有效地采取措施。</w:t>
      </w:r>
    </w:p>
    <w:p w14:paraId="7C59D85A">
      <w:pPr>
        <w:spacing w:after="0" w:line="240" w:lineRule="auto"/>
        <w:jc w:val="left"/>
        <w:rPr>
          <w:rFonts w:hint="eastAsia" w:ascii="宋体" w:hAnsi="宋体" w:eastAsia="宋体" w:cs="宋体"/>
          <w:szCs w:val="21"/>
        </w:rPr>
      </w:pPr>
      <w:r>
        <w:rPr>
          <w:rFonts w:hint="eastAsia" w:ascii="宋体" w:hAnsi="宋体" w:eastAsia="宋体" w:cs="宋体"/>
          <w:szCs w:val="21"/>
        </w:rPr>
        <w:t>5.培训应包括对医疗器械质量控制的理解和实践，确保设备在使用过程中的质量和性能。</w:t>
      </w:r>
    </w:p>
    <w:p w14:paraId="4884E19D">
      <w:pPr>
        <w:spacing w:after="0" w:line="240" w:lineRule="auto"/>
        <w:jc w:val="left"/>
        <w:rPr>
          <w:rFonts w:hint="eastAsia" w:ascii="宋体" w:hAnsi="宋体" w:eastAsia="宋体" w:cs="宋体"/>
          <w:b/>
          <w:bCs/>
          <w:szCs w:val="21"/>
        </w:rPr>
      </w:pPr>
    </w:p>
    <w:p w14:paraId="60B4F9FA">
      <w:pPr>
        <w:spacing w:after="0" w:line="240" w:lineRule="auto"/>
        <w:jc w:val="left"/>
        <w:rPr>
          <w:rFonts w:hint="eastAsia" w:ascii="宋体" w:hAnsi="宋体" w:eastAsia="宋体" w:cs="宋体"/>
          <w:b/>
          <w:bCs/>
          <w:szCs w:val="21"/>
          <w:shd w:val="clear" w:color="auto" w:fill="FDFDFE"/>
        </w:rPr>
      </w:pPr>
      <w:r>
        <w:rPr>
          <w:rFonts w:hint="eastAsia" w:ascii="宋体" w:hAnsi="宋体" w:eastAsia="宋体" w:cs="宋体"/>
          <w:b/>
          <w:bCs/>
          <w:szCs w:val="21"/>
        </w:rPr>
        <w:t>七、付款方式</w:t>
      </w:r>
    </w:p>
    <w:p w14:paraId="4498F091">
      <w:pPr>
        <w:spacing w:after="0" w:line="240" w:lineRule="auto"/>
        <w:jc w:val="left"/>
        <w:rPr>
          <w:rFonts w:hint="eastAsia" w:ascii="宋体" w:hAnsi="宋体" w:eastAsia="宋体" w:cs="宋体"/>
          <w:szCs w:val="21"/>
        </w:rPr>
      </w:pPr>
      <w:r>
        <w:rPr>
          <w:rFonts w:hint="eastAsia" w:ascii="宋体" w:hAnsi="宋体" w:eastAsia="宋体" w:cs="宋体"/>
          <w:szCs w:val="21"/>
        </w:rPr>
        <w:t>1期：支付比例30%,1.合同的款项以人民币转账方式支付。若属国库支付项目的，其支付时间按财政部相关规定执行。 2.签订合同之日起5个工作日内凭合同30%发票由采购人向中标人支付30%合同款；</w:t>
      </w:r>
    </w:p>
    <w:p w14:paraId="492AD603">
      <w:pPr>
        <w:spacing w:after="0" w:line="240" w:lineRule="auto"/>
        <w:jc w:val="left"/>
        <w:rPr>
          <w:rFonts w:hint="eastAsia" w:ascii="宋体" w:hAnsi="宋体" w:eastAsia="宋体" w:cs="宋体"/>
          <w:szCs w:val="21"/>
        </w:rPr>
      </w:pPr>
      <w:r>
        <w:rPr>
          <w:rFonts w:hint="eastAsia" w:ascii="宋体" w:hAnsi="宋体" w:eastAsia="宋体" w:cs="宋体"/>
          <w:szCs w:val="21"/>
        </w:rPr>
        <w:t>2期：支付比例70%,3.合同设备全部到指定地点交付并完成安装及验收后，中标人凭（1）送货单；（2）合同剩余70%发票；（3）安装验收报告，由采购人在收到发票后5个工作日内支付70%合同款给中标人。4.付款方式：银行转账。</w:t>
      </w:r>
    </w:p>
    <w:p w14:paraId="0F4F0A00">
      <w:pPr>
        <w:pStyle w:val="9"/>
        <w:spacing w:after="0" w:line="240" w:lineRule="auto"/>
        <w:ind w:firstLine="0"/>
        <w:rPr>
          <w:rFonts w:hint="eastAsia" w:ascii="宋体" w:hAnsi="宋体" w:eastAsia="宋体" w:cs="宋体"/>
          <w:b/>
          <w:bCs/>
          <w:szCs w:val="21"/>
        </w:rPr>
      </w:pPr>
    </w:p>
    <w:p w14:paraId="4003E5D9">
      <w:pPr>
        <w:pStyle w:val="9"/>
        <w:spacing w:after="0" w:line="240" w:lineRule="auto"/>
        <w:ind w:firstLine="0"/>
        <w:rPr>
          <w:rFonts w:hint="eastAsia" w:ascii="宋体" w:hAnsi="宋体" w:eastAsia="宋体" w:cs="宋体"/>
          <w:b/>
          <w:bCs/>
          <w:szCs w:val="21"/>
        </w:rPr>
      </w:pPr>
    </w:p>
    <w:p w14:paraId="3896CB3D">
      <w:pPr>
        <w:spacing w:line="300" w:lineRule="auto"/>
        <w:jc w:val="center"/>
        <w:rPr>
          <w:rFonts w:hint="eastAsia" w:hAnsi="宋体"/>
          <w:color w:val="000000" w:themeColor="text1"/>
          <w:highlight w:val="none"/>
          <w14:textFill>
            <w14:solidFill>
              <w14:schemeClr w14:val="tx1"/>
            </w14:solidFill>
          </w14:textFill>
        </w:rPr>
      </w:pPr>
    </w:p>
    <w:p w14:paraId="2CF6C56D">
      <w:pPr>
        <w:spacing w:line="300" w:lineRule="auto"/>
        <w:jc w:val="center"/>
        <w:rPr>
          <w:rFonts w:hint="eastAsia" w:hAnsi="宋体"/>
          <w:color w:val="000000" w:themeColor="text1"/>
          <w:highlight w:val="none"/>
          <w14:textFill>
            <w14:solidFill>
              <w14:schemeClr w14:val="tx1"/>
            </w14:solidFill>
          </w14:textFill>
        </w:rPr>
      </w:pPr>
    </w:p>
    <w:p w14:paraId="46ED3D52">
      <w:pPr>
        <w:spacing w:line="300" w:lineRule="auto"/>
        <w:jc w:val="center"/>
        <w:rPr>
          <w:rFonts w:hint="eastAsia" w:hAnsi="宋体"/>
          <w:color w:val="000000" w:themeColor="text1"/>
          <w:highlight w:val="none"/>
          <w14:textFill>
            <w14:solidFill>
              <w14:schemeClr w14:val="tx1"/>
            </w14:solidFill>
          </w14:textFill>
        </w:rPr>
      </w:pPr>
    </w:p>
    <w:p w14:paraId="26AAED60">
      <w:pPr>
        <w:spacing w:line="300" w:lineRule="auto"/>
        <w:jc w:val="center"/>
        <w:rPr>
          <w:rFonts w:hint="eastAsia" w:hAnsi="宋体"/>
          <w:color w:val="000000" w:themeColor="text1"/>
          <w:highlight w:val="none"/>
          <w14:textFill>
            <w14:solidFill>
              <w14:schemeClr w14:val="tx1"/>
            </w14:solidFill>
          </w14:textFill>
        </w:rPr>
      </w:pPr>
    </w:p>
    <w:p w14:paraId="1D463789">
      <w:pPr>
        <w:spacing w:line="300" w:lineRule="auto"/>
        <w:jc w:val="center"/>
        <w:rPr>
          <w:rFonts w:hint="eastAsia" w:hAnsi="宋体"/>
          <w:color w:val="000000" w:themeColor="text1"/>
          <w:highlight w:val="none"/>
          <w14:textFill>
            <w14:solidFill>
              <w14:schemeClr w14:val="tx1"/>
            </w14:solidFill>
          </w14:textFill>
        </w:rPr>
      </w:pPr>
    </w:p>
    <w:p w14:paraId="35047443">
      <w:pPr>
        <w:spacing w:line="300" w:lineRule="auto"/>
        <w:jc w:val="center"/>
        <w:rPr>
          <w:rFonts w:hint="eastAsia" w:hAnsi="宋体"/>
          <w:color w:val="000000" w:themeColor="text1"/>
          <w:highlight w:val="none"/>
          <w14:textFill>
            <w14:solidFill>
              <w14:schemeClr w14:val="tx1"/>
            </w14:solidFill>
          </w14:textFill>
        </w:rPr>
      </w:pPr>
    </w:p>
    <w:p w14:paraId="6BE5F66E">
      <w:pPr>
        <w:spacing w:line="300" w:lineRule="auto"/>
        <w:jc w:val="center"/>
        <w:rPr>
          <w:rFonts w:hint="eastAsia" w:hAnsi="宋体"/>
          <w:color w:val="000000" w:themeColor="text1"/>
          <w:highlight w:val="none"/>
          <w14:textFill>
            <w14:solidFill>
              <w14:schemeClr w14:val="tx1"/>
            </w14:solidFill>
          </w14:textFill>
        </w:rPr>
      </w:pPr>
    </w:p>
    <w:p w14:paraId="53356E35">
      <w:pPr>
        <w:spacing w:line="300" w:lineRule="auto"/>
        <w:jc w:val="center"/>
        <w:rPr>
          <w:rFonts w:hint="eastAsia" w:hAnsi="宋体"/>
          <w:color w:val="000000" w:themeColor="text1"/>
          <w:highlight w:val="none"/>
          <w14:textFill>
            <w14:solidFill>
              <w14:schemeClr w14:val="tx1"/>
            </w14:solidFill>
          </w14:textFill>
        </w:rPr>
      </w:pPr>
    </w:p>
    <w:p w14:paraId="18B8305D">
      <w:pPr>
        <w:spacing w:line="300" w:lineRule="auto"/>
        <w:jc w:val="center"/>
        <w:rPr>
          <w:rFonts w:hint="eastAsia" w:hAnsi="宋体"/>
          <w:color w:val="000000" w:themeColor="text1"/>
          <w:highlight w:val="none"/>
          <w14:textFill>
            <w14:solidFill>
              <w14:schemeClr w14:val="tx1"/>
            </w14:solidFill>
          </w14:textFill>
        </w:rPr>
      </w:pPr>
    </w:p>
    <w:p w14:paraId="51C2C315">
      <w:pPr>
        <w:spacing w:line="300" w:lineRule="auto"/>
        <w:jc w:val="center"/>
        <w:rPr>
          <w:rFonts w:hint="eastAsia" w:hAnsi="宋体"/>
          <w:color w:val="000000" w:themeColor="text1"/>
          <w:highlight w:val="none"/>
          <w14:textFill>
            <w14:solidFill>
              <w14:schemeClr w14:val="tx1"/>
            </w14:solidFill>
          </w14:textFill>
        </w:rPr>
      </w:pPr>
    </w:p>
    <w:p w14:paraId="51210C69">
      <w:pPr>
        <w:spacing w:line="300" w:lineRule="auto"/>
        <w:jc w:val="center"/>
        <w:rPr>
          <w:rFonts w:hint="eastAsia" w:hAnsi="宋体"/>
          <w:color w:val="000000" w:themeColor="text1"/>
          <w:highlight w:val="none"/>
          <w14:textFill>
            <w14:solidFill>
              <w14:schemeClr w14:val="tx1"/>
            </w14:solidFill>
          </w14:textFill>
        </w:rPr>
      </w:pPr>
    </w:p>
    <w:p w14:paraId="19027730">
      <w:pPr>
        <w:rPr>
          <w:rFonts w:hint="eastAsia" w:ascii="宋体" w:hAnsi="宋体"/>
          <w:b/>
          <w:color w:val="000000" w:themeColor="text1"/>
          <w:sz w:val="48"/>
          <w:szCs w:val="48"/>
          <w:highlight w:val="none"/>
          <w:lang w:val="en-US" w:eastAsia="zh-CN"/>
          <w14:textFill>
            <w14:solidFill>
              <w14:schemeClr w14:val="tx1"/>
            </w14:solidFill>
          </w14:textFill>
        </w:rPr>
      </w:pPr>
      <w:r>
        <w:rPr>
          <w:rFonts w:hint="eastAsia" w:ascii="宋体" w:hAnsi="宋体"/>
          <w:b/>
          <w:color w:val="000000" w:themeColor="text1"/>
          <w:sz w:val="48"/>
          <w:szCs w:val="48"/>
          <w:highlight w:val="none"/>
          <w:lang w:val="en-US" w:eastAsia="zh-CN"/>
          <w14:textFill>
            <w14:solidFill>
              <w14:schemeClr w14:val="tx1"/>
            </w14:solidFill>
          </w14:textFill>
        </w:rPr>
        <w:br w:type="page"/>
      </w:r>
    </w:p>
    <w:p w14:paraId="2B8D0F26">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62594F7E">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2ADC9283">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755AD326">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308D5A6E">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223803A9">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0591018B">
      <w:pPr>
        <w:spacing w:line="300" w:lineRule="auto"/>
        <w:jc w:val="center"/>
        <w:rPr>
          <w:rFonts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lang w:val="en-US" w:eastAsia="zh-CN"/>
          <w14:textFill>
            <w14:solidFill>
              <w14:schemeClr w14:val="tx1"/>
            </w14:solidFill>
          </w14:textFill>
        </w:rPr>
        <w:t>第二部分</w:t>
      </w:r>
      <w:r>
        <w:rPr>
          <w:rFonts w:hint="eastAsia" w:ascii="宋体" w:hAnsi="宋体"/>
          <w:b/>
          <w:color w:val="000000" w:themeColor="text1"/>
          <w:sz w:val="48"/>
          <w:szCs w:val="48"/>
          <w:highlight w:val="none"/>
          <w14:textFill>
            <w14:solidFill>
              <w14:schemeClr w14:val="tx1"/>
            </w14:solidFill>
          </w14:textFill>
        </w:rPr>
        <w:t>、补充附件</w:t>
      </w:r>
    </w:p>
    <w:p w14:paraId="5372C975">
      <w:pPr>
        <w:spacing w:line="300"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注：以下部分的附件应后附在投标文件中，作为投标文件的一部分。</w:t>
      </w:r>
    </w:p>
    <w:p w14:paraId="38A13623">
      <w:pPr>
        <w:spacing w:line="300" w:lineRule="auto"/>
        <w:rPr>
          <w:rFonts w:ascii="宋体" w:hAnsi="宋体"/>
          <w:b/>
          <w:color w:val="000000" w:themeColor="text1"/>
          <w:sz w:val="24"/>
          <w:szCs w:val="24"/>
          <w:highlight w:val="none"/>
          <w14:textFill>
            <w14:solidFill>
              <w14:schemeClr w14:val="tx1"/>
            </w14:solidFill>
          </w14:textFill>
        </w:rPr>
      </w:pPr>
    </w:p>
    <w:p w14:paraId="1E4DC2CE">
      <w:pPr>
        <w:outlineLvl w:val="1"/>
        <w:rPr>
          <w:rFonts w:hint="eastAsia" w:ascii="宋体" w:hAnsi="宋体" w:eastAsia="宋体" w:cs="宋体"/>
          <w:b/>
          <w:color w:val="auto"/>
          <w:sz w:val="28"/>
          <w:szCs w:val="28"/>
        </w:rPr>
      </w:pPr>
      <w:r>
        <w:rPr>
          <w:rFonts w:ascii="宋体" w:hAnsi="宋体"/>
          <w:b/>
          <w:color w:val="000000" w:themeColor="text1"/>
          <w:sz w:val="24"/>
          <w:szCs w:val="24"/>
          <w:highlight w:val="none"/>
          <w14:textFill>
            <w14:solidFill>
              <w14:schemeClr w14:val="tx1"/>
            </w14:solidFill>
          </w14:textFill>
        </w:rPr>
        <w:br w:type="page"/>
      </w:r>
      <w:r>
        <w:rPr>
          <w:rFonts w:hint="eastAsia" w:ascii="宋体" w:hAnsi="宋体" w:eastAsia="宋体" w:cs="宋体"/>
          <w:b/>
          <w:color w:val="auto"/>
          <w:sz w:val="28"/>
          <w:szCs w:val="28"/>
        </w:rPr>
        <w:t>附件一、</w:t>
      </w:r>
      <w:bookmarkStart w:id="2" w:name="_Toc435514855"/>
      <w:bookmarkStart w:id="3" w:name="_Toc435515295"/>
      <w:bookmarkStart w:id="4" w:name="_Toc275865606"/>
      <w:r>
        <w:rPr>
          <w:rFonts w:hint="eastAsia" w:ascii="宋体" w:hAnsi="宋体" w:eastAsia="宋体" w:cs="宋体"/>
          <w:b/>
          <w:color w:val="auto"/>
          <w:sz w:val="28"/>
          <w:szCs w:val="28"/>
        </w:rPr>
        <w:t>资格文件</w:t>
      </w:r>
    </w:p>
    <w:p w14:paraId="35871F2E">
      <w:pPr>
        <w:outlineLvl w:val="1"/>
        <w:rPr>
          <w:rFonts w:hint="eastAsia" w:ascii="宋体" w:hAnsi="宋体" w:eastAsia="宋体" w:cs="宋体"/>
          <w:b/>
          <w:szCs w:val="21"/>
          <w:lang w:val="en-US" w:eastAsia="zh-CN"/>
        </w:rPr>
      </w:pPr>
    </w:p>
    <w:p w14:paraId="6FE448DA">
      <w:pPr>
        <w:outlineLvl w:val="1"/>
        <w:rPr>
          <w:rFonts w:hint="eastAsia" w:ascii="宋体" w:hAnsi="宋体" w:eastAsia="宋体" w:cs="宋体"/>
          <w:b/>
          <w:sz w:val="28"/>
          <w:szCs w:val="28"/>
        </w:rPr>
      </w:pPr>
      <w:r>
        <w:rPr>
          <w:rFonts w:hint="eastAsia" w:ascii="宋体" w:hAnsi="宋体" w:eastAsia="宋体" w:cs="宋体"/>
          <w:b/>
          <w:szCs w:val="21"/>
          <w:lang w:val="en-US" w:eastAsia="zh-CN"/>
        </w:rPr>
        <w:t>1.1</w:t>
      </w:r>
      <w:r>
        <w:rPr>
          <w:rFonts w:hint="eastAsia" w:ascii="宋体" w:hAnsi="宋体" w:eastAsia="宋体" w:cs="宋体"/>
          <w:b/>
          <w:szCs w:val="21"/>
        </w:rPr>
        <w:t>投标人资格声明函</w:t>
      </w:r>
      <w:bookmarkEnd w:id="2"/>
      <w:bookmarkEnd w:id="3"/>
      <w:bookmarkEnd w:id="4"/>
    </w:p>
    <w:p w14:paraId="2CE56960">
      <w:pPr>
        <w:adjustRightInd w:val="0"/>
        <w:snapToGrid w:val="0"/>
        <w:spacing w:line="360" w:lineRule="auto"/>
        <w:rPr>
          <w:rFonts w:hint="eastAsia" w:ascii="宋体" w:hAnsi="宋体" w:eastAsia="宋体" w:cs="宋体"/>
          <w:b/>
          <w:szCs w:val="21"/>
        </w:rPr>
      </w:pPr>
    </w:p>
    <w:p w14:paraId="10625062">
      <w:pPr>
        <w:adjustRightInd w:val="0"/>
        <w:snapToGrid w:val="0"/>
        <w:spacing w:line="360" w:lineRule="auto"/>
        <w:rPr>
          <w:rFonts w:hint="eastAsia" w:ascii="宋体" w:hAnsi="宋体" w:eastAsia="宋体" w:cs="宋体"/>
          <w:b/>
          <w:lang w:eastAsia="zh-CN"/>
        </w:rPr>
      </w:pPr>
      <w:r>
        <w:rPr>
          <w:rFonts w:hint="eastAsia" w:ascii="宋体" w:hAnsi="宋体" w:eastAsia="宋体" w:cs="宋体"/>
          <w:b/>
          <w:szCs w:val="21"/>
        </w:rPr>
        <w:t>国义招标股份有限公司</w:t>
      </w:r>
      <w:r>
        <w:rPr>
          <w:rFonts w:hint="eastAsia" w:ascii="宋体" w:hAnsi="宋体" w:eastAsia="宋体" w:cs="宋体"/>
          <w:b/>
          <w:szCs w:val="21"/>
          <w:lang w:eastAsia="zh-CN"/>
        </w:rPr>
        <w:t>：</w:t>
      </w:r>
    </w:p>
    <w:p w14:paraId="01869B68">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关于贵公司</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日发布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项目（项目编号：0724-XXXXXXXX）的采购公告，本公司（企业）愿意参加投标，并声明：</w:t>
      </w:r>
    </w:p>
    <w:p w14:paraId="3E59E320">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(1)本公司（企业）具备《中华人民共和国政府采购法》第二十二条资格条件，并已清楚招标文件的要求及有关文件规定。</w:t>
      </w:r>
    </w:p>
    <w:p w14:paraId="22E75F3B">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(2)本公司（企业）具有良好的商业信誉和健全的财务会计制度</w:t>
      </w:r>
      <w:r>
        <w:rPr>
          <w:rFonts w:hint="eastAsia" w:ascii="宋体" w:hAnsi="宋体" w:eastAsia="宋体" w:cs="宋体"/>
          <w:color w:val="auto"/>
          <w:highlight w:val="none"/>
          <w:lang w:val="zh-CN"/>
        </w:rPr>
        <w:t>；</w:t>
      </w:r>
      <w:r>
        <w:rPr>
          <w:rFonts w:hint="eastAsia" w:ascii="宋体" w:hAnsi="宋体" w:eastAsia="宋体" w:cs="宋体"/>
          <w:color w:val="auto"/>
          <w:highlight w:val="none"/>
        </w:rPr>
        <w:t>有依法缴纳税收和社会保障资金的良好记录</w:t>
      </w:r>
      <w:r>
        <w:rPr>
          <w:rFonts w:hint="eastAsia" w:ascii="宋体" w:hAnsi="宋体" w:eastAsia="宋体" w:cs="宋体"/>
          <w:color w:val="auto"/>
          <w:highlight w:val="none"/>
          <w:lang w:val="zh-CN"/>
        </w:rPr>
        <w:t>；</w:t>
      </w:r>
      <w:r>
        <w:rPr>
          <w:rFonts w:hint="eastAsia" w:ascii="宋体" w:hAnsi="宋体" w:eastAsia="宋体" w:cs="宋体"/>
          <w:color w:val="auto"/>
          <w:highlight w:val="none"/>
        </w:rPr>
        <w:t>具有履行合同所必需的设备和专业技术能力，且本公司（企业）参加政府采购活动前3年内在经营活动中没有重大违法记录。否则，由此所造成的损失、不良后果及法律责任，一律由我公司（企业）承担。</w:t>
      </w:r>
    </w:p>
    <w:p w14:paraId="5334D588">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(3)关于本企业信用情况，经对“信用中国”网站（www.creditchina.gov.cn）、“中国政府采购网”（ www.ccgp.gov.cn）信用记录信息的查询，截至规定的投标截止时间，我司没有被列入失信被执行人、税收违法黑名单、政府采购、环境保护、知识产权等领域严重违法失信行为记录名单中。</w:t>
      </w:r>
    </w:p>
    <w:p w14:paraId="37106D02">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(4)经核实，本公司不存在以下情况：单位负责人为同一人或者存在直接控股、管理关系的不同供应商，参加同一合同项下的政府采购活动。</w:t>
      </w:r>
    </w:p>
    <w:p w14:paraId="2E918AA5">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(5) 经核实，本公司不存在以下情况：为采购项目提供整体设计、规范编制或者项目管理、监理、检测等服务的供应商，再参加该采购项目的其他采购活动。</w:t>
      </w:r>
    </w:p>
    <w:p w14:paraId="44F2EA66">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（6）本公司不属于联合体投标，承诺如果中标不分包转包。</w:t>
      </w:r>
    </w:p>
    <w:p w14:paraId="1FB5DFDF">
      <w:pPr>
        <w:adjustRightInd w:val="0"/>
        <w:snapToGrid w:val="0"/>
        <w:spacing w:line="360" w:lineRule="auto"/>
        <w:ind w:firstLine="444" w:firstLineChars="20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本公司</w:t>
      </w:r>
      <w:r>
        <w:rPr>
          <w:rFonts w:hint="eastAsia" w:ascii="宋体" w:hAnsi="宋体" w:eastAsia="宋体" w:cs="宋体"/>
          <w:color w:val="auto"/>
          <w:highlight w:val="none"/>
          <w:lang w:eastAsia="zh-CN"/>
        </w:rPr>
        <w:t>符合法律、行政法规规定的其他条件。</w:t>
      </w:r>
    </w:p>
    <w:p w14:paraId="4C62584B">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本次招标采购活动中，本单位保证全部投标文件和问题的回答是真实和有效的，并对所提供资料的真实性和正确性承担法律责任。</w:t>
      </w:r>
    </w:p>
    <w:p w14:paraId="65331461">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如有违法、违规、弄虚作假行为，所造成的损失、不良后果及法律责任，一律由我公司（企业）承担。</w:t>
      </w:r>
    </w:p>
    <w:p w14:paraId="01FC49B5">
      <w:pPr>
        <w:spacing w:line="360" w:lineRule="auto"/>
        <w:ind w:firstLine="420"/>
        <w:rPr>
          <w:rFonts w:hint="eastAsia" w:ascii="宋体" w:hAnsi="宋体" w:eastAsia="宋体" w:cs="宋体"/>
          <w:color w:val="auto"/>
          <w:szCs w:val="21"/>
          <w:highlight w:val="none"/>
        </w:rPr>
      </w:pPr>
      <w:r>
        <w:rPr>
          <w:rFonts w:hint="eastAsia" w:ascii="宋体" w:hAnsi="宋体" w:eastAsia="宋体" w:cs="宋体"/>
          <w:b/>
          <w:color w:val="auto"/>
          <w:highlight w:val="none"/>
        </w:rPr>
        <w:t>特此声明！</w:t>
      </w:r>
    </w:p>
    <w:p w14:paraId="6DBDBB72">
      <w:pPr>
        <w:spacing w:line="360" w:lineRule="auto"/>
        <w:rPr>
          <w:rFonts w:hint="eastAsia" w:ascii="宋体" w:hAnsi="宋体" w:eastAsia="宋体" w:cs="宋体"/>
          <w:highlight w:val="none"/>
        </w:rPr>
      </w:pPr>
      <w:r>
        <w:rPr>
          <w:rFonts w:hint="eastAsia" w:ascii="宋体" w:hAnsi="宋体" w:eastAsia="宋体" w:cs="宋体"/>
          <w:b/>
          <w:highlight w:val="none"/>
        </w:rPr>
        <w:t>附件：</w:t>
      </w:r>
    </w:p>
    <w:p w14:paraId="400E42AB">
      <w:pPr>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企业股东构成情况表</w:t>
      </w:r>
    </w:p>
    <w:p w14:paraId="2E213FB9">
      <w:pPr>
        <w:adjustRightInd w:val="0"/>
        <w:snapToGrid w:val="0"/>
        <w:rPr>
          <w:rFonts w:hint="eastAsia" w:ascii="宋体" w:hAnsi="宋体" w:eastAsia="宋体" w:cs="宋体"/>
          <w:szCs w:val="21"/>
        </w:rPr>
      </w:pPr>
    </w:p>
    <w:p w14:paraId="73DFD514">
      <w:pPr>
        <w:adjustRightInd w:val="0"/>
        <w:snapToGrid w:val="0"/>
        <w:rPr>
          <w:rFonts w:hint="eastAsia" w:ascii="宋体" w:hAnsi="宋体" w:eastAsia="宋体" w:cs="宋体"/>
          <w:szCs w:val="21"/>
        </w:rPr>
      </w:pPr>
      <w:r>
        <w:rPr>
          <w:rFonts w:hint="eastAsia" w:ascii="宋体" w:hAnsi="宋体" w:eastAsia="宋体" w:cs="宋体"/>
          <w:szCs w:val="21"/>
        </w:rPr>
        <w:t>投标人法定代表人（或法定代表人授权代表）签字：</w:t>
      </w:r>
      <w:r>
        <w:rPr>
          <w:rFonts w:hint="eastAsia" w:ascii="宋体" w:hAnsi="宋体" w:eastAsia="宋体" w:cs="宋体"/>
          <w:szCs w:val="21"/>
          <w:u w:val="single"/>
        </w:rPr>
        <w:t xml:space="preserve">                   </w:t>
      </w:r>
    </w:p>
    <w:p w14:paraId="428E53A8">
      <w:pPr>
        <w:adjustRightInd w:val="0"/>
        <w:snapToGrid w:val="0"/>
        <w:rPr>
          <w:rFonts w:hint="eastAsia" w:ascii="宋体" w:hAnsi="宋体" w:eastAsia="宋体" w:cs="宋体"/>
          <w:szCs w:val="21"/>
          <w:u w:val="single"/>
        </w:rPr>
      </w:pPr>
      <w:r>
        <w:rPr>
          <w:rFonts w:hint="eastAsia" w:ascii="宋体" w:hAnsi="宋体" w:eastAsia="宋体" w:cs="宋体"/>
          <w:szCs w:val="21"/>
        </w:rPr>
        <w:t>投标人名称（加盖公章）：</w:t>
      </w:r>
      <w:r>
        <w:rPr>
          <w:rFonts w:hint="eastAsia" w:ascii="宋体" w:hAnsi="宋体" w:eastAsia="宋体" w:cs="宋体"/>
          <w:szCs w:val="21"/>
          <w:u w:val="single"/>
        </w:rPr>
        <w:t xml:space="preserve">                        </w:t>
      </w:r>
    </w:p>
    <w:p w14:paraId="31231283">
      <w:pPr>
        <w:adjustRightInd w:val="0"/>
        <w:snapToGrid w:val="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 月</w:t>
      </w:r>
      <w:r>
        <w:rPr>
          <w:rFonts w:hint="eastAsia" w:ascii="宋体" w:hAnsi="宋体" w:eastAsia="宋体" w:cs="宋体"/>
          <w:szCs w:val="21"/>
          <w:u w:val="single"/>
        </w:rPr>
        <w:t xml:space="preserve">    </w:t>
      </w:r>
      <w:r>
        <w:rPr>
          <w:rFonts w:hint="eastAsia" w:ascii="宋体" w:hAnsi="宋体" w:eastAsia="宋体" w:cs="宋体"/>
          <w:szCs w:val="21"/>
        </w:rPr>
        <w:t xml:space="preserve"> 日</w:t>
      </w:r>
    </w:p>
    <w:p w14:paraId="0DAD3A2D">
      <w:pPr>
        <w:jc w:val="center"/>
        <w:rPr>
          <w:rFonts w:hint="eastAsia" w:ascii="宋体" w:hAnsi="宋体" w:eastAsia="宋体" w:cs="宋体"/>
          <w:b/>
          <w:sz w:val="28"/>
          <w:szCs w:val="28"/>
          <w:highlight w:val="none"/>
        </w:rPr>
      </w:pPr>
      <w:r>
        <w:rPr>
          <w:rFonts w:hint="eastAsia" w:ascii="宋体" w:hAnsi="宋体" w:eastAsia="宋体" w:cs="宋体"/>
          <w:b/>
          <w:color w:val="auto"/>
          <w:sz w:val="36"/>
          <w:szCs w:val="36"/>
        </w:rPr>
        <w:br w:type="page"/>
      </w:r>
      <w:r>
        <w:rPr>
          <w:rFonts w:hint="eastAsia" w:ascii="宋体" w:hAnsi="宋体" w:eastAsia="宋体" w:cs="宋体"/>
          <w:b/>
          <w:sz w:val="28"/>
          <w:szCs w:val="28"/>
          <w:highlight w:val="none"/>
        </w:rPr>
        <w:t>企业股东构成情况表</w:t>
      </w:r>
    </w:p>
    <w:p w14:paraId="089FFDDB">
      <w:pPr>
        <w:jc w:val="left"/>
        <w:rPr>
          <w:rFonts w:hint="eastAsia" w:ascii="宋体" w:hAnsi="宋体" w:eastAsia="宋体" w:cs="宋体"/>
          <w:b/>
          <w:sz w:val="24"/>
          <w:highlight w:val="none"/>
        </w:rPr>
      </w:pPr>
    </w:p>
    <w:tbl>
      <w:tblPr>
        <w:tblStyle w:val="22"/>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70C1A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3DA1A54D">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noWrap w:val="0"/>
            <w:vAlign w:val="center"/>
          </w:tcPr>
          <w:p w14:paraId="273958F7">
            <w:pPr>
              <w:topLinePunct/>
              <w:spacing w:line="440" w:lineRule="exact"/>
              <w:jc w:val="center"/>
              <w:rPr>
                <w:rFonts w:hint="eastAsia" w:ascii="宋体" w:hAnsi="宋体" w:eastAsia="宋体" w:cs="宋体"/>
                <w:szCs w:val="21"/>
                <w:highlight w:val="none"/>
              </w:rPr>
            </w:pPr>
          </w:p>
        </w:tc>
      </w:tr>
      <w:tr w14:paraId="47BD2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1D1988BD">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14:paraId="7D93B3D6">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45704BE6">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14:paraId="4564E12D">
            <w:pPr>
              <w:topLinePunct/>
              <w:spacing w:line="440" w:lineRule="exact"/>
              <w:jc w:val="center"/>
              <w:rPr>
                <w:rFonts w:hint="eastAsia" w:ascii="宋体" w:hAnsi="宋体" w:eastAsia="宋体" w:cs="宋体"/>
                <w:szCs w:val="21"/>
                <w:highlight w:val="none"/>
              </w:rPr>
            </w:pPr>
          </w:p>
        </w:tc>
      </w:tr>
      <w:tr w14:paraId="6929F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12B7AC66">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14:paraId="68A8555E">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494877F7">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14:paraId="78BA83C0">
            <w:pPr>
              <w:topLinePunct/>
              <w:spacing w:line="440" w:lineRule="exact"/>
              <w:jc w:val="center"/>
              <w:rPr>
                <w:rFonts w:hint="eastAsia" w:ascii="宋体" w:hAnsi="宋体" w:eastAsia="宋体" w:cs="宋体"/>
                <w:szCs w:val="21"/>
                <w:highlight w:val="none"/>
              </w:rPr>
            </w:pPr>
          </w:p>
        </w:tc>
      </w:tr>
      <w:tr w14:paraId="26578D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noWrap w:val="0"/>
            <w:vAlign w:val="center"/>
          </w:tcPr>
          <w:p w14:paraId="0052FEE7">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股东及出资信息</w:t>
            </w:r>
          </w:p>
        </w:tc>
      </w:tr>
      <w:tr w14:paraId="4153D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71953E6">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5596349">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7919F49">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股东类型</w:t>
            </w:r>
          </w:p>
          <w:p w14:paraId="26778B31">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03E33204">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身份证号</w:t>
            </w:r>
          </w:p>
          <w:p w14:paraId="2D5974E4">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3F9956AB">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DF72D96">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87F477E">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占全部股份比例</w:t>
            </w:r>
          </w:p>
        </w:tc>
      </w:tr>
      <w:tr w14:paraId="13B28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6A6CE13">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E612EF6">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639D1FA">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44CB744D">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68B83391">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325D87B">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C20284B">
            <w:pPr>
              <w:topLinePunct/>
              <w:spacing w:line="440" w:lineRule="exact"/>
              <w:jc w:val="center"/>
              <w:rPr>
                <w:rFonts w:hint="eastAsia" w:ascii="宋体" w:hAnsi="宋体" w:eastAsia="宋体" w:cs="宋体"/>
                <w:szCs w:val="21"/>
                <w:highlight w:val="none"/>
              </w:rPr>
            </w:pPr>
          </w:p>
        </w:tc>
      </w:tr>
      <w:tr w14:paraId="372919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ACC71CB">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B28ED12">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6A2AD70">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75D6FBD3">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20E41A99">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6B0478">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1A1C09">
            <w:pPr>
              <w:topLinePunct/>
              <w:spacing w:line="440" w:lineRule="exact"/>
              <w:jc w:val="center"/>
              <w:rPr>
                <w:rFonts w:hint="eastAsia" w:ascii="宋体" w:hAnsi="宋体" w:eastAsia="宋体" w:cs="宋体"/>
                <w:szCs w:val="21"/>
                <w:highlight w:val="none"/>
              </w:rPr>
            </w:pPr>
          </w:p>
        </w:tc>
      </w:tr>
      <w:tr w14:paraId="6043D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9D2993C">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0FA9C8F">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DD27295">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69C221C7">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74D9AA3B">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8E579B9">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FA31427">
            <w:pPr>
              <w:topLinePunct/>
              <w:spacing w:line="440" w:lineRule="exact"/>
              <w:jc w:val="center"/>
              <w:rPr>
                <w:rFonts w:hint="eastAsia" w:ascii="宋体" w:hAnsi="宋体" w:eastAsia="宋体" w:cs="宋体"/>
                <w:szCs w:val="21"/>
                <w:highlight w:val="none"/>
              </w:rPr>
            </w:pPr>
          </w:p>
        </w:tc>
      </w:tr>
      <w:tr w14:paraId="4C0E89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A04880D">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C7C0D11">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46798AC">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1E2A7BD5">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5B72501F">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904827F">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B235060">
            <w:pPr>
              <w:topLinePunct/>
              <w:spacing w:line="440" w:lineRule="exact"/>
              <w:jc w:val="center"/>
              <w:rPr>
                <w:rFonts w:hint="eastAsia" w:ascii="宋体" w:hAnsi="宋体" w:eastAsia="宋体" w:cs="宋体"/>
                <w:szCs w:val="21"/>
                <w:highlight w:val="none"/>
              </w:rPr>
            </w:pPr>
          </w:p>
        </w:tc>
      </w:tr>
      <w:tr w14:paraId="046FC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7D0EDFD">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7511196">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0A397AA">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06BB2565">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275F00FB">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E877E78">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94A54C">
            <w:pPr>
              <w:topLinePunct/>
              <w:spacing w:line="440" w:lineRule="exact"/>
              <w:jc w:val="center"/>
              <w:rPr>
                <w:rFonts w:hint="eastAsia" w:ascii="宋体" w:hAnsi="宋体" w:eastAsia="宋体" w:cs="宋体"/>
                <w:szCs w:val="21"/>
                <w:highlight w:val="none"/>
              </w:rPr>
            </w:pPr>
          </w:p>
        </w:tc>
      </w:tr>
      <w:tr w14:paraId="21784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7E1685C6">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D9F9755">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E23D61B">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3219D4A7">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142A1FE6">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43A397">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E83018E">
            <w:pPr>
              <w:topLinePunct/>
              <w:spacing w:line="440" w:lineRule="exact"/>
              <w:jc w:val="center"/>
              <w:rPr>
                <w:rFonts w:hint="eastAsia" w:ascii="宋体" w:hAnsi="宋体" w:eastAsia="宋体" w:cs="宋体"/>
                <w:szCs w:val="21"/>
                <w:highlight w:val="none"/>
              </w:rPr>
            </w:pPr>
          </w:p>
        </w:tc>
      </w:tr>
    </w:tbl>
    <w:p w14:paraId="45CB9620">
      <w:pPr>
        <w:jc w:val="left"/>
        <w:rPr>
          <w:rFonts w:hint="eastAsia" w:ascii="宋体" w:hAnsi="宋体" w:eastAsia="宋体" w:cs="宋体"/>
          <w:szCs w:val="21"/>
          <w:highlight w:val="none"/>
        </w:rPr>
      </w:pPr>
    </w:p>
    <w:p w14:paraId="77A69074">
      <w:pPr>
        <w:jc w:val="left"/>
        <w:rPr>
          <w:rFonts w:hint="eastAsia" w:ascii="宋体" w:hAnsi="宋体" w:eastAsia="宋体" w:cs="宋体"/>
          <w:szCs w:val="21"/>
          <w:highlight w:val="none"/>
        </w:rPr>
      </w:pPr>
      <w:r>
        <w:rPr>
          <w:rFonts w:hint="eastAsia" w:ascii="宋体" w:hAnsi="宋体" w:eastAsia="宋体" w:cs="宋体"/>
          <w:szCs w:val="21"/>
          <w:highlight w:val="none"/>
        </w:rPr>
        <w:t>备注：</w:t>
      </w:r>
    </w:p>
    <w:p w14:paraId="2D22C685">
      <w:pPr>
        <w:jc w:val="left"/>
        <w:rPr>
          <w:rFonts w:hint="eastAsia" w:ascii="宋体" w:hAnsi="宋体" w:eastAsia="宋体" w:cs="宋体"/>
          <w:szCs w:val="21"/>
          <w:highlight w:val="none"/>
        </w:rPr>
      </w:pPr>
      <w:r>
        <w:rPr>
          <w:rFonts w:hint="eastAsia" w:ascii="宋体" w:hAnsi="宋体" w:eastAsia="宋体" w:cs="宋体"/>
          <w:szCs w:val="21"/>
          <w:highlight w:val="none"/>
        </w:rPr>
        <w:t>1.股东或出资人为自然人的，填写自然人姓名及身份证号；股东或出资人为法人的，填写法人企业全称及统一社会信用代码。出资方式填写：货物、实物、工艺产权和非专利技术、土地使用权等。</w:t>
      </w:r>
    </w:p>
    <w:p w14:paraId="6EDAA8E7">
      <w:pPr>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 w:val="20"/>
          <w:szCs w:val="18"/>
          <w:highlight w:val="none"/>
        </w:rPr>
        <w:t>投标人必须如实填写股东构成情况</w:t>
      </w:r>
      <w:r>
        <w:rPr>
          <w:rFonts w:hint="eastAsia" w:ascii="宋体" w:hAnsi="宋体" w:eastAsia="宋体" w:cs="宋体"/>
          <w:szCs w:val="21"/>
          <w:highlight w:val="none"/>
        </w:rPr>
        <w:t>，具体信息情况应与“国家企业信用信息公示系统” (网站：</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"http://www.gsxt.gov.cn)查询的信息一致。" </w:instrText>
      </w:r>
      <w:r>
        <w:rPr>
          <w:rFonts w:hint="eastAsia" w:ascii="宋体" w:hAnsi="宋体" w:eastAsia="宋体" w:cs="宋体"/>
          <w:szCs w:val="21"/>
          <w:highlight w:val="none"/>
        </w:rPr>
        <w:fldChar w:fldCharType="separate"/>
      </w:r>
      <w:r>
        <w:rPr>
          <w:rStyle w:val="28"/>
          <w:rFonts w:hint="eastAsia" w:ascii="宋体" w:hAnsi="宋体" w:eastAsia="宋体" w:cs="宋体"/>
          <w:szCs w:val="21"/>
          <w:highlight w:val="none"/>
        </w:rPr>
        <w:t>http://www.gsxt.gov.cn)查询的信息一致。</w:t>
      </w:r>
      <w:r>
        <w:rPr>
          <w:rFonts w:hint="eastAsia" w:ascii="宋体" w:hAnsi="宋体" w:eastAsia="宋体" w:cs="宋体"/>
          <w:szCs w:val="21"/>
          <w:highlight w:val="none"/>
        </w:rPr>
        <w:fldChar w:fldCharType="end"/>
      </w:r>
    </w:p>
    <w:p w14:paraId="030C9E66">
      <w:pPr>
        <w:tabs>
          <w:tab w:val="left" w:pos="654"/>
          <w:tab w:val="left" w:pos="1734"/>
          <w:tab w:val="left" w:pos="2814"/>
          <w:tab w:val="left" w:pos="3894"/>
          <w:tab w:val="left" w:pos="5334"/>
          <w:tab w:val="left" w:pos="6414"/>
          <w:tab w:val="left" w:pos="7254"/>
          <w:tab w:val="left" w:pos="8574"/>
          <w:tab w:val="left" w:pos="9654"/>
        </w:tabs>
        <w:jc w:val="left"/>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.2政府采购活动信用记录自查承诺函</w:t>
      </w:r>
    </w:p>
    <w:p w14:paraId="78108838">
      <w:pPr>
        <w:ind w:left="405"/>
        <w:rPr>
          <w:rFonts w:hint="eastAsia" w:ascii="宋体" w:hAnsi="宋体" w:eastAsia="宋体" w:cs="宋体"/>
          <w:sz w:val="24"/>
          <w:highlight w:val="none"/>
        </w:rPr>
      </w:pPr>
    </w:p>
    <w:p w14:paraId="2970F868">
      <w:pPr>
        <w:adjustRightInd w:val="0"/>
        <w:snapToGrid w:val="0"/>
        <w:spacing w:line="360" w:lineRule="auto"/>
        <w:ind w:firstLine="440" w:firstLineChars="200"/>
        <w:rPr>
          <w:rFonts w:hint="eastAsia" w:ascii="宋体" w:hAnsi="宋体" w:eastAsia="宋体" w:cs="宋体"/>
          <w:szCs w:val="21"/>
          <w:highlight w:val="none"/>
        </w:rPr>
      </w:pPr>
    </w:p>
    <w:p w14:paraId="7F8AFAA7">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国义招标股份有限公司：</w:t>
      </w:r>
    </w:p>
    <w:p w14:paraId="170F18AA">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  关于本企业信用情况，经对“信用中国”网站（www.creditchina.gov.cn）中企业信用信息、“中国政府采购网”（ www.ccgp.gov.cn）“政府采购严重违法失信行为信息记录”的网上查询，截至规定的投标截止时间，我司没有被列入失信被执行人、税收违法黑名单、政府采购严重违法失信行为记录名单及其他不符合规定条件的供应商名单中。特此承诺！</w:t>
      </w:r>
    </w:p>
    <w:p w14:paraId="1D3B3C66">
      <w:pPr>
        <w:ind w:left="405"/>
        <w:rPr>
          <w:rFonts w:hint="eastAsia" w:ascii="宋体" w:hAnsi="宋体" w:eastAsia="宋体" w:cs="宋体"/>
          <w:b/>
          <w:szCs w:val="21"/>
          <w:highlight w:val="none"/>
        </w:rPr>
      </w:pPr>
    </w:p>
    <w:p w14:paraId="1C4313A6">
      <w:pPr>
        <w:ind w:left="405"/>
        <w:rPr>
          <w:rFonts w:hint="eastAsia" w:ascii="宋体" w:hAnsi="宋体" w:eastAsia="宋体" w:cs="宋体"/>
          <w:b/>
          <w:szCs w:val="21"/>
          <w:highlight w:val="none"/>
        </w:rPr>
      </w:pPr>
    </w:p>
    <w:p w14:paraId="6C4313C0">
      <w:pPr>
        <w:ind w:left="405"/>
        <w:rPr>
          <w:rFonts w:hint="eastAsia" w:ascii="宋体" w:hAnsi="宋体" w:eastAsia="宋体" w:cs="宋体"/>
          <w:b/>
          <w:szCs w:val="21"/>
          <w:highlight w:val="none"/>
        </w:rPr>
      </w:pPr>
    </w:p>
    <w:p w14:paraId="096D15D0">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4FE1292">
      <w:pPr>
        <w:adjustRightInd w:val="0"/>
        <w:snapToGrid w:val="0"/>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122D0BE8">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日</w:t>
      </w:r>
    </w:p>
    <w:p w14:paraId="40101849">
      <w:pPr>
        <w:ind w:left="405"/>
        <w:rPr>
          <w:rFonts w:hint="eastAsia" w:ascii="宋体" w:hAnsi="宋体" w:eastAsia="宋体" w:cs="宋体"/>
          <w:b/>
          <w:szCs w:val="21"/>
          <w:highlight w:val="none"/>
        </w:rPr>
      </w:pPr>
    </w:p>
    <w:p w14:paraId="482A58F1">
      <w:pPr>
        <w:ind w:left="405"/>
        <w:rPr>
          <w:rFonts w:hint="eastAsia" w:ascii="宋体" w:hAnsi="宋体" w:eastAsia="宋体" w:cs="宋体"/>
          <w:b/>
          <w:szCs w:val="21"/>
          <w:highlight w:val="none"/>
        </w:rPr>
      </w:pPr>
    </w:p>
    <w:p w14:paraId="36F39D4D">
      <w:pPr>
        <w:rPr>
          <w:rFonts w:hint="eastAsia" w:ascii="宋体" w:hAnsi="宋体" w:eastAsia="宋体" w:cs="宋体"/>
          <w:b/>
          <w:szCs w:val="21"/>
          <w:highlight w:val="none"/>
        </w:rPr>
      </w:pPr>
      <w:r>
        <w:rPr>
          <w:rFonts w:hint="eastAsia" w:ascii="宋体" w:hAnsi="宋体" w:eastAsia="宋体" w:cs="宋体"/>
          <w:b/>
          <w:szCs w:val="21"/>
          <w:highlight w:val="none"/>
        </w:rPr>
        <w:t>备注：采购方将对函件内容的真实性和有效性进行审查、验证，如有造假或情况不一致，将导致投标无效！</w:t>
      </w:r>
    </w:p>
    <w:p w14:paraId="5C37B217">
      <w:pPr>
        <w:rPr>
          <w:rFonts w:hint="eastAsia" w:ascii="宋体" w:hAnsi="宋体" w:eastAsia="宋体" w:cs="宋体"/>
          <w:b/>
          <w:szCs w:val="21"/>
          <w:highlight w:val="none"/>
        </w:rPr>
      </w:pPr>
    </w:p>
    <w:p w14:paraId="1392169C">
      <w:pPr>
        <w:rPr>
          <w:rFonts w:hint="eastAsia" w:ascii="宋体" w:hAnsi="宋体" w:eastAsia="宋体" w:cs="宋体"/>
          <w:b/>
          <w:sz w:val="24"/>
          <w:highlight w:val="none"/>
        </w:rPr>
      </w:pPr>
    </w:p>
    <w:p w14:paraId="7705FB11">
      <w:pPr>
        <w:rPr>
          <w:rFonts w:hint="eastAsia" w:ascii="宋体" w:hAnsi="宋体" w:eastAsia="宋体" w:cs="宋体"/>
          <w:b/>
          <w:sz w:val="24"/>
          <w:highlight w:val="none"/>
        </w:rPr>
      </w:pPr>
    </w:p>
    <w:p w14:paraId="7FEC07BA">
      <w:pPr>
        <w:rPr>
          <w:rFonts w:hint="eastAsia" w:ascii="宋体" w:hAnsi="宋体" w:eastAsia="宋体" w:cs="宋体"/>
          <w:b/>
          <w:sz w:val="24"/>
          <w:highlight w:val="none"/>
        </w:rPr>
      </w:pPr>
    </w:p>
    <w:p w14:paraId="6534A704">
      <w:pPr>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br w:type="page"/>
      </w:r>
    </w:p>
    <w:p w14:paraId="6A82C448">
      <w:pPr>
        <w:rPr>
          <w:rFonts w:hint="eastAsia" w:hAnsi="宋体" w:cs="宋体"/>
          <w:b/>
          <w:sz w:val="24"/>
          <w:highlight w:val="none"/>
          <w:lang w:val="en-US" w:eastAsia="zh-CN"/>
        </w:rPr>
      </w:pPr>
      <w:r>
        <w:rPr>
          <w:rFonts w:hint="eastAsia" w:ascii="宋体" w:hAnsi="宋体" w:eastAsia="宋体" w:cs="宋体"/>
          <w:b/>
          <w:sz w:val="24"/>
          <w:highlight w:val="none"/>
          <w:lang w:val="en-US" w:eastAsia="zh-CN"/>
        </w:rPr>
        <w:t>1.3法定代表人授权代表声明函</w:t>
      </w:r>
    </w:p>
    <w:p w14:paraId="459BB631">
      <w:pPr>
        <w:jc w:val="center"/>
        <w:outlineLvl w:val="1"/>
        <w:rPr>
          <w:rFonts w:hint="eastAsia" w:ascii="宋体" w:hAnsi="宋体" w:eastAsia="宋体" w:cs="宋体"/>
          <w:b/>
          <w:sz w:val="28"/>
          <w:szCs w:val="28"/>
        </w:rPr>
      </w:pPr>
      <w:r>
        <w:rPr>
          <w:rFonts w:hint="eastAsia" w:ascii="宋体" w:hAnsi="宋体" w:eastAsia="宋体" w:cs="宋体"/>
          <w:b/>
          <w:szCs w:val="21"/>
        </w:rPr>
        <w:t>法定代表人授权代表声明函</w:t>
      </w:r>
    </w:p>
    <w:p w14:paraId="71046F8E">
      <w:pPr>
        <w:adjustRightInd w:val="0"/>
        <w:snapToGrid w:val="0"/>
        <w:spacing w:line="360" w:lineRule="auto"/>
        <w:rPr>
          <w:rFonts w:hint="eastAsia" w:ascii="宋体" w:hAnsi="宋体" w:eastAsia="宋体" w:cs="宋体"/>
          <w:b/>
          <w:szCs w:val="21"/>
        </w:rPr>
      </w:pPr>
    </w:p>
    <w:p w14:paraId="24B6E925">
      <w:pPr>
        <w:adjustRightInd w:val="0"/>
        <w:snapToGrid w:val="0"/>
        <w:spacing w:line="360" w:lineRule="auto"/>
        <w:rPr>
          <w:rFonts w:hint="eastAsia" w:ascii="宋体" w:hAnsi="宋体" w:eastAsia="宋体" w:cs="宋体"/>
          <w:b/>
          <w:lang w:eastAsia="zh-CN"/>
        </w:rPr>
      </w:pPr>
      <w:r>
        <w:rPr>
          <w:rFonts w:hint="eastAsia" w:hAnsi="宋体" w:cs="宋体"/>
          <w:b/>
          <w:szCs w:val="21"/>
          <w:lang w:val="en-US" w:eastAsia="zh-CN"/>
        </w:rPr>
        <w:t>国义招标股份有限公司</w:t>
      </w:r>
      <w:r>
        <w:rPr>
          <w:rFonts w:hint="eastAsia" w:ascii="宋体" w:hAnsi="宋体" w:eastAsia="宋体" w:cs="宋体"/>
          <w:b/>
          <w:szCs w:val="21"/>
          <w:lang w:eastAsia="zh-CN"/>
        </w:rPr>
        <w:t>：</w:t>
      </w:r>
    </w:p>
    <w:p w14:paraId="1300A5A2">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关于贵公司</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日发布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项目（项目编号：0724-XXXXXXXX）的采购</w:t>
      </w:r>
      <w:r>
        <w:rPr>
          <w:rFonts w:hint="eastAsia" w:hAnsi="宋体" w:cs="宋体"/>
          <w:color w:val="auto"/>
          <w:highlight w:val="none"/>
          <w:lang w:val="en-US" w:eastAsia="zh-CN"/>
        </w:rPr>
        <w:t>项目</w:t>
      </w:r>
      <w:r>
        <w:rPr>
          <w:rFonts w:hint="eastAsia" w:ascii="宋体" w:hAnsi="宋体" w:eastAsia="宋体" w:cs="宋体"/>
          <w:color w:val="auto"/>
          <w:highlight w:val="none"/>
        </w:rPr>
        <w:t>，本公司（企业）愿意参加投标，并声明：</w:t>
      </w:r>
    </w:p>
    <w:p w14:paraId="5A79A7D8">
      <w:pPr>
        <w:adjustRightInd w:val="0"/>
        <w:snapToGrid w:val="0"/>
        <w:spacing w:line="360" w:lineRule="auto"/>
        <w:ind w:firstLine="444" w:firstLineChars="202"/>
        <w:rPr>
          <w:rFonts w:hint="eastAsia" w:ascii="宋体" w:hAnsi="宋体" w:eastAsia="宋体" w:cs="宋体"/>
          <w:color w:val="auto"/>
          <w:highlight w:val="none"/>
        </w:rPr>
      </w:pPr>
      <w:r>
        <w:rPr>
          <w:rFonts w:hint="eastAsia" w:hAnsi="宋体" w:cs="宋体"/>
          <w:color w:val="auto"/>
          <w:highlight w:val="none"/>
          <w:lang w:val="en-US" w:eastAsia="zh-CN"/>
        </w:rPr>
        <w:t>代表</w:t>
      </w:r>
      <w:r>
        <w:rPr>
          <w:rFonts w:hint="eastAsia" w:ascii="宋体" w:hAnsi="宋体" w:eastAsia="宋体" w:cs="宋体"/>
          <w:color w:val="auto"/>
          <w:highlight w:val="none"/>
        </w:rPr>
        <w:t>本公司（企业）</w:t>
      </w:r>
      <w:r>
        <w:rPr>
          <w:rFonts w:hint="eastAsia" w:hAnsi="宋体" w:cs="宋体"/>
          <w:color w:val="auto"/>
          <w:highlight w:val="none"/>
          <w:lang w:val="en-US" w:eastAsia="zh-CN"/>
        </w:rPr>
        <w:t>参加本项目的</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（姓名、职务）</w:t>
      </w:r>
      <w:r>
        <w:rPr>
          <w:color w:val="000000" w:themeColor="text1"/>
          <w:highlight w:val="none"/>
          <w14:textFill>
            <w14:solidFill>
              <w14:schemeClr w14:val="tx1"/>
            </w14:solidFill>
          </w14:textFill>
        </w:rPr>
        <w:t xml:space="preserve"> 作为我公司的</w:t>
      </w:r>
      <w:r>
        <w:rPr>
          <w:rFonts w:hint="eastAsia" w:ascii="宋体" w:hAnsi="宋体" w:eastAsia="宋体" w:cs="宋体"/>
          <w:szCs w:val="21"/>
        </w:rPr>
        <w:t>法定代表人授权代表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系</w:t>
      </w:r>
      <w:r>
        <w:rPr>
          <w:rFonts w:hint="eastAsia" w:ascii="宋体" w:hAnsi="宋体" w:eastAsia="宋体" w:cs="宋体"/>
          <w:color w:val="auto"/>
          <w:highlight w:val="none"/>
        </w:rPr>
        <w:t>本公司（企业）</w:t>
      </w:r>
      <w:r>
        <w:rPr>
          <w:rFonts w:hint="eastAsia"/>
          <w:color w:val="000000" w:themeColor="text1"/>
          <w:highlight w:val="none"/>
          <w:lang w:val="en-US" w:eastAsia="zh-CN"/>
          <w14:textFill>
            <w14:solidFill>
              <w14:schemeClr w14:val="tx1"/>
            </w14:solidFill>
          </w14:textFill>
        </w:rPr>
        <w:t>员工</w:t>
      </w:r>
      <w:r>
        <w:rPr>
          <w:rFonts w:hint="eastAsia" w:ascii="宋体" w:hAnsi="宋体" w:eastAsia="宋体" w:cs="宋体"/>
          <w:color w:val="auto"/>
          <w:highlight w:val="none"/>
        </w:rPr>
        <w:t>。</w:t>
      </w:r>
    </w:p>
    <w:p w14:paraId="0FD1B04C">
      <w:pPr>
        <w:adjustRightInd w:val="0"/>
        <w:snapToGrid w:val="0"/>
        <w:spacing w:line="360" w:lineRule="auto"/>
        <w:ind w:firstLine="444" w:firstLineChars="202"/>
        <w:rPr>
          <w:rFonts w:hint="eastAsia" w:ascii="宋体" w:hAnsi="宋体" w:eastAsia="宋体" w:cs="宋体"/>
          <w:color w:val="auto"/>
          <w:highlight w:val="none"/>
        </w:rPr>
      </w:pPr>
    </w:p>
    <w:p w14:paraId="78136972">
      <w:pPr>
        <w:spacing w:line="360" w:lineRule="auto"/>
        <w:ind w:firstLine="420"/>
        <w:rPr>
          <w:rFonts w:hint="eastAsia" w:ascii="宋体" w:hAnsi="宋体" w:eastAsia="宋体" w:cs="宋体"/>
          <w:color w:val="auto"/>
          <w:szCs w:val="21"/>
          <w:highlight w:val="none"/>
        </w:rPr>
      </w:pPr>
      <w:r>
        <w:rPr>
          <w:rFonts w:hint="eastAsia" w:ascii="宋体" w:hAnsi="宋体" w:eastAsia="宋体" w:cs="宋体"/>
          <w:b/>
          <w:color w:val="auto"/>
          <w:highlight w:val="none"/>
        </w:rPr>
        <w:t>特此声明！</w:t>
      </w:r>
    </w:p>
    <w:p w14:paraId="6A170121">
      <w:pPr>
        <w:spacing w:line="360" w:lineRule="auto"/>
        <w:rPr>
          <w:rFonts w:hint="eastAsia" w:ascii="宋体" w:hAnsi="宋体" w:eastAsia="宋体" w:cs="宋体"/>
          <w:highlight w:val="none"/>
        </w:rPr>
      </w:pPr>
      <w:r>
        <w:rPr>
          <w:rFonts w:hint="eastAsia" w:ascii="宋体" w:hAnsi="宋体" w:eastAsia="宋体" w:cs="宋体"/>
          <w:b/>
          <w:highlight w:val="none"/>
        </w:rPr>
        <w:t>附件：</w:t>
      </w:r>
    </w:p>
    <w:p w14:paraId="7C5B6A3B">
      <w:pPr>
        <w:rPr>
          <w:rFonts w:hint="default" w:ascii="宋体" w:hAnsi="宋体" w:eastAsia="宋体" w:cs="宋体"/>
          <w:b/>
          <w:bCs/>
          <w:highlight w:val="none"/>
          <w:lang w:val="en-US" w:eastAsia="zh-CN"/>
        </w:rPr>
      </w:pPr>
      <w:r>
        <w:rPr>
          <w:rFonts w:hint="eastAsia" w:hAnsi="宋体" w:cs="宋体"/>
          <w:b/>
          <w:bCs/>
          <w:highlight w:val="none"/>
          <w:lang w:val="en-US" w:eastAsia="zh-CN"/>
        </w:rPr>
        <w:t>法定代表人授权代表近六个月内任意一个月在投标人单位购买社保的证明材料。</w:t>
      </w:r>
    </w:p>
    <w:p w14:paraId="381E9597">
      <w:pPr>
        <w:adjustRightInd w:val="0"/>
        <w:snapToGrid w:val="0"/>
        <w:rPr>
          <w:rFonts w:hint="eastAsia" w:ascii="宋体" w:hAnsi="宋体" w:eastAsia="宋体" w:cs="宋体"/>
          <w:szCs w:val="21"/>
        </w:rPr>
      </w:pPr>
    </w:p>
    <w:p w14:paraId="32448943">
      <w:pPr>
        <w:adjustRightInd w:val="0"/>
        <w:snapToGrid w:val="0"/>
        <w:rPr>
          <w:rFonts w:hint="eastAsia" w:ascii="宋体" w:hAnsi="宋体" w:eastAsia="宋体" w:cs="宋体"/>
          <w:szCs w:val="21"/>
        </w:rPr>
      </w:pPr>
      <w:r>
        <w:rPr>
          <w:rFonts w:hint="eastAsia" w:ascii="宋体" w:hAnsi="宋体" w:eastAsia="宋体" w:cs="宋体"/>
          <w:szCs w:val="21"/>
        </w:rPr>
        <w:t>投标人法定代表人（或法定代表人授权代表）签字：</w:t>
      </w:r>
      <w:r>
        <w:rPr>
          <w:rFonts w:hint="eastAsia" w:ascii="宋体" w:hAnsi="宋体" w:eastAsia="宋体" w:cs="宋体"/>
          <w:szCs w:val="21"/>
          <w:u w:val="single"/>
        </w:rPr>
        <w:t xml:space="preserve">                   </w:t>
      </w:r>
    </w:p>
    <w:p w14:paraId="11425F86">
      <w:pPr>
        <w:adjustRightInd w:val="0"/>
        <w:snapToGrid w:val="0"/>
        <w:rPr>
          <w:rFonts w:hint="eastAsia" w:ascii="宋体" w:hAnsi="宋体" w:eastAsia="宋体" w:cs="宋体"/>
          <w:szCs w:val="21"/>
          <w:u w:val="single"/>
        </w:rPr>
      </w:pPr>
      <w:r>
        <w:rPr>
          <w:rFonts w:hint="eastAsia" w:ascii="宋体" w:hAnsi="宋体" w:eastAsia="宋体" w:cs="宋体"/>
          <w:szCs w:val="21"/>
        </w:rPr>
        <w:t>投标人名称（加盖公章）：</w:t>
      </w:r>
      <w:r>
        <w:rPr>
          <w:rFonts w:hint="eastAsia" w:ascii="宋体" w:hAnsi="宋体" w:eastAsia="宋体" w:cs="宋体"/>
          <w:szCs w:val="21"/>
          <w:u w:val="single"/>
        </w:rPr>
        <w:t xml:space="preserve">                        </w:t>
      </w:r>
    </w:p>
    <w:p w14:paraId="12A7B7FB">
      <w:pPr>
        <w:adjustRightInd w:val="0"/>
        <w:snapToGrid w:val="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 月</w:t>
      </w:r>
      <w:r>
        <w:rPr>
          <w:rFonts w:hint="eastAsia" w:ascii="宋体" w:hAnsi="宋体" w:eastAsia="宋体" w:cs="宋体"/>
          <w:szCs w:val="21"/>
          <w:u w:val="single"/>
        </w:rPr>
        <w:t xml:space="preserve">    </w:t>
      </w:r>
      <w:r>
        <w:rPr>
          <w:rFonts w:hint="eastAsia" w:ascii="宋体" w:hAnsi="宋体" w:eastAsia="宋体" w:cs="宋体"/>
          <w:szCs w:val="21"/>
        </w:rPr>
        <w:t xml:space="preserve"> 日</w:t>
      </w:r>
    </w:p>
    <w:p w14:paraId="10C949FE">
      <w:pPr>
        <w:rPr>
          <w:rFonts w:hint="default" w:hAnsi="宋体" w:cs="宋体"/>
          <w:b/>
          <w:sz w:val="24"/>
          <w:highlight w:val="none"/>
          <w:lang w:val="en-US" w:eastAsia="zh-CN"/>
        </w:rPr>
      </w:pPr>
    </w:p>
    <w:p w14:paraId="37878774">
      <w:pPr>
        <w:rPr>
          <w:rFonts w:hint="eastAsia" w:ascii="宋体" w:hAnsi="宋体" w:eastAsia="宋体" w:cs="宋体"/>
          <w:b/>
          <w:sz w:val="24"/>
          <w:highlight w:val="none"/>
        </w:rPr>
      </w:pPr>
    </w:p>
    <w:p w14:paraId="326CEBE3">
      <w:pPr>
        <w:rPr>
          <w:rFonts w:hint="eastAsia" w:ascii="宋体" w:hAnsi="宋体" w:eastAsia="宋体" w:cs="宋体"/>
          <w:b/>
          <w:sz w:val="24"/>
          <w:highlight w:val="none"/>
        </w:rPr>
      </w:pPr>
    </w:p>
    <w:p w14:paraId="1F53F53C">
      <w:pPr>
        <w:rPr>
          <w:rFonts w:hint="eastAsia" w:ascii="宋体" w:hAnsi="宋体" w:eastAsia="宋体" w:cs="宋体"/>
          <w:b/>
          <w:sz w:val="24"/>
          <w:highlight w:val="none"/>
          <w:lang w:val="en-US" w:eastAsia="zh-CN"/>
        </w:rPr>
      </w:pPr>
    </w:p>
    <w:p w14:paraId="1CCD8B4A">
      <w:pPr>
        <w:rPr>
          <w:rFonts w:hint="eastAsia" w:ascii="宋体" w:hAnsi="宋体" w:eastAsia="宋体" w:cs="宋体"/>
          <w:b/>
          <w:sz w:val="24"/>
          <w:highlight w:val="none"/>
          <w:lang w:val="en-US" w:eastAsia="zh-CN"/>
        </w:rPr>
      </w:pPr>
    </w:p>
    <w:p w14:paraId="039D1B52">
      <w:pPr>
        <w:rPr>
          <w:rFonts w:hint="eastAsia" w:ascii="宋体" w:hAnsi="宋体" w:eastAsia="宋体" w:cs="宋体"/>
          <w:b/>
          <w:sz w:val="24"/>
          <w:highlight w:val="none"/>
          <w:lang w:val="en-US" w:eastAsia="zh-CN"/>
        </w:rPr>
      </w:pPr>
    </w:p>
    <w:p w14:paraId="008AEB3F">
      <w:pPr>
        <w:rPr>
          <w:rFonts w:hint="eastAsia" w:ascii="宋体" w:hAnsi="宋体" w:eastAsia="宋体" w:cs="宋体"/>
          <w:b/>
          <w:sz w:val="24"/>
          <w:highlight w:val="none"/>
          <w:lang w:val="en-US" w:eastAsia="zh-CN"/>
        </w:rPr>
      </w:pPr>
    </w:p>
    <w:p w14:paraId="4BA90A7B">
      <w:pPr>
        <w:rPr>
          <w:rFonts w:hint="eastAsia" w:ascii="宋体" w:hAnsi="宋体" w:eastAsia="宋体" w:cs="宋体"/>
          <w:b/>
          <w:sz w:val="24"/>
          <w:highlight w:val="none"/>
          <w:lang w:val="en-US" w:eastAsia="zh-CN"/>
        </w:rPr>
      </w:pPr>
    </w:p>
    <w:p w14:paraId="0F00BB94">
      <w:pPr>
        <w:rPr>
          <w:rFonts w:hint="eastAsia" w:ascii="宋体" w:hAnsi="宋体" w:eastAsia="宋体" w:cs="宋体"/>
          <w:b/>
          <w:sz w:val="24"/>
          <w:highlight w:val="none"/>
          <w:lang w:val="en-US" w:eastAsia="zh-CN"/>
        </w:rPr>
      </w:pPr>
    </w:p>
    <w:p w14:paraId="59151712">
      <w:pPr>
        <w:rPr>
          <w:rFonts w:hint="eastAsia" w:ascii="宋体" w:hAnsi="宋体" w:eastAsia="宋体" w:cs="宋体"/>
          <w:b/>
          <w:sz w:val="24"/>
          <w:highlight w:val="none"/>
        </w:rPr>
      </w:pP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w:t>
      </w:r>
      <w:r>
        <w:rPr>
          <w:rFonts w:hint="eastAsia" w:hAnsi="宋体" w:cs="宋体"/>
          <w:b/>
          <w:sz w:val="24"/>
          <w:highlight w:val="none"/>
          <w:lang w:val="en-US" w:eastAsia="zh-CN"/>
        </w:rPr>
        <w:t>4</w:t>
      </w:r>
      <w:r>
        <w:rPr>
          <w:rFonts w:hint="eastAsia" w:ascii="宋体" w:hAnsi="宋体" w:eastAsia="宋体" w:cs="宋体"/>
          <w:b/>
          <w:sz w:val="24"/>
          <w:highlight w:val="none"/>
        </w:rPr>
        <w:t>其他资格证明文件</w:t>
      </w:r>
    </w:p>
    <w:p w14:paraId="22A5F5A8">
      <w:pPr>
        <w:rPr>
          <w:rFonts w:hint="eastAsia" w:ascii="宋体" w:hAnsi="宋体" w:eastAsia="宋体" w:cs="宋体"/>
          <w:b/>
          <w:sz w:val="24"/>
          <w:highlight w:val="none"/>
        </w:rPr>
      </w:pPr>
    </w:p>
    <w:p w14:paraId="4122C493">
      <w:pPr>
        <w:autoSpaceDE w:val="0"/>
        <w:autoSpaceDN w:val="0"/>
        <w:ind w:right="1400"/>
        <w:rPr>
          <w:rFonts w:hint="eastAsia" w:ascii="宋体" w:hAnsi="宋体" w:eastAsia="宋体" w:cs="宋体"/>
          <w:sz w:val="24"/>
          <w:highlight w:val="none"/>
        </w:rPr>
      </w:pPr>
      <w:r>
        <w:rPr>
          <w:rFonts w:hint="eastAsia" w:ascii="宋体" w:hAnsi="宋体" w:eastAsia="宋体" w:cs="宋体"/>
          <w:sz w:val="24"/>
          <w:highlight w:val="none"/>
        </w:rPr>
        <w:t>一、有效的营业执照副本复印件（如非“三证合一”证照，同时提供税务登记证及组织机构代码证副本复印件）（加盖公章）</w:t>
      </w:r>
    </w:p>
    <w:p w14:paraId="656F6DC7">
      <w:pPr>
        <w:autoSpaceDE w:val="0"/>
        <w:autoSpaceDN w:val="0"/>
        <w:ind w:right="1400"/>
        <w:rPr>
          <w:rFonts w:hint="eastAsia" w:ascii="宋体" w:hAnsi="宋体" w:eastAsia="宋体" w:cs="宋体"/>
          <w:sz w:val="24"/>
          <w:highlight w:val="none"/>
        </w:rPr>
      </w:pPr>
    </w:p>
    <w:p w14:paraId="28987D0C">
      <w:pPr>
        <w:rPr>
          <w:rFonts w:hint="eastAsia" w:ascii="宋体" w:hAnsi="宋体" w:eastAsia="宋体" w:cs="宋体"/>
          <w:b/>
          <w:color w:val="auto"/>
          <w:sz w:val="36"/>
          <w:szCs w:val="36"/>
          <w:highlight w:val="none"/>
          <w:lang w:val="en-US" w:eastAsia="zh-CN"/>
        </w:rPr>
      </w:pPr>
      <w:r>
        <w:rPr>
          <w:rFonts w:hint="eastAsia" w:ascii="宋体" w:hAnsi="宋体" w:cs="宋体"/>
          <w:sz w:val="24"/>
          <w:highlight w:val="none"/>
          <w:lang w:eastAsia="zh-CN"/>
        </w:rPr>
        <w:t>二</w:t>
      </w:r>
      <w:r>
        <w:rPr>
          <w:rFonts w:hint="eastAsia" w:ascii="宋体" w:hAnsi="宋体" w:eastAsia="宋体" w:cs="宋体"/>
          <w:sz w:val="24"/>
          <w:highlight w:val="none"/>
        </w:rPr>
        <w:t>、详见招标文件第一</w:t>
      </w:r>
      <w:r>
        <w:rPr>
          <w:rFonts w:hint="eastAsia" w:ascii="宋体" w:hAnsi="宋体" w:eastAsia="宋体" w:cs="宋体"/>
          <w:sz w:val="24"/>
          <w:highlight w:val="none"/>
          <w:lang w:val="en-US" w:eastAsia="zh-CN"/>
        </w:rPr>
        <w:t>章</w:t>
      </w:r>
      <w:r>
        <w:rPr>
          <w:rFonts w:hint="eastAsia" w:ascii="宋体" w:hAnsi="宋体" w:eastAsia="宋体" w:cs="宋体"/>
          <w:sz w:val="24"/>
          <w:highlight w:val="none"/>
        </w:rPr>
        <w:t>“投标邀请”中的“投标人资格</w:t>
      </w:r>
      <w:r>
        <w:rPr>
          <w:rFonts w:hint="eastAsia" w:ascii="宋体" w:hAnsi="宋体" w:eastAsia="宋体" w:cs="宋体"/>
          <w:sz w:val="24"/>
          <w:highlight w:val="none"/>
          <w:lang w:val="en-US" w:eastAsia="zh-CN"/>
        </w:rPr>
        <w:t>要求</w:t>
      </w:r>
      <w:r>
        <w:rPr>
          <w:rFonts w:hint="eastAsia" w:ascii="宋体" w:hAnsi="宋体" w:eastAsia="宋体" w:cs="宋体"/>
          <w:sz w:val="24"/>
          <w:highlight w:val="none"/>
        </w:rPr>
        <w:t>”</w:t>
      </w:r>
    </w:p>
    <w:p w14:paraId="7BD2D748">
      <w:pPr>
        <w:rPr>
          <w:rFonts w:hint="eastAsia" w:ascii="宋体" w:hAnsi="宋体" w:eastAsia="宋体" w:cs="宋体"/>
          <w:b/>
          <w:color w:val="auto"/>
          <w:szCs w:val="21"/>
          <w:highlight w:val="none"/>
        </w:rPr>
      </w:pPr>
    </w:p>
    <w:p w14:paraId="15C5D716">
      <w:pPr>
        <w:spacing w:before="25" w:after="25"/>
        <w:jc w:val="left"/>
        <w:outlineLvl w:val="0"/>
        <w:rPr>
          <w:rFonts w:hint="eastAsia" w:ascii="宋体" w:hAnsi="宋体" w:eastAsia="宋体" w:cs="宋体"/>
          <w:b/>
          <w:bCs/>
          <w:color w:val="auto"/>
          <w:spacing w:val="10"/>
          <w:kern w:val="0"/>
          <w:sz w:val="28"/>
          <w:szCs w:val="28"/>
        </w:rPr>
      </w:pPr>
      <w:r>
        <w:rPr>
          <w:rFonts w:hint="eastAsia" w:ascii="宋体" w:hAnsi="宋体" w:eastAsia="宋体" w:cs="宋体"/>
          <w:b/>
          <w:bCs/>
          <w:color w:val="auto"/>
          <w:spacing w:val="10"/>
          <w:kern w:val="0"/>
          <w:sz w:val="24"/>
          <w:szCs w:val="24"/>
          <w:highlight w:val="none"/>
        </w:rPr>
        <w:br w:type="page"/>
      </w:r>
      <w:r>
        <w:rPr>
          <w:rFonts w:hint="eastAsia" w:ascii="宋体" w:hAnsi="宋体" w:eastAsia="宋体" w:cs="宋体"/>
          <w:b/>
          <w:bCs/>
          <w:color w:val="auto"/>
          <w:spacing w:val="10"/>
          <w:kern w:val="0"/>
          <w:sz w:val="28"/>
          <w:szCs w:val="28"/>
        </w:rPr>
        <w:t>附件二、中标服务费承诺书（格式）</w:t>
      </w:r>
    </w:p>
    <w:p w14:paraId="5B46B43C">
      <w:pPr>
        <w:adjustRightInd w:val="0"/>
        <w:snapToGrid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本招标文件第六章</w:t>
      </w:r>
      <w:r>
        <w:rPr>
          <w:rFonts w:hint="eastAsia" w:ascii="宋体" w:hAnsi="宋体" w:eastAsia="宋体" w:cs="宋体"/>
          <w:b w:val="0"/>
          <w:bCs/>
          <w:highlight w:val="none"/>
        </w:rPr>
        <w:t>投标文件格式</w:t>
      </w:r>
      <w:r>
        <w:rPr>
          <w:rFonts w:hint="eastAsia" w:ascii="宋体" w:hAnsi="宋体" w:eastAsia="宋体" w:cs="宋体"/>
          <w:b w:val="0"/>
          <w:bCs/>
          <w:highlight w:val="none"/>
          <w:lang w:val="en-US" w:eastAsia="zh-CN"/>
        </w:rPr>
        <w:t>的</w:t>
      </w:r>
      <w:r>
        <w:rPr>
          <w:rFonts w:hint="eastAsia" w:ascii="宋体" w:hAnsi="宋体" w:eastAsia="宋体" w:cs="宋体"/>
          <w:b w:val="0"/>
          <w:bCs/>
          <w:highlight w:val="none"/>
        </w:rPr>
        <w:t>要求</w:t>
      </w:r>
      <w:r>
        <w:rPr>
          <w:rFonts w:hint="eastAsia" w:ascii="宋体" w:hAnsi="宋体" w:eastAsia="宋体" w:cs="宋体"/>
          <w:b w:val="0"/>
          <w:bCs/>
          <w:highlight w:val="none"/>
          <w:lang w:val="en-US" w:eastAsia="zh-CN"/>
        </w:rPr>
        <w:t>中“</w:t>
      </w:r>
      <w:r>
        <w:rPr>
          <w:rFonts w:hint="eastAsia" w:ascii="宋体" w:hAnsi="宋体" w:eastAsia="宋体" w:cs="宋体"/>
          <w:b w:val="0"/>
          <w:bCs/>
          <w:color w:val="auto"/>
          <w:szCs w:val="21"/>
          <w:highlight w:val="none"/>
          <w:lang w:val="en-US" w:eastAsia="zh-CN"/>
        </w:rPr>
        <w:t>格式十八：采购代理服务费支付承诺书</w:t>
      </w:r>
      <w:r>
        <w:rPr>
          <w:rFonts w:hint="eastAsia" w:ascii="宋体" w:hAnsi="宋体" w:eastAsia="宋体" w:cs="宋体"/>
          <w:b w:val="0"/>
          <w:bCs/>
          <w:highlight w:val="none"/>
          <w:lang w:val="en-US" w:eastAsia="zh-CN"/>
        </w:rPr>
        <w:t>”不适用，请根据以下格式填写</w:t>
      </w:r>
      <w:r>
        <w:rPr>
          <w:rFonts w:hint="eastAsia" w:ascii="宋体" w:hAnsi="宋体" w:eastAsia="宋体" w:cs="宋体"/>
          <w:b w:val="0"/>
          <w:bCs/>
          <w:color w:val="auto"/>
          <w:szCs w:val="21"/>
          <w:highlight w:val="none"/>
          <w:lang w:eastAsia="zh-CN"/>
        </w:rPr>
        <w:t>）</w:t>
      </w:r>
    </w:p>
    <w:p w14:paraId="485ED8DD">
      <w:pPr>
        <w:adjustRightInd w:val="0"/>
        <w:snapToGrid w:val="0"/>
        <w:spacing w:line="360" w:lineRule="auto"/>
        <w:rPr>
          <w:rFonts w:hint="eastAsia" w:ascii="宋体" w:hAnsi="宋体" w:eastAsia="宋体" w:cs="宋体"/>
          <w:b/>
          <w:color w:val="auto"/>
          <w:szCs w:val="21"/>
        </w:rPr>
      </w:pPr>
    </w:p>
    <w:p w14:paraId="68F9F94F">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国义招标股份有限公司：</w:t>
      </w:r>
    </w:p>
    <w:p w14:paraId="5C8B5D3B">
      <w:pPr>
        <w:adjustRightInd w:val="0"/>
        <w:snapToGrid w:val="0"/>
        <w:ind w:firstLine="440" w:firstLineChars="200"/>
        <w:rPr>
          <w:rFonts w:hint="eastAsia" w:ascii="宋体" w:hAnsi="宋体" w:eastAsia="宋体" w:cs="宋体"/>
          <w:color w:val="auto"/>
          <w:szCs w:val="21"/>
        </w:rPr>
      </w:pPr>
      <w:r>
        <w:rPr>
          <w:rFonts w:hint="eastAsia" w:ascii="宋体" w:hAnsi="宋体" w:eastAsia="宋体" w:cs="宋体"/>
          <w:color w:val="auto"/>
          <w:szCs w:val="21"/>
        </w:rPr>
        <w:t>本</w:t>
      </w:r>
      <w:r>
        <w:rPr>
          <w:rFonts w:hint="eastAsia" w:ascii="宋体" w:hAnsi="宋体" w:eastAsia="宋体" w:cs="宋体"/>
          <w:color w:val="auto"/>
          <w:szCs w:val="21"/>
          <w:u w:val="single"/>
        </w:rPr>
        <w:t xml:space="preserve">   （投标人名称）   </w:t>
      </w:r>
      <w:r>
        <w:rPr>
          <w:rFonts w:hint="eastAsia" w:ascii="宋体" w:hAnsi="宋体" w:eastAsia="宋体" w:cs="宋体"/>
          <w:color w:val="auto"/>
          <w:szCs w:val="21"/>
        </w:rPr>
        <w:t>公司在参加在贵司进行的</w:t>
      </w:r>
      <w:r>
        <w:rPr>
          <w:rFonts w:hint="eastAsia" w:ascii="宋体" w:hAnsi="宋体" w:eastAsia="宋体" w:cs="宋体"/>
          <w:color w:val="auto"/>
          <w:szCs w:val="21"/>
          <w:u w:val="single"/>
        </w:rPr>
        <w:t xml:space="preserve">   （项目名称）  </w:t>
      </w:r>
      <w:r>
        <w:rPr>
          <w:rFonts w:hint="eastAsia" w:ascii="宋体" w:hAnsi="宋体" w:eastAsia="宋体" w:cs="宋体"/>
          <w:color w:val="auto"/>
          <w:szCs w:val="21"/>
        </w:rPr>
        <w:t>(项目编号：)招标中如获中标，我司保证在领取“中标通知书”前，按本项目投标人须知相关规定向贵司缴纳 “中标服务费”。</w:t>
      </w:r>
    </w:p>
    <w:p w14:paraId="36D02D93">
      <w:pPr>
        <w:adjustRightInd w:val="0"/>
        <w:snapToGrid w:val="0"/>
        <w:ind w:firstLine="440" w:firstLineChars="200"/>
        <w:rPr>
          <w:rFonts w:hint="eastAsia" w:ascii="宋体" w:hAnsi="宋体" w:eastAsia="宋体" w:cs="宋体"/>
          <w:color w:val="auto"/>
          <w:szCs w:val="21"/>
        </w:rPr>
      </w:pPr>
      <w:r>
        <w:rPr>
          <w:rFonts w:hint="eastAsia" w:ascii="宋体" w:hAnsi="宋体" w:eastAsia="宋体" w:cs="宋体"/>
          <w:color w:val="auto"/>
          <w:szCs w:val="21"/>
          <w:highlight w:val="none"/>
        </w:rPr>
        <w:t>如我方违约，愿凭贵方开出的违约通知，按上述承付金额的200%由采购人在支付我司的合同款中代为扣付。</w:t>
      </w:r>
    </w:p>
    <w:p w14:paraId="1458E3F8">
      <w:pPr>
        <w:adjustRightInd w:val="0"/>
        <w:snapToGrid w:val="0"/>
        <w:spacing w:line="360" w:lineRule="auto"/>
        <w:ind w:firstLine="44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14:paraId="71617486">
      <w:pPr>
        <w:rPr>
          <w:rFonts w:hint="eastAsia" w:ascii="宋体" w:hAnsi="宋体" w:eastAsia="宋体" w:cs="宋体"/>
          <w:color w:val="auto"/>
          <w:szCs w:val="21"/>
        </w:rPr>
      </w:pPr>
      <w:r>
        <w:rPr>
          <w:rFonts w:hint="eastAsia" w:ascii="宋体" w:hAnsi="宋体" w:eastAsia="宋体" w:cs="宋体"/>
          <w:color w:val="auto"/>
          <w:szCs w:val="21"/>
        </w:rPr>
        <w:t>另关于我司缴纳中标服务费后开具中标服务费发票的事宜，我司声明如下：</w:t>
      </w:r>
    </w:p>
    <w:p w14:paraId="0B6C2799">
      <w:pPr>
        <w:rPr>
          <w:rFonts w:hint="eastAsia" w:ascii="宋体" w:hAnsi="宋体" w:eastAsia="宋体" w:cs="宋体"/>
          <w:color w:val="auto"/>
          <w:szCs w:val="21"/>
        </w:rPr>
      </w:pPr>
      <w:r>
        <w:rPr>
          <w:rFonts w:hint="eastAsia" w:ascii="宋体" w:hAnsi="宋体" w:eastAsia="宋体" w:cs="宋体"/>
          <w:b/>
          <w:color w:val="auto"/>
          <w:szCs w:val="21"/>
        </w:rPr>
        <w:t>A：</w:t>
      </w:r>
      <w:r>
        <w:rPr>
          <w:rFonts w:hint="eastAsia" w:ascii="宋体" w:hAnsi="宋体" w:eastAsia="宋体" w:cs="宋体"/>
          <w:color w:val="auto"/>
          <w:szCs w:val="21"/>
        </w:rPr>
        <w:t>如需开具</w:t>
      </w:r>
      <w:r>
        <w:rPr>
          <w:rFonts w:hint="eastAsia" w:ascii="宋体" w:hAnsi="宋体" w:eastAsia="宋体" w:cs="宋体"/>
          <w:b/>
          <w:color w:val="auto"/>
          <w:szCs w:val="21"/>
          <w:u w:val="single"/>
        </w:rPr>
        <w:t>增值税普通发票</w:t>
      </w:r>
      <w:r>
        <w:rPr>
          <w:rFonts w:hint="eastAsia" w:ascii="宋体" w:hAnsi="宋体" w:eastAsia="宋体" w:cs="宋体"/>
          <w:color w:val="auto"/>
          <w:szCs w:val="21"/>
        </w:rPr>
        <w:t>，请于下方（ ）打“√”</w:t>
      </w:r>
    </w:p>
    <w:p w14:paraId="607B98C9">
      <w:pPr>
        <w:rPr>
          <w:rFonts w:hint="eastAsia" w:ascii="宋体" w:hAnsi="宋体" w:eastAsia="宋体" w:cs="宋体"/>
          <w:color w:val="auto"/>
          <w:szCs w:val="21"/>
        </w:rPr>
      </w:pPr>
      <w:r>
        <w:rPr>
          <w:rFonts w:hint="eastAsia" w:ascii="宋体" w:hAnsi="宋体" w:eastAsia="宋体" w:cs="宋体"/>
          <w:color w:val="auto"/>
          <w:szCs w:val="21"/>
        </w:rPr>
        <w:t>（    ）请向我司开具中标费的“</w:t>
      </w:r>
      <w:r>
        <w:rPr>
          <w:rFonts w:hint="eastAsia" w:ascii="宋体" w:hAnsi="宋体" w:eastAsia="宋体" w:cs="宋体"/>
          <w:b/>
          <w:color w:val="auto"/>
          <w:szCs w:val="21"/>
          <w:u w:val="single"/>
        </w:rPr>
        <w:t>增值税普通发票</w:t>
      </w:r>
      <w:r>
        <w:rPr>
          <w:rFonts w:hint="eastAsia" w:ascii="宋体" w:hAnsi="宋体" w:eastAsia="宋体" w:cs="宋体"/>
          <w:b/>
          <w:color w:val="auto"/>
          <w:szCs w:val="21"/>
        </w:rPr>
        <w:t>”</w:t>
      </w:r>
      <w:r>
        <w:rPr>
          <w:rFonts w:hint="eastAsia" w:ascii="宋体" w:hAnsi="宋体" w:eastAsia="宋体" w:cs="宋体"/>
          <w:color w:val="auto"/>
          <w:szCs w:val="21"/>
        </w:rPr>
        <w:t>，开票信息如下：</w:t>
      </w:r>
    </w:p>
    <w:p w14:paraId="637DC5A8">
      <w:pPr>
        <w:rPr>
          <w:rFonts w:hint="eastAsia" w:ascii="宋体" w:hAnsi="宋体" w:eastAsia="宋体" w:cs="宋体"/>
          <w:color w:val="auto"/>
          <w:szCs w:val="21"/>
        </w:rPr>
      </w:pPr>
      <w:r>
        <w:rPr>
          <w:rFonts w:hint="eastAsia" w:ascii="宋体" w:hAnsi="宋体" w:eastAsia="宋体" w:cs="宋体"/>
          <w:b/>
          <w:color w:val="auto"/>
          <w:szCs w:val="21"/>
        </w:rPr>
        <w:t>1、</w:t>
      </w:r>
      <w:r>
        <w:rPr>
          <w:rFonts w:hint="eastAsia" w:ascii="宋体" w:hAnsi="宋体" w:eastAsia="宋体" w:cs="宋体"/>
          <w:color w:val="auto"/>
          <w:szCs w:val="21"/>
        </w:rPr>
        <w:t>我司工商注册名称为：；</w:t>
      </w:r>
    </w:p>
    <w:p w14:paraId="423E8E1E">
      <w:pPr>
        <w:rPr>
          <w:rFonts w:hint="eastAsia" w:ascii="宋体" w:hAnsi="宋体" w:eastAsia="宋体" w:cs="宋体"/>
          <w:color w:val="auto"/>
          <w:szCs w:val="21"/>
        </w:rPr>
      </w:pPr>
      <w:r>
        <w:rPr>
          <w:rFonts w:hint="eastAsia" w:ascii="宋体" w:hAnsi="宋体" w:eastAsia="宋体" w:cs="宋体"/>
          <w:color w:val="auto"/>
          <w:szCs w:val="21"/>
        </w:rPr>
        <w:t>2、纳税人识别号（国税）/或统一社会信用代码：</w:t>
      </w:r>
      <w:r>
        <w:rPr>
          <w:rFonts w:hint="eastAsia" w:ascii="宋体" w:hAnsi="宋体" w:eastAsia="宋体" w:cs="宋体"/>
          <w:color w:val="auto"/>
          <w:szCs w:val="21"/>
          <w:u w:val="single"/>
        </w:rPr>
        <w:t xml:space="preserve">    （请填写）              </w:t>
      </w:r>
    </w:p>
    <w:p w14:paraId="2FA0A549">
      <w:pPr>
        <w:rPr>
          <w:rFonts w:hint="eastAsia" w:ascii="宋体" w:hAnsi="宋体" w:eastAsia="宋体" w:cs="宋体"/>
          <w:color w:val="auto"/>
          <w:szCs w:val="21"/>
        </w:rPr>
      </w:pPr>
      <w:r>
        <w:rPr>
          <w:rFonts w:hint="eastAsia" w:ascii="宋体" w:hAnsi="宋体" w:eastAsia="宋体" w:cs="宋体"/>
          <w:b/>
          <w:color w:val="auto"/>
          <w:szCs w:val="21"/>
        </w:rPr>
        <w:t>B：</w:t>
      </w:r>
      <w:r>
        <w:rPr>
          <w:rFonts w:hint="eastAsia" w:ascii="宋体" w:hAnsi="宋体" w:eastAsia="宋体" w:cs="宋体"/>
          <w:color w:val="auto"/>
          <w:szCs w:val="21"/>
        </w:rPr>
        <w:t>如需开具增值税专用发票，请于下方（ ）打“√”,并提供相关资料</w:t>
      </w:r>
    </w:p>
    <w:p w14:paraId="402C410A">
      <w:pPr>
        <w:rPr>
          <w:rFonts w:hint="eastAsia" w:ascii="宋体" w:hAnsi="宋体" w:eastAsia="宋体" w:cs="宋体"/>
          <w:color w:val="auto"/>
          <w:szCs w:val="21"/>
        </w:rPr>
      </w:pPr>
      <w:r>
        <w:rPr>
          <w:rFonts w:hint="eastAsia" w:ascii="宋体" w:hAnsi="宋体" w:eastAsia="宋体" w:cs="宋体"/>
          <w:color w:val="auto"/>
          <w:szCs w:val="21"/>
        </w:rPr>
        <w:t>（    ）请向我司开具中标费的“</w:t>
      </w:r>
      <w:r>
        <w:rPr>
          <w:rFonts w:hint="eastAsia" w:ascii="宋体" w:hAnsi="宋体" w:eastAsia="宋体" w:cs="宋体"/>
          <w:b/>
          <w:color w:val="auto"/>
          <w:szCs w:val="21"/>
          <w:u w:val="single"/>
        </w:rPr>
        <w:t>增值税专用发票</w:t>
      </w:r>
      <w:r>
        <w:rPr>
          <w:rFonts w:hint="eastAsia" w:ascii="宋体" w:hAnsi="宋体" w:eastAsia="宋体" w:cs="宋体"/>
          <w:b/>
          <w:color w:val="auto"/>
          <w:szCs w:val="21"/>
        </w:rPr>
        <w:t>”</w:t>
      </w:r>
      <w:r>
        <w:rPr>
          <w:rFonts w:hint="eastAsia" w:ascii="宋体" w:hAnsi="宋体" w:eastAsia="宋体" w:cs="宋体"/>
          <w:color w:val="auto"/>
          <w:szCs w:val="21"/>
        </w:rPr>
        <w:t>，开票信息为：</w:t>
      </w:r>
    </w:p>
    <w:p w14:paraId="2B9760FC">
      <w:pPr>
        <w:rPr>
          <w:rFonts w:hint="eastAsia" w:ascii="宋体" w:hAnsi="宋体" w:eastAsia="宋体" w:cs="宋体"/>
          <w:color w:val="auto"/>
          <w:szCs w:val="21"/>
        </w:rPr>
      </w:pPr>
      <w:r>
        <w:rPr>
          <w:rFonts w:hint="eastAsia" w:ascii="宋体" w:hAnsi="宋体" w:eastAsia="宋体" w:cs="宋体"/>
          <w:color w:val="auto"/>
          <w:szCs w:val="21"/>
        </w:rPr>
        <w:t>1、我司工商注册名称：</w:t>
      </w:r>
      <w:r>
        <w:rPr>
          <w:rFonts w:hint="eastAsia" w:ascii="宋体" w:hAnsi="宋体" w:eastAsia="宋体" w:cs="宋体"/>
          <w:color w:val="auto"/>
          <w:szCs w:val="21"/>
          <w:u w:val="single"/>
        </w:rPr>
        <w:t xml:space="preserve">    （请填写）              </w:t>
      </w:r>
    </w:p>
    <w:p w14:paraId="332E3D18">
      <w:pPr>
        <w:rPr>
          <w:rFonts w:hint="eastAsia" w:ascii="宋体" w:hAnsi="宋体" w:eastAsia="宋体" w:cs="宋体"/>
          <w:color w:val="auto"/>
          <w:szCs w:val="21"/>
        </w:rPr>
      </w:pPr>
      <w:r>
        <w:rPr>
          <w:rFonts w:hint="eastAsia" w:ascii="宋体" w:hAnsi="宋体" w:eastAsia="宋体" w:cs="宋体"/>
          <w:color w:val="auto"/>
          <w:szCs w:val="21"/>
        </w:rPr>
        <w:t>2、纳税人识别号（国税）/或统一社会信用代码：</w:t>
      </w:r>
      <w:r>
        <w:rPr>
          <w:rFonts w:hint="eastAsia" w:ascii="宋体" w:hAnsi="宋体" w:eastAsia="宋体" w:cs="宋体"/>
          <w:color w:val="auto"/>
          <w:szCs w:val="21"/>
          <w:u w:val="single"/>
        </w:rPr>
        <w:t xml:space="preserve">    （请填写）              </w:t>
      </w:r>
    </w:p>
    <w:p w14:paraId="52656055">
      <w:pPr>
        <w:rPr>
          <w:rFonts w:hint="eastAsia" w:ascii="宋体" w:hAnsi="宋体" w:eastAsia="宋体" w:cs="宋体"/>
          <w:color w:val="auto"/>
          <w:szCs w:val="21"/>
        </w:rPr>
      </w:pPr>
      <w:r>
        <w:rPr>
          <w:rFonts w:hint="eastAsia" w:ascii="宋体" w:hAnsi="宋体" w:eastAsia="宋体" w:cs="宋体"/>
          <w:color w:val="auto"/>
          <w:szCs w:val="21"/>
        </w:rPr>
        <w:t>3、注册地址：</w:t>
      </w:r>
      <w:r>
        <w:rPr>
          <w:rFonts w:hint="eastAsia" w:ascii="宋体" w:hAnsi="宋体" w:eastAsia="宋体" w:cs="宋体"/>
          <w:color w:val="auto"/>
          <w:szCs w:val="21"/>
          <w:u w:val="single"/>
        </w:rPr>
        <w:t xml:space="preserve">    （请填写）              </w:t>
      </w:r>
    </w:p>
    <w:p w14:paraId="1FB386CA">
      <w:pPr>
        <w:rPr>
          <w:rFonts w:hint="eastAsia" w:ascii="宋体" w:hAnsi="宋体" w:eastAsia="宋体" w:cs="宋体"/>
          <w:color w:val="auto"/>
          <w:szCs w:val="21"/>
        </w:rPr>
      </w:pPr>
      <w:r>
        <w:rPr>
          <w:rFonts w:hint="eastAsia" w:ascii="宋体" w:hAnsi="宋体" w:eastAsia="宋体" w:cs="宋体"/>
          <w:color w:val="auto"/>
          <w:szCs w:val="21"/>
        </w:rPr>
        <w:t>4、办公电话（固话）：</w:t>
      </w:r>
      <w:r>
        <w:rPr>
          <w:rFonts w:hint="eastAsia" w:ascii="宋体" w:hAnsi="宋体" w:eastAsia="宋体" w:cs="宋体"/>
          <w:color w:val="auto"/>
          <w:szCs w:val="21"/>
          <w:u w:val="single"/>
        </w:rPr>
        <w:t xml:space="preserve">    （请填写）              </w:t>
      </w:r>
    </w:p>
    <w:p w14:paraId="41F70C87">
      <w:pPr>
        <w:rPr>
          <w:rFonts w:hint="eastAsia" w:ascii="宋体" w:hAnsi="宋体" w:eastAsia="宋体" w:cs="宋体"/>
          <w:color w:val="auto"/>
          <w:szCs w:val="21"/>
        </w:rPr>
      </w:pPr>
      <w:r>
        <w:rPr>
          <w:rFonts w:hint="eastAsia" w:ascii="宋体" w:hAnsi="宋体" w:eastAsia="宋体" w:cs="宋体"/>
          <w:color w:val="auto"/>
          <w:szCs w:val="21"/>
        </w:rPr>
        <w:t>5、开户银行及账号：</w:t>
      </w:r>
      <w:r>
        <w:rPr>
          <w:rFonts w:hint="eastAsia" w:ascii="宋体" w:hAnsi="宋体" w:eastAsia="宋体" w:cs="宋体"/>
          <w:color w:val="auto"/>
          <w:szCs w:val="21"/>
          <w:u w:val="single"/>
        </w:rPr>
        <w:t xml:space="preserve">    （请填写）              </w:t>
      </w:r>
    </w:p>
    <w:p w14:paraId="2708E9CF">
      <w:pPr>
        <w:rPr>
          <w:rFonts w:hint="eastAsia" w:ascii="宋体" w:hAnsi="宋体" w:eastAsia="宋体" w:cs="宋体"/>
          <w:color w:val="auto"/>
          <w:szCs w:val="21"/>
          <w:u w:val="single"/>
        </w:rPr>
      </w:pPr>
      <w:r>
        <w:rPr>
          <w:rFonts w:hint="eastAsia" w:ascii="宋体" w:hAnsi="宋体" w:eastAsia="宋体" w:cs="宋体"/>
          <w:color w:val="auto"/>
          <w:szCs w:val="21"/>
        </w:rPr>
        <w:t>6、一般纳税人资格证书/或加盖了税务局“增值税一般纳税人”条章的国税登记证扫描件/或在所属国税局网站的查询结果截图</w:t>
      </w:r>
      <w:r>
        <w:rPr>
          <w:rFonts w:hint="eastAsia" w:ascii="宋体" w:hAnsi="宋体" w:eastAsia="宋体" w:cs="宋体"/>
          <w:color w:val="auto"/>
          <w:szCs w:val="21"/>
          <w:u w:val="single"/>
        </w:rPr>
        <w:t>（截图后附）</w:t>
      </w:r>
    </w:p>
    <w:p w14:paraId="66FDC500">
      <w:pPr>
        <w:rPr>
          <w:rFonts w:hint="eastAsia" w:ascii="宋体" w:hAnsi="宋体" w:eastAsia="宋体" w:cs="宋体"/>
          <w:color w:val="auto"/>
          <w:szCs w:val="21"/>
        </w:rPr>
      </w:pPr>
      <w:r>
        <w:rPr>
          <w:rFonts w:hint="eastAsia" w:ascii="宋体" w:hAnsi="宋体" w:eastAsia="宋体" w:cs="宋体"/>
          <w:color w:val="auto"/>
          <w:szCs w:val="21"/>
        </w:rPr>
        <w:t>中标单位联系人：， 手机</w:t>
      </w:r>
      <w:r>
        <w:rPr>
          <w:rFonts w:hint="eastAsia" w:ascii="宋体" w:hAnsi="宋体" w:eastAsia="宋体" w:cs="宋体"/>
          <w:color w:val="auto"/>
          <w:szCs w:val="21"/>
          <w:u w:val="single"/>
        </w:rPr>
        <w:t>号：            ;</w:t>
      </w:r>
    </w:p>
    <w:p w14:paraId="78549E65">
      <w:pPr>
        <w:rPr>
          <w:rFonts w:hint="eastAsia" w:ascii="宋体" w:hAnsi="宋体" w:eastAsia="宋体" w:cs="宋体"/>
          <w:color w:val="auto"/>
          <w:szCs w:val="21"/>
          <w:u w:val="single"/>
        </w:rPr>
      </w:pPr>
      <w:r>
        <w:rPr>
          <w:rFonts w:hint="eastAsia" w:ascii="宋体" w:hAnsi="宋体" w:eastAsia="宋体" w:cs="宋体"/>
          <w:color w:val="auto"/>
          <w:szCs w:val="21"/>
        </w:rPr>
        <w:t>单位地址：电话：传真：</w:t>
      </w:r>
      <w:r>
        <w:rPr>
          <w:rFonts w:hint="eastAsia" w:ascii="宋体" w:hAnsi="宋体" w:eastAsia="宋体" w:cs="宋体"/>
          <w:color w:val="auto"/>
          <w:szCs w:val="21"/>
          <w:u w:val="single"/>
        </w:rPr>
        <w:t xml:space="preserve">        。</w:t>
      </w:r>
    </w:p>
    <w:p w14:paraId="48244030">
      <w:pPr>
        <w:rPr>
          <w:rFonts w:hint="eastAsia" w:ascii="宋体" w:hAnsi="宋体" w:eastAsia="宋体" w:cs="宋体"/>
          <w:color w:val="auto"/>
          <w:szCs w:val="21"/>
        </w:rPr>
      </w:pPr>
      <w:r>
        <w:rPr>
          <w:rFonts w:hint="eastAsia" w:ascii="宋体" w:hAnsi="宋体" w:eastAsia="宋体" w:cs="宋体"/>
          <w:color w:val="auto"/>
          <w:szCs w:val="21"/>
        </w:rPr>
        <w:t>特此声明。</w:t>
      </w:r>
    </w:p>
    <w:p w14:paraId="67EC91DB">
      <w:pPr>
        <w:rPr>
          <w:rFonts w:hint="eastAsia" w:ascii="宋体" w:hAnsi="宋体" w:eastAsia="宋体" w:cs="宋体"/>
          <w:color w:val="auto"/>
          <w:szCs w:val="21"/>
        </w:rPr>
      </w:pPr>
    </w:p>
    <w:p w14:paraId="7A56079E">
      <w:pPr>
        <w:rPr>
          <w:rFonts w:hint="eastAsia" w:ascii="宋体" w:hAnsi="宋体" w:eastAsia="宋体" w:cs="宋体"/>
          <w:color w:val="auto"/>
          <w:szCs w:val="21"/>
        </w:rPr>
      </w:pPr>
    </w:p>
    <w:p w14:paraId="751C3CA3">
      <w:pPr>
        <w:rPr>
          <w:rFonts w:hint="eastAsia" w:ascii="宋体" w:hAnsi="宋体" w:eastAsia="宋体" w:cs="宋体"/>
          <w:color w:val="auto"/>
          <w:szCs w:val="21"/>
        </w:rPr>
      </w:pPr>
    </w:p>
    <w:p w14:paraId="3D4E5EE5">
      <w:pPr>
        <w:rPr>
          <w:rFonts w:hint="eastAsia" w:ascii="宋体" w:hAnsi="宋体" w:eastAsia="宋体" w:cs="宋体"/>
          <w:color w:val="auto"/>
          <w:szCs w:val="21"/>
        </w:rPr>
      </w:pPr>
    </w:p>
    <w:p w14:paraId="245B9D7F">
      <w:pPr>
        <w:rPr>
          <w:rFonts w:hint="eastAsia" w:ascii="宋体" w:hAnsi="宋体" w:eastAsia="宋体" w:cs="宋体"/>
          <w:color w:val="auto"/>
          <w:szCs w:val="21"/>
        </w:rPr>
      </w:pPr>
    </w:p>
    <w:p w14:paraId="5BDBDC56">
      <w:pPr>
        <w:rPr>
          <w:rFonts w:hint="eastAsia" w:ascii="宋体" w:hAnsi="宋体" w:eastAsia="宋体" w:cs="宋体"/>
          <w:color w:val="auto"/>
          <w:szCs w:val="21"/>
        </w:rPr>
      </w:pPr>
      <w:r>
        <w:rPr>
          <w:rFonts w:hint="eastAsia" w:ascii="宋体" w:hAnsi="宋体" w:eastAsia="宋体" w:cs="宋体"/>
          <w:color w:val="auto"/>
          <w:szCs w:val="21"/>
        </w:rPr>
        <w:t xml:space="preserve">投标人法定代表人（或法定代表人授权代表）签字：                   </w:t>
      </w:r>
    </w:p>
    <w:p w14:paraId="69070BED">
      <w:pPr>
        <w:rPr>
          <w:rFonts w:hint="eastAsia" w:ascii="宋体" w:hAnsi="宋体" w:eastAsia="宋体" w:cs="宋体"/>
          <w:color w:val="auto"/>
          <w:szCs w:val="24"/>
        </w:rPr>
      </w:pPr>
      <w:r>
        <w:rPr>
          <w:rFonts w:hint="eastAsia" w:ascii="宋体" w:hAnsi="宋体" w:eastAsia="宋体" w:cs="宋体"/>
          <w:color w:val="auto"/>
          <w:szCs w:val="21"/>
        </w:rPr>
        <w:t xml:space="preserve">投标人名称（加盖公章）：                </w:t>
      </w:r>
    </w:p>
    <w:p w14:paraId="45B6DC85">
      <w:pPr>
        <w:rPr>
          <w:rFonts w:hint="eastAsia" w:ascii="宋体" w:hAnsi="宋体" w:eastAsia="宋体" w:cs="宋体"/>
          <w:color w:val="auto"/>
          <w:szCs w:val="24"/>
        </w:rPr>
      </w:pPr>
      <w:r>
        <w:rPr>
          <w:rFonts w:hint="eastAsia" w:ascii="宋体" w:hAnsi="宋体" w:eastAsia="宋体" w:cs="宋体"/>
          <w:color w:val="auto"/>
          <w:szCs w:val="24"/>
        </w:rPr>
        <w:t>日期：年</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月</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日</w:t>
      </w:r>
    </w:p>
    <w:p w14:paraId="6DF12772">
      <w:pPr>
        <w:pStyle w:val="30"/>
        <w:rPr>
          <w:rFonts w:hint="eastAsia" w:ascii="宋体" w:hAnsi="宋体" w:eastAsia="宋体" w:cs="宋体"/>
        </w:rPr>
      </w:pPr>
    </w:p>
    <w:p w14:paraId="466CA05C">
      <w:pPr>
        <w:pStyle w:val="30"/>
        <w:rPr>
          <w:rFonts w:hint="eastAsia" w:ascii="宋体" w:hAnsi="宋体" w:eastAsia="宋体" w:cs="宋体"/>
          <w:color w:val="auto"/>
          <w:szCs w:val="24"/>
          <w:lang w:val="en-US" w:eastAsia="zh-CN"/>
        </w:rPr>
      </w:pPr>
    </w:p>
    <w:p w14:paraId="4DC2FF38">
      <w:pPr>
        <w:rPr>
          <w:rFonts w:hint="eastAsia" w:eastAsia="宋体" w:cs="Times New Roman"/>
          <w:lang w:val="en-US" w:eastAsia="zh-CN"/>
        </w:rPr>
      </w:pPr>
    </w:p>
    <w:p w14:paraId="75A92B41">
      <w:pPr>
        <w:pStyle w:val="2"/>
        <w:tabs>
          <w:tab w:val="left" w:pos="2030"/>
          <w:tab w:val="left" w:pos="3323"/>
          <w:tab w:val="left" w:pos="3515"/>
        </w:tabs>
        <w:kinsoku w:val="0"/>
        <w:overflowPunct w:val="0"/>
        <w:ind w:right="104"/>
        <w:jc w:val="right"/>
        <w:rPr>
          <w:rFonts w:hint="eastAsia" w:hAnsi="宋体"/>
          <w:color w:val="000000" w:themeColor="text1"/>
          <w:highlight w:val="none"/>
          <w14:textFill>
            <w14:solidFill>
              <w14:schemeClr w14:val="tx1"/>
            </w14:solidFill>
          </w14:textFill>
        </w:rPr>
      </w:pPr>
    </w:p>
    <w:sectPr>
      <w:headerReference r:id="rId3" w:type="default"/>
      <w:footerReference r:id="rId4" w:type="default"/>
      <w:pgSz w:w="11900" w:h="16840"/>
      <w:pgMar w:top="1440" w:right="1080" w:bottom="1440" w:left="1080" w:header="567" w:footer="56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script"/>
    <w:pitch w:val="default"/>
    <w:sig w:usb0="00000000" w:usb1="00000000" w:usb2="00000010" w:usb3="00000000" w:csb0="003C004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7C91B">
    <w:pPr>
      <w:pStyle w:val="2"/>
      <w:kinsoku w:val="0"/>
      <w:overflowPunct w:val="0"/>
      <w:spacing w:line="14" w:lineRule="auto"/>
      <w:ind w:left="0"/>
      <w:rPr>
        <w:rFonts w:ascii="Times New Roman" w:eastAsia="等线"/>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070A3">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5070A3">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EA8C7">
    <w:pPr>
      <w:pStyle w:val="1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compat>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ZmJiY2RlMzMxNDdlZTIzMzVmNDYzYmNlNTYwODkifQ=="/>
  </w:docVars>
  <w:rsids>
    <w:rsidRoot w:val="00172A27"/>
    <w:rsid w:val="00014475"/>
    <w:rsid w:val="00025C71"/>
    <w:rsid w:val="00042BC5"/>
    <w:rsid w:val="0005686F"/>
    <w:rsid w:val="000743C4"/>
    <w:rsid w:val="00074AC1"/>
    <w:rsid w:val="00075B80"/>
    <w:rsid w:val="00081D64"/>
    <w:rsid w:val="000B241F"/>
    <w:rsid w:val="000C54D7"/>
    <w:rsid w:val="000D768B"/>
    <w:rsid w:val="000E6780"/>
    <w:rsid w:val="00106E3C"/>
    <w:rsid w:val="00145B3D"/>
    <w:rsid w:val="00162D01"/>
    <w:rsid w:val="001655B7"/>
    <w:rsid w:val="00167FCA"/>
    <w:rsid w:val="0017344F"/>
    <w:rsid w:val="00190F8F"/>
    <w:rsid w:val="00192CF9"/>
    <w:rsid w:val="001C097A"/>
    <w:rsid w:val="001C2E41"/>
    <w:rsid w:val="001C72D2"/>
    <w:rsid w:val="001D43F0"/>
    <w:rsid w:val="001F2B68"/>
    <w:rsid w:val="002009B6"/>
    <w:rsid w:val="00235363"/>
    <w:rsid w:val="00240695"/>
    <w:rsid w:val="0024547E"/>
    <w:rsid w:val="00245ECE"/>
    <w:rsid w:val="0027271F"/>
    <w:rsid w:val="00272855"/>
    <w:rsid w:val="0027321D"/>
    <w:rsid w:val="002843ED"/>
    <w:rsid w:val="00286726"/>
    <w:rsid w:val="00286AF7"/>
    <w:rsid w:val="00293061"/>
    <w:rsid w:val="002A768F"/>
    <w:rsid w:val="002B32A7"/>
    <w:rsid w:val="002B3779"/>
    <w:rsid w:val="002C340F"/>
    <w:rsid w:val="002D66AB"/>
    <w:rsid w:val="002D7E03"/>
    <w:rsid w:val="002F4F34"/>
    <w:rsid w:val="002F70BE"/>
    <w:rsid w:val="0032177B"/>
    <w:rsid w:val="00323217"/>
    <w:rsid w:val="003440BE"/>
    <w:rsid w:val="00350D3E"/>
    <w:rsid w:val="00360044"/>
    <w:rsid w:val="003714C9"/>
    <w:rsid w:val="003716AD"/>
    <w:rsid w:val="003825FB"/>
    <w:rsid w:val="00387C9A"/>
    <w:rsid w:val="003A7EBD"/>
    <w:rsid w:val="003B03AD"/>
    <w:rsid w:val="003E3EC7"/>
    <w:rsid w:val="003F25F8"/>
    <w:rsid w:val="00422D21"/>
    <w:rsid w:val="00444BCF"/>
    <w:rsid w:val="00462D22"/>
    <w:rsid w:val="00482839"/>
    <w:rsid w:val="00491FBB"/>
    <w:rsid w:val="00492D24"/>
    <w:rsid w:val="004970B6"/>
    <w:rsid w:val="004A1BCB"/>
    <w:rsid w:val="004A5B59"/>
    <w:rsid w:val="004B0112"/>
    <w:rsid w:val="004B06A8"/>
    <w:rsid w:val="004B2567"/>
    <w:rsid w:val="004B2924"/>
    <w:rsid w:val="004B5D7F"/>
    <w:rsid w:val="004C1B53"/>
    <w:rsid w:val="00512AB0"/>
    <w:rsid w:val="00520EA5"/>
    <w:rsid w:val="005304D2"/>
    <w:rsid w:val="00545CCA"/>
    <w:rsid w:val="005629F8"/>
    <w:rsid w:val="0056575C"/>
    <w:rsid w:val="0057305C"/>
    <w:rsid w:val="005873CC"/>
    <w:rsid w:val="00587754"/>
    <w:rsid w:val="005926B4"/>
    <w:rsid w:val="00596787"/>
    <w:rsid w:val="005B110A"/>
    <w:rsid w:val="005B7191"/>
    <w:rsid w:val="00602EF5"/>
    <w:rsid w:val="006035C6"/>
    <w:rsid w:val="006158F9"/>
    <w:rsid w:val="00615A93"/>
    <w:rsid w:val="00617E56"/>
    <w:rsid w:val="00625AE0"/>
    <w:rsid w:val="0063636D"/>
    <w:rsid w:val="00637E8E"/>
    <w:rsid w:val="0065013D"/>
    <w:rsid w:val="00650B2A"/>
    <w:rsid w:val="00653E89"/>
    <w:rsid w:val="00664DB1"/>
    <w:rsid w:val="006A6610"/>
    <w:rsid w:val="006B6E41"/>
    <w:rsid w:val="006C6D53"/>
    <w:rsid w:val="006F5DEA"/>
    <w:rsid w:val="00700584"/>
    <w:rsid w:val="00704E73"/>
    <w:rsid w:val="00706951"/>
    <w:rsid w:val="007268BA"/>
    <w:rsid w:val="007470FC"/>
    <w:rsid w:val="0075488F"/>
    <w:rsid w:val="00754EB6"/>
    <w:rsid w:val="00784299"/>
    <w:rsid w:val="007950A2"/>
    <w:rsid w:val="007975AF"/>
    <w:rsid w:val="007A2F54"/>
    <w:rsid w:val="007B0DF6"/>
    <w:rsid w:val="007C6E25"/>
    <w:rsid w:val="007D02AB"/>
    <w:rsid w:val="007E2656"/>
    <w:rsid w:val="00820D7C"/>
    <w:rsid w:val="00822ADF"/>
    <w:rsid w:val="0082791B"/>
    <w:rsid w:val="00842506"/>
    <w:rsid w:val="00856924"/>
    <w:rsid w:val="00876613"/>
    <w:rsid w:val="008772CF"/>
    <w:rsid w:val="00883075"/>
    <w:rsid w:val="008844A2"/>
    <w:rsid w:val="00886554"/>
    <w:rsid w:val="00892A7A"/>
    <w:rsid w:val="00894004"/>
    <w:rsid w:val="008D00E6"/>
    <w:rsid w:val="009069B9"/>
    <w:rsid w:val="00921528"/>
    <w:rsid w:val="00924AFB"/>
    <w:rsid w:val="00926A75"/>
    <w:rsid w:val="009322E7"/>
    <w:rsid w:val="00945C7D"/>
    <w:rsid w:val="00946530"/>
    <w:rsid w:val="00965A5F"/>
    <w:rsid w:val="00974E8E"/>
    <w:rsid w:val="00980294"/>
    <w:rsid w:val="00982C40"/>
    <w:rsid w:val="00994B88"/>
    <w:rsid w:val="00996114"/>
    <w:rsid w:val="009A4D3A"/>
    <w:rsid w:val="009B149E"/>
    <w:rsid w:val="009B5D1E"/>
    <w:rsid w:val="009E24E4"/>
    <w:rsid w:val="009E2579"/>
    <w:rsid w:val="009E7145"/>
    <w:rsid w:val="00A00CB3"/>
    <w:rsid w:val="00A045B5"/>
    <w:rsid w:val="00A4272E"/>
    <w:rsid w:val="00A66E7D"/>
    <w:rsid w:val="00A8515C"/>
    <w:rsid w:val="00A865F7"/>
    <w:rsid w:val="00AA3F14"/>
    <w:rsid w:val="00AB0BFE"/>
    <w:rsid w:val="00AB17AC"/>
    <w:rsid w:val="00AB4835"/>
    <w:rsid w:val="00AB6B52"/>
    <w:rsid w:val="00AC74A0"/>
    <w:rsid w:val="00AE171E"/>
    <w:rsid w:val="00B63698"/>
    <w:rsid w:val="00B661C7"/>
    <w:rsid w:val="00B74BA9"/>
    <w:rsid w:val="00B8208E"/>
    <w:rsid w:val="00B82B8A"/>
    <w:rsid w:val="00B82FAE"/>
    <w:rsid w:val="00B915F7"/>
    <w:rsid w:val="00B9438E"/>
    <w:rsid w:val="00BC1C37"/>
    <w:rsid w:val="00BC2B5C"/>
    <w:rsid w:val="00BE2053"/>
    <w:rsid w:val="00BF09DC"/>
    <w:rsid w:val="00BF38FF"/>
    <w:rsid w:val="00BF3C7F"/>
    <w:rsid w:val="00C160EB"/>
    <w:rsid w:val="00C25464"/>
    <w:rsid w:val="00C320A0"/>
    <w:rsid w:val="00C341FA"/>
    <w:rsid w:val="00C34FC7"/>
    <w:rsid w:val="00C54EFC"/>
    <w:rsid w:val="00C70ACA"/>
    <w:rsid w:val="00C81383"/>
    <w:rsid w:val="00C82DC9"/>
    <w:rsid w:val="00C863AE"/>
    <w:rsid w:val="00C9557E"/>
    <w:rsid w:val="00CC1DD8"/>
    <w:rsid w:val="00CC3232"/>
    <w:rsid w:val="00D0519B"/>
    <w:rsid w:val="00D05EB4"/>
    <w:rsid w:val="00D11C3D"/>
    <w:rsid w:val="00D25206"/>
    <w:rsid w:val="00D355FB"/>
    <w:rsid w:val="00D41D2C"/>
    <w:rsid w:val="00D4605B"/>
    <w:rsid w:val="00D623AA"/>
    <w:rsid w:val="00D8518F"/>
    <w:rsid w:val="00D96EC7"/>
    <w:rsid w:val="00DA12BF"/>
    <w:rsid w:val="00DA7138"/>
    <w:rsid w:val="00DF248E"/>
    <w:rsid w:val="00DF3222"/>
    <w:rsid w:val="00E07FD2"/>
    <w:rsid w:val="00E31F64"/>
    <w:rsid w:val="00E3728D"/>
    <w:rsid w:val="00E4357B"/>
    <w:rsid w:val="00E47B47"/>
    <w:rsid w:val="00E5166B"/>
    <w:rsid w:val="00E644A0"/>
    <w:rsid w:val="00E87A80"/>
    <w:rsid w:val="00E87CEC"/>
    <w:rsid w:val="00EA1BA6"/>
    <w:rsid w:val="00EA4C58"/>
    <w:rsid w:val="00EB67EC"/>
    <w:rsid w:val="00EE11F9"/>
    <w:rsid w:val="00EE7425"/>
    <w:rsid w:val="00EF6C8D"/>
    <w:rsid w:val="00F00080"/>
    <w:rsid w:val="00F01B03"/>
    <w:rsid w:val="00F03FF4"/>
    <w:rsid w:val="00F06C20"/>
    <w:rsid w:val="00F10699"/>
    <w:rsid w:val="00F1075B"/>
    <w:rsid w:val="00F10E4C"/>
    <w:rsid w:val="00F176CD"/>
    <w:rsid w:val="00F26324"/>
    <w:rsid w:val="00F273C5"/>
    <w:rsid w:val="00F3275E"/>
    <w:rsid w:val="00F4576C"/>
    <w:rsid w:val="00F545AB"/>
    <w:rsid w:val="00F715BA"/>
    <w:rsid w:val="00F8200E"/>
    <w:rsid w:val="00F86DE9"/>
    <w:rsid w:val="00F92A8F"/>
    <w:rsid w:val="00FA6CF1"/>
    <w:rsid w:val="00FC0049"/>
    <w:rsid w:val="00FC376F"/>
    <w:rsid w:val="00FF30E1"/>
    <w:rsid w:val="01506B97"/>
    <w:rsid w:val="01565C22"/>
    <w:rsid w:val="01DC19EE"/>
    <w:rsid w:val="024610D3"/>
    <w:rsid w:val="0311468D"/>
    <w:rsid w:val="032632FE"/>
    <w:rsid w:val="037606C3"/>
    <w:rsid w:val="04A309AD"/>
    <w:rsid w:val="04E3586E"/>
    <w:rsid w:val="05297156"/>
    <w:rsid w:val="062760CA"/>
    <w:rsid w:val="06367F91"/>
    <w:rsid w:val="063E7CAE"/>
    <w:rsid w:val="064061DE"/>
    <w:rsid w:val="07897C0E"/>
    <w:rsid w:val="082A1395"/>
    <w:rsid w:val="08B4403A"/>
    <w:rsid w:val="08B60D54"/>
    <w:rsid w:val="094628A0"/>
    <w:rsid w:val="09D91328"/>
    <w:rsid w:val="0ABC2331"/>
    <w:rsid w:val="0B3111FA"/>
    <w:rsid w:val="0B45387B"/>
    <w:rsid w:val="0BB57BA4"/>
    <w:rsid w:val="0C0076B8"/>
    <w:rsid w:val="0C6C37E1"/>
    <w:rsid w:val="0C9615C8"/>
    <w:rsid w:val="0D9C5751"/>
    <w:rsid w:val="0DC3421D"/>
    <w:rsid w:val="0DF76B00"/>
    <w:rsid w:val="0EDA155C"/>
    <w:rsid w:val="0F4F6CEE"/>
    <w:rsid w:val="0F9746D1"/>
    <w:rsid w:val="0FBD189C"/>
    <w:rsid w:val="0FDE4BDA"/>
    <w:rsid w:val="0FF07241"/>
    <w:rsid w:val="11655791"/>
    <w:rsid w:val="11B1466E"/>
    <w:rsid w:val="121D4674"/>
    <w:rsid w:val="12331A20"/>
    <w:rsid w:val="12437B24"/>
    <w:rsid w:val="12954B43"/>
    <w:rsid w:val="12DC670B"/>
    <w:rsid w:val="12F42BA4"/>
    <w:rsid w:val="131D1399"/>
    <w:rsid w:val="1396419C"/>
    <w:rsid w:val="15932B49"/>
    <w:rsid w:val="15A5072F"/>
    <w:rsid w:val="15E05662"/>
    <w:rsid w:val="1787048B"/>
    <w:rsid w:val="179C05CE"/>
    <w:rsid w:val="18934131"/>
    <w:rsid w:val="192C7506"/>
    <w:rsid w:val="193548E0"/>
    <w:rsid w:val="19440BD0"/>
    <w:rsid w:val="1A102318"/>
    <w:rsid w:val="1A206039"/>
    <w:rsid w:val="1B6553C6"/>
    <w:rsid w:val="1BBC4C34"/>
    <w:rsid w:val="1C3C11C6"/>
    <w:rsid w:val="1C7520F8"/>
    <w:rsid w:val="1D0B3468"/>
    <w:rsid w:val="1D1E53EE"/>
    <w:rsid w:val="1D506AA7"/>
    <w:rsid w:val="1E470BDB"/>
    <w:rsid w:val="1E7B7EAF"/>
    <w:rsid w:val="1FE401B3"/>
    <w:rsid w:val="20C462AC"/>
    <w:rsid w:val="21B73E88"/>
    <w:rsid w:val="222B693C"/>
    <w:rsid w:val="22A64485"/>
    <w:rsid w:val="24667DE3"/>
    <w:rsid w:val="247C0C4C"/>
    <w:rsid w:val="25DC0A00"/>
    <w:rsid w:val="262E3841"/>
    <w:rsid w:val="26AF2198"/>
    <w:rsid w:val="26B75F6B"/>
    <w:rsid w:val="27EC2A9F"/>
    <w:rsid w:val="28203CD5"/>
    <w:rsid w:val="287A337D"/>
    <w:rsid w:val="28800981"/>
    <w:rsid w:val="28A14A68"/>
    <w:rsid w:val="28F00B0D"/>
    <w:rsid w:val="298316DB"/>
    <w:rsid w:val="298F4F7D"/>
    <w:rsid w:val="29B80978"/>
    <w:rsid w:val="2AAD6736"/>
    <w:rsid w:val="2AD00E3A"/>
    <w:rsid w:val="2AE05796"/>
    <w:rsid w:val="2B3F6C91"/>
    <w:rsid w:val="2B9F71B1"/>
    <w:rsid w:val="2CAC0E49"/>
    <w:rsid w:val="2CC101CD"/>
    <w:rsid w:val="2D047A30"/>
    <w:rsid w:val="2D9F4E31"/>
    <w:rsid w:val="2F09761D"/>
    <w:rsid w:val="306B332E"/>
    <w:rsid w:val="308C5F48"/>
    <w:rsid w:val="30CB2D3F"/>
    <w:rsid w:val="311913D0"/>
    <w:rsid w:val="313E75B5"/>
    <w:rsid w:val="31C45AE8"/>
    <w:rsid w:val="31E17C98"/>
    <w:rsid w:val="32326DEE"/>
    <w:rsid w:val="329A66A2"/>
    <w:rsid w:val="32B71199"/>
    <w:rsid w:val="338962BA"/>
    <w:rsid w:val="33D854F6"/>
    <w:rsid w:val="33DE3C29"/>
    <w:rsid w:val="34010037"/>
    <w:rsid w:val="3412744D"/>
    <w:rsid w:val="3431735D"/>
    <w:rsid w:val="345F5981"/>
    <w:rsid w:val="35061741"/>
    <w:rsid w:val="354C01C6"/>
    <w:rsid w:val="355D635D"/>
    <w:rsid w:val="358E4C71"/>
    <w:rsid w:val="360F2EB9"/>
    <w:rsid w:val="36887E00"/>
    <w:rsid w:val="36963DEF"/>
    <w:rsid w:val="36D66C33"/>
    <w:rsid w:val="37021294"/>
    <w:rsid w:val="370B211A"/>
    <w:rsid w:val="379D6803"/>
    <w:rsid w:val="38194CD8"/>
    <w:rsid w:val="398C14D9"/>
    <w:rsid w:val="39C15F76"/>
    <w:rsid w:val="3AA01842"/>
    <w:rsid w:val="3ACF286E"/>
    <w:rsid w:val="3C3C48C9"/>
    <w:rsid w:val="3C505CA8"/>
    <w:rsid w:val="3C9E7E8F"/>
    <w:rsid w:val="3CE81B00"/>
    <w:rsid w:val="3D5740DE"/>
    <w:rsid w:val="3E5A5EE4"/>
    <w:rsid w:val="3E5F5AA5"/>
    <w:rsid w:val="3E846C23"/>
    <w:rsid w:val="3EBC7BE3"/>
    <w:rsid w:val="401E2B51"/>
    <w:rsid w:val="40F26F47"/>
    <w:rsid w:val="41117688"/>
    <w:rsid w:val="412C237F"/>
    <w:rsid w:val="4155091F"/>
    <w:rsid w:val="41695A0F"/>
    <w:rsid w:val="41BA10CB"/>
    <w:rsid w:val="42303B8B"/>
    <w:rsid w:val="42423FD9"/>
    <w:rsid w:val="43A14604"/>
    <w:rsid w:val="43A33BF5"/>
    <w:rsid w:val="43A538BC"/>
    <w:rsid w:val="44E17F63"/>
    <w:rsid w:val="44F7014F"/>
    <w:rsid w:val="453B488F"/>
    <w:rsid w:val="45F15E70"/>
    <w:rsid w:val="46A64344"/>
    <w:rsid w:val="46D80127"/>
    <w:rsid w:val="477A5515"/>
    <w:rsid w:val="489706FC"/>
    <w:rsid w:val="48B733AA"/>
    <w:rsid w:val="48E20A96"/>
    <w:rsid w:val="4B117A90"/>
    <w:rsid w:val="4BB34F51"/>
    <w:rsid w:val="4D4D3AFB"/>
    <w:rsid w:val="4D683864"/>
    <w:rsid w:val="4DC46C4F"/>
    <w:rsid w:val="4DE173FF"/>
    <w:rsid w:val="4E58201F"/>
    <w:rsid w:val="50AE13D1"/>
    <w:rsid w:val="50D1098B"/>
    <w:rsid w:val="52D561B8"/>
    <w:rsid w:val="52DC0984"/>
    <w:rsid w:val="548B08B3"/>
    <w:rsid w:val="55242153"/>
    <w:rsid w:val="555F4A28"/>
    <w:rsid w:val="558F57DA"/>
    <w:rsid w:val="55A0038E"/>
    <w:rsid w:val="55DD4A42"/>
    <w:rsid w:val="567F1BCC"/>
    <w:rsid w:val="56D218E5"/>
    <w:rsid w:val="573F39B5"/>
    <w:rsid w:val="57B4119F"/>
    <w:rsid w:val="588A28B9"/>
    <w:rsid w:val="5A9164F8"/>
    <w:rsid w:val="5AFE1DDF"/>
    <w:rsid w:val="5B1C1D31"/>
    <w:rsid w:val="5D3A54D2"/>
    <w:rsid w:val="5DD46E27"/>
    <w:rsid w:val="5E997C33"/>
    <w:rsid w:val="5EB007B5"/>
    <w:rsid w:val="5EBC779A"/>
    <w:rsid w:val="60712622"/>
    <w:rsid w:val="61903065"/>
    <w:rsid w:val="61C030C6"/>
    <w:rsid w:val="6232236E"/>
    <w:rsid w:val="624C4474"/>
    <w:rsid w:val="62AC3A78"/>
    <w:rsid w:val="63B57AC3"/>
    <w:rsid w:val="64011757"/>
    <w:rsid w:val="6473529E"/>
    <w:rsid w:val="649E1F3D"/>
    <w:rsid w:val="64FD4B95"/>
    <w:rsid w:val="65E0162B"/>
    <w:rsid w:val="65E53E98"/>
    <w:rsid w:val="661A72F4"/>
    <w:rsid w:val="66424626"/>
    <w:rsid w:val="665971AE"/>
    <w:rsid w:val="667B1BFB"/>
    <w:rsid w:val="67A55BDE"/>
    <w:rsid w:val="6835600A"/>
    <w:rsid w:val="68A8667A"/>
    <w:rsid w:val="692E169F"/>
    <w:rsid w:val="69A37C09"/>
    <w:rsid w:val="6A2B3024"/>
    <w:rsid w:val="6A303659"/>
    <w:rsid w:val="6A4B2016"/>
    <w:rsid w:val="6AC344AB"/>
    <w:rsid w:val="6BA008BF"/>
    <w:rsid w:val="6BA1796A"/>
    <w:rsid w:val="6BA472B9"/>
    <w:rsid w:val="6BD77B3D"/>
    <w:rsid w:val="6C240F7A"/>
    <w:rsid w:val="6D00349A"/>
    <w:rsid w:val="6D600186"/>
    <w:rsid w:val="6E945E6C"/>
    <w:rsid w:val="6F835472"/>
    <w:rsid w:val="6F913D15"/>
    <w:rsid w:val="70A45725"/>
    <w:rsid w:val="710812D5"/>
    <w:rsid w:val="71227648"/>
    <w:rsid w:val="71411F9D"/>
    <w:rsid w:val="73BE4E40"/>
    <w:rsid w:val="762A69E2"/>
    <w:rsid w:val="76524E83"/>
    <w:rsid w:val="76AC04E9"/>
    <w:rsid w:val="7A6C1EDF"/>
    <w:rsid w:val="7A711B4A"/>
    <w:rsid w:val="7B16294B"/>
    <w:rsid w:val="7BC24922"/>
    <w:rsid w:val="7C19011C"/>
    <w:rsid w:val="7C331E4E"/>
    <w:rsid w:val="7C934E7B"/>
    <w:rsid w:val="7CCF5DDE"/>
    <w:rsid w:val="7D5738F9"/>
    <w:rsid w:val="7D5F62B6"/>
    <w:rsid w:val="7D707D52"/>
    <w:rsid w:val="7E3B10CB"/>
    <w:rsid w:val="7E8766DE"/>
    <w:rsid w:val="7F443A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宋体" w:hAnsi="Times New Roman" w:eastAsia="宋体" w:cs="宋体"/>
      <w:sz w:val="22"/>
      <w:szCs w:val="22"/>
      <w:lang w:val="en-US" w:eastAsia="zh-CN" w:bidi="ar-SA"/>
    </w:rPr>
  </w:style>
  <w:style w:type="paragraph" w:styleId="3">
    <w:name w:val="heading 1"/>
    <w:basedOn w:val="1"/>
    <w:next w:val="1"/>
    <w:link w:val="51"/>
    <w:qFormat/>
    <w:uiPriority w:val="9"/>
    <w:pPr>
      <w:ind w:left="3144" w:right="3120"/>
      <w:jc w:val="center"/>
      <w:outlineLvl w:val="0"/>
    </w:pPr>
    <w:rPr>
      <w:rFonts w:cs="Times New Roman"/>
      <w:b/>
      <w:bCs/>
      <w:kern w:val="44"/>
      <w:sz w:val="44"/>
      <w:szCs w:val="44"/>
    </w:rPr>
  </w:style>
  <w:style w:type="paragraph" w:styleId="4">
    <w:name w:val="heading 2"/>
    <w:basedOn w:val="1"/>
    <w:next w:val="1"/>
    <w:link w:val="60"/>
    <w:qFormat/>
    <w:uiPriority w:val="9"/>
    <w:pPr>
      <w:ind w:left="3150" w:right="3120"/>
      <w:jc w:val="center"/>
      <w:outlineLvl w:val="1"/>
    </w:pPr>
    <w:rPr>
      <w:rFonts w:ascii="等线 Light" w:hAnsi="等线 Light" w:eastAsia="等线 Light" w:cs="Times New Roman"/>
      <w:b/>
      <w:bCs/>
      <w:sz w:val="32"/>
      <w:szCs w:val="32"/>
    </w:rPr>
  </w:style>
  <w:style w:type="paragraph" w:styleId="5">
    <w:name w:val="heading 3"/>
    <w:basedOn w:val="1"/>
    <w:next w:val="1"/>
    <w:link w:val="56"/>
    <w:qFormat/>
    <w:uiPriority w:val="9"/>
    <w:pPr>
      <w:spacing w:before="48"/>
      <w:ind w:left="3150" w:right="3120"/>
      <w:jc w:val="center"/>
      <w:outlineLvl w:val="2"/>
    </w:pPr>
    <w:rPr>
      <w:rFonts w:cs="Times New Roman"/>
      <w:b/>
      <w:bCs/>
      <w:sz w:val="32"/>
      <w:szCs w:val="32"/>
    </w:rPr>
  </w:style>
  <w:style w:type="paragraph" w:styleId="6">
    <w:name w:val="heading 4"/>
    <w:basedOn w:val="1"/>
    <w:next w:val="1"/>
    <w:link w:val="54"/>
    <w:qFormat/>
    <w:uiPriority w:val="9"/>
    <w:pPr>
      <w:spacing w:before="62"/>
      <w:ind w:left="200"/>
      <w:outlineLvl w:val="3"/>
    </w:pPr>
    <w:rPr>
      <w:rFonts w:ascii="等线 Light" w:hAnsi="等线 Light" w:eastAsia="等线 Light" w:cs="Times New Roman"/>
      <w:b/>
      <w:bCs/>
      <w:sz w:val="28"/>
      <w:szCs w:val="28"/>
    </w:rPr>
  </w:style>
  <w:style w:type="paragraph" w:styleId="7">
    <w:name w:val="heading 5"/>
    <w:basedOn w:val="1"/>
    <w:next w:val="1"/>
    <w:link w:val="62"/>
    <w:qFormat/>
    <w:uiPriority w:val="9"/>
    <w:pPr>
      <w:ind w:left="412" w:hanging="207"/>
      <w:outlineLvl w:val="4"/>
    </w:pPr>
    <w:rPr>
      <w:rFonts w:cs="Times New Roman"/>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w:basedOn w:val="1"/>
    <w:link w:val="48"/>
    <w:qFormat/>
    <w:uiPriority w:val="99"/>
    <w:pPr>
      <w:ind w:left="590"/>
    </w:pPr>
    <w:rPr>
      <w:rFonts w:cs="Times New Roman"/>
      <w:szCs w:val="20"/>
    </w:rPr>
  </w:style>
  <w:style w:type="paragraph" w:styleId="8">
    <w:name w:val="index 8"/>
    <w:next w:val="1"/>
    <w:qFormat/>
    <w:uiPriority w:val="0"/>
    <w:pPr>
      <w:widowControl w:val="0"/>
      <w:ind w:left="2940"/>
      <w:jc w:val="both"/>
    </w:pPr>
    <w:rPr>
      <w:rFonts w:ascii="方正仿宋_GBK" w:hAnsi="Calibri" w:eastAsia="方正仿宋_GBK" w:cs="宋体"/>
      <w:kern w:val="2"/>
      <w:sz w:val="32"/>
      <w:szCs w:val="28"/>
      <w:lang w:val="en-US" w:eastAsia="zh-CN" w:bidi="ar-SA"/>
    </w:rPr>
  </w:style>
  <w:style w:type="paragraph" w:styleId="9">
    <w:name w:val="Normal Indent"/>
    <w:basedOn w:val="1"/>
    <w:qFormat/>
    <w:uiPriority w:val="0"/>
    <w:pPr>
      <w:ind w:firstLine="420"/>
    </w:pPr>
    <w:rPr>
      <w:szCs w:val="21"/>
    </w:rPr>
  </w:style>
  <w:style w:type="paragraph" w:styleId="10">
    <w:name w:val="annotation text"/>
    <w:basedOn w:val="1"/>
    <w:link w:val="53"/>
    <w:unhideWhenUsed/>
    <w:qFormat/>
    <w:uiPriority w:val="99"/>
    <w:rPr>
      <w:rFonts w:cs="Times New Roman"/>
    </w:rPr>
  </w:style>
  <w:style w:type="paragraph" w:styleId="11">
    <w:name w:val="Body Text Indent"/>
    <w:basedOn w:val="1"/>
    <w:next w:val="12"/>
    <w:qFormat/>
    <w:uiPriority w:val="0"/>
    <w:pPr>
      <w:ind w:firstLine="830" w:firstLineChars="352"/>
    </w:pPr>
    <w:rPr>
      <w:rFonts w:ascii="仿宋_GB2312" w:eastAsia="仿宋_GB2312"/>
      <w:sz w:val="32"/>
      <w:szCs w:val="20"/>
    </w:rPr>
  </w:style>
  <w:style w:type="paragraph" w:styleId="12">
    <w:name w:val="envelope return"/>
    <w:basedOn w:val="1"/>
    <w:qFormat/>
    <w:uiPriority w:val="99"/>
    <w:pPr>
      <w:snapToGrid w:val="0"/>
    </w:pPr>
    <w:rPr>
      <w:rFonts w:ascii="Arial" w:hAnsi="Arial"/>
    </w:rPr>
  </w:style>
  <w:style w:type="paragraph" w:styleId="13">
    <w:name w:val="Plain Text"/>
    <w:basedOn w:val="1"/>
    <w:qFormat/>
    <w:uiPriority w:val="0"/>
    <w:rPr>
      <w:rFonts w:ascii="宋体" w:hAnsi="Courier New" w:cs="Courier New"/>
      <w:szCs w:val="21"/>
    </w:rPr>
  </w:style>
  <w:style w:type="paragraph" w:styleId="14">
    <w:name w:val="Balloon Text"/>
    <w:basedOn w:val="1"/>
    <w:link w:val="58"/>
    <w:unhideWhenUsed/>
    <w:qFormat/>
    <w:uiPriority w:val="99"/>
    <w:rPr>
      <w:rFonts w:cs="Times New Roman"/>
      <w:sz w:val="18"/>
      <w:szCs w:val="18"/>
    </w:rPr>
  </w:style>
  <w:style w:type="paragraph" w:styleId="15">
    <w:name w:val="footer"/>
    <w:basedOn w:val="1"/>
    <w:link w:val="64"/>
    <w:unhideWhenUsed/>
    <w:qFormat/>
    <w:uiPriority w:val="0"/>
    <w:pPr>
      <w:tabs>
        <w:tab w:val="center" w:pos="4153"/>
        <w:tab w:val="right" w:pos="8306"/>
      </w:tabs>
      <w:snapToGrid w:val="0"/>
    </w:pPr>
    <w:rPr>
      <w:rFonts w:cs="Times New Roman"/>
      <w:sz w:val="18"/>
      <w:szCs w:val="18"/>
    </w:rPr>
  </w:style>
  <w:style w:type="paragraph" w:styleId="16">
    <w:name w:val="header"/>
    <w:basedOn w:val="1"/>
    <w:link w:val="50"/>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17">
    <w:name w:val="Body Text Indent 3"/>
    <w:basedOn w:val="1"/>
    <w:link w:val="59"/>
    <w:unhideWhenUsed/>
    <w:qFormat/>
    <w:uiPriority w:val="99"/>
    <w:pPr>
      <w:spacing w:after="120"/>
      <w:ind w:left="420" w:leftChars="200"/>
    </w:pPr>
    <w:rPr>
      <w:rFonts w:cs="Times New Roman"/>
      <w:sz w:val="16"/>
      <w:szCs w:val="16"/>
    </w:rPr>
  </w:style>
  <w:style w:type="paragraph" w:styleId="18">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9">
    <w:name w:val="annotation subject"/>
    <w:basedOn w:val="10"/>
    <w:next w:val="10"/>
    <w:link w:val="55"/>
    <w:unhideWhenUsed/>
    <w:qFormat/>
    <w:uiPriority w:val="99"/>
    <w:rPr>
      <w:b/>
      <w:bCs/>
    </w:rPr>
  </w:style>
  <w:style w:type="paragraph" w:styleId="20">
    <w:name w:val="Body Text First Indent"/>
    <w:basedOn w:val="2"/>
    <w:link w:val="52"/>
    <w:unhideWhenUsed/>
    <w:qFormat/>
    <w:uiPriority w:val="99"/>
    <w:pPr>
      <w:spacing w:after="120"/>
      <w:ind w:left="0" w:firstLine="420" w:firstLineChars="100"/>
    </w:pPr>
    <w:rPr>
      <w:szCs w:val="22"/>
    </w:rPr>
  </w:style>
  <w:style w:type="paragraph" w:styleId="21">
    <w:name w:val="Body Text First Indent 2"/>
    <w:basedOn w:val="11"/>
    <w:qFormat/>
    <w:uiPriority w:val="0"/>
    <w:pPr>
      <w:spacing w:after="120"/>
      <w:ind w:left="420" w:leftChars="200"/>
    </w:pPr>
    <w:rPr>
      <w:rFonts w:ascii="Calibri" w:hAnsi="Calibri"/>
      <w:sz w:val="21"/>
    </w:r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page number"/>
    <w:qFormat/>
    <w:uiPriority w:val="0"/>
    <w:rPr>
      <w:rFonts w:cs="Times New Roman"/>
    </w:rPr>
  </w:style>
  <w:style w:type="character" w:styleId="27">
    <w:name w:val="FollowedHyperlink"/>
    <w:basedOn w:val="24"/>
    <w:unhideWhenUsed/>
    <w:qFormat/>
    <w:uiPriority w:val="99"/>
    <w:rPr>
      <w:color w:val="003B70"/>
      <w:u w:val="none"/>
    </w:rPr>
  </w:style>
  <w:style w:type="character" w:styleId="28">
    <w:name w:val="Hyperlink"/>
    <w:basedOn w:val="24"/>
    <w:unhideWhenUsed/>
    <w:qFormat/>
    <w:uiPriority w:val="99"/>
    <w:rPr>
      <w:color w:val="003B70"/>
      <w:u w:val="none"/>
    </w:rPr>
  </w:style>
  <w:style w:type="character" w:styleId="29">
    <w:name w:val="annotation reference"/>
    <w:basedOn w:val="24"/>
    <w:unhideWhenUsed/>
    <w:qFormat/>
    <w:uiPriority w:val="99"/>
    <w:rPr>
      <w:sz w:val="21"/>
      <w:szCs w:val="21"/>
    </w:rPr>
  </w:style>
  <w:style w:type="paragraph" w:customStyle="1" w:styleId="30">
    <w:name w:val="表格文字"/>
    <w:basedOn w:val="31"/>
    <w:next w:val="1"/>
    <w:qFormat/>
    <w:uiPriority w:val="0"/>
    <w:pPr>
      <w:spacing w:before="25" w:after="25"/>
      <w:jc w:val="left"/>
    </w:pPr>
    <w:rPr>
      <w:bCs/>
      <w:spacing w:val="10"/>
      <w:kern w:val="0"/>
      <w:sz w:val="24"/>
      <w:szCs w:val="20"/>
    </w:rPr>
  </w:style>
  <w:style w:type="paragraph" w:customStyle="1" w:styleId="31">
    <w:name w:val="表格文字（两侧对齐）"/>
    <w:basedOn w:val="1"/>
    <w:qFormat/>
    <w:uiPriority w:val="0"/>
    <w:pPr>
      <w:widowControl w:val="0"/>
      <w:snapToGrid w:val="0"/>
      <w:spacing w:line="240" w:lineRule="auto"/>
      <w:ind w:firstLine="0" w:firstLineChars="0"/>
    </w:pPr>
    <w:rPr>
      <w:rFonts w:ascii="Calibri" w:hAnsi="Calibri" w:cs="Times New Roman"/>
      <w:kern w:val="0"/>
      <w:sz w:val="20"/>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Heading4"/>
    <w:basedOn w:val="1"/>
    <w:qFormat/>
    <w:uiPriority w:val="0"/>
    <w:pPr>
      <w:keepNext/>
      <w:keepLines/>
      <w:widowControl w:val="0"/>
      <w:suppressLineNumbers w:val="0"/>
      <w:snapToGrid w:val="0"/>
      <w:spacing w:before="200" w:beforeAutospacing="0" w:line="360" w:lineRule="auto"/>
      <w:jc w:val="both"/>
    </w:pPr>
    <w:rPr>
      <w:rFonts w:hint="default" w:ascii="Cambria" w:hAnsi="Cambria" w:eastAsia="宋体" w:cs="Times New Roman"/>
      <w:b/>
      <w:i/>
      <w:color w:val="4F81BD"/>
      <w:kern w:val="0"/>
      <w:sz w:val="20"/>
      <w:szCs w:val="20"/>
      <w:lang w:val="en-US" w:eastAsia="zh-CN" w:bidi="ar"/>
    </w:rPr>
  </w:style>
  <w:style w:type="paragraph" w:customStyle="1" w:styleId="34">
    <w:name w:val="图_0"/>
    <w:basedOn w:val="35"/>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3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Table Paragraph"/>
    <w:basedOn w:val="1"/>
    <w:qFormat/>
    <w:uiPriority w:val="1"/>
    <w:rPr>
      <w:sz w:val="24"/>
      <w:szCs w:val="24"/>
    </w:rPr>
  </w:style>
  <w:style w:type="paragraph" w:customStyle="1" w:styleId="37">
    <w:name w:val="_Style 3"/>
    <w:basedOn w:val="1"/>
    <w:next w:val="17"/>
    <w:qFormat/>
    <w:uiPriority w:val="0"/>
    <w:pPr>
      <w:autoSpaceDE/>
      <w:autoSpaceDN/>
      <w:adjustRightInd/>
      <w:ind w:firstLine="420" w:firstLineChars="200"/>
      <w:jc w:val="both"/>
    </w:pPr>
    <w:rPr>
      <w:rFonts w:ascii="Calibri" w:hAnsi="Calibri" w:eastAsia="Calibri" w:cs="Times New Roman"/>
      <w:kern w:val="2"/>
      <w:lang w:eastAsia="en-US"/>
    </w:rPr>
  </w:style>
  <w:style w:type="paragraph" w:customStyle="1" w:styleId="38">
    <w:name w:val="Char Char Char"/>
    <w:basedOn w:val="1"/>
    <w:qFormat/>
    <w:uiPriority w:val="0"/>
    <w:rPr>
      <w:rFonts w:ascii="宋体" w:hAnsi="宋体"/>
      <w:b/>
      <w:sz w:val="28"/>
      <w:szCs w:val="28"/>
    </w:rPr>
  </w:style>
  <w:style w:type="paragraph" w:customStyle="1" w:styleId="39">
    <w:name w:val="正文1"/>
    <w:basedOn w:val="1"/>
    <w:next w:val="40"/>
    <w:qFormat/>
    <w:uiPriority w:val="0"/>
    <w:pPr>
      <w:spacing w:line="360" w:lineRule="auto"/>
    </w:pPr>
    <w:rPr>
      <w:rFonts w:ascii="宋体" w:hAnsi="华文宋体"/>
      <w:kern w:val="20"/>
      <w:sz w:val="24"/>
      <w:szCs w:val="20"/>
    </w:rPr>
  </w:style>
  <w:style w:type="paragraph" w:customStyle="1" w:styleId="40">
    <w:name w:val="普通正文"/>
    <w:basedOn w:val="39"/>
    <w:qFormat/>
    <w:uiPriority w:val="0"/>
    <w:pPr>
      <w:widowControl/>
      <w:spacing w:line="360" w:lineRule="atLeast"/>
      <w:ind w:firstLine="425"/>
    </w:pPr>
    <w:rPr>
      <w:kern w:val="21"/>
    </w:rPr>
  </w:style>
  <w:style w:type="paragraph" w:customStyle="1" w:styleId="41">
    <w:name w:val="TOC2"/>
    <w:basedOn w:val="1"/>
    <w:next w:val="1"/>
    <w:qFormat/>
    <w:uiPriority w:val="0"/>
    <w:pPr>
      <w:ind w:left="420" w:leftChars="200"/>
    </w:pPr>
    <w:rPr>
      <w:rFonts w:ascii="Calibri" w:hAnsi="Calibri" w:eastAsia="仿宋"/>
      <w:sz w:val="24"/>
    </w:rPr>
  </w:style>
  <w:style w:type="paragraph" w:styleId="42">
    <w:name w:val="List Paragraph"/>
    <w:basedOn w:val="1"/>
    <w:qFormat/>
    <w:uiPriority w:val="1"/>
    <w:pPr>
      <w:ind w:left="206" w:firstLine="384"/>
    </w:pPr>
    <w:rPr>
      <w:sz w:val="24"/>
      <w:szCs w:val="24"/>
    </w:rPr>
  </w:style>
  <w:style w:type="paragraph" w:customStyle="1" w:styleId="43">
    <w:name w:val="_Style 40"/>
    <w:unhideWhenUsed/>
    <w:qFormat/>
    <w:uiPriority w:val="99"/>
    <w:rPr>
      <w:rFonts w:ascii="宋体" w:hAnsi="Times New Roman" w:eastAsia="宋体" w:cs="宋体"/>
      <w:sz w:val="22"/>
      <w:szCs w:val="22"/>
      <w:lang w:val="en-US" w:eastAsia="zh-CN" w:bidi="ar-SA"/>
    </w:rPr>
  </w:style>
  <w:style w:type="paragraph" w:customStyle="1" w:styleId="44">
    <w:name w:val="纯文本_0"/>
    <w:basedOn w:val="35"/>
    <w:qFormat/>
    <w:uiPriority w:val="0"/>
    <w:rPr>
      <w:rFonts w:ascii="宋体" w:hAnsi="Courier New"/>
      <w:kern w:val="0"/>
      <w:sz w:val="20"/>
      <w:szCs w:val="21"/>
    </w:rPr>
  </w:style>
  <w:style w:type="paragraph" w:customStyle="1" w:styleId="45">
    <w:name w:val="RZ表格"/>
    <w:qFormat/>
    <w:uiPriority w:val="0"/>
    <w:pPr>
      <w:textAlignment w:val="center"/>
    </w:pPr>
    <w:rPr>
      <w:rFonts w:ascii="Times New Roman" w:hAnsi="Times New Roman" w:eastAsia="宋体" w:cs="Times New Roman"/>
      <w:bCs/>
      <w:sz w:val="22"/>
      <w:szCs w:val="24"/>
      <w:lang w:val="en-US" w:eastAsia="zh-CN" w:bidi="ar-SA"/>
    </w:r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font41"/>
    <w:qFormat/>
    <w:uiPriority w:val="0"/>
    <w:rPr>
      <w:rFonts w:ascii="Calibri" w:hAnsi="Calibri" w:cs="Calibri"/>
      <w:color w:val="000000"/>
      <w:sz w:val="21"/>
      <w:szCs w:val="21"/>
      <w:u w:val="none"/>
    </w:rPr>
  </w:style>
  <w:style w:type="character" w:customStyle="1" w:styleId="48">
    <w:name w:val="正文文本 Char"/>
    <w:link w:val="2"/>
    <w:semiHidden/>
    <w:qFormat/>
    <w:uiPriority w:val="99"/>
    <w:rPr>
      <w:rFonts w:ascii="宋体" w:hAnsi="Times New Roman" w:eastAsia="宋体" w:cs="宋体"/>
      <w:kern w:val="0"/>
      <w:sz w:val="22"/>
    </w:rPr>
  </w:style>
  <w:style w:type="character" w:customStyle="1" w:styleId="49">
    <w:name w:val="_Style 0"/>
    <w:qFormat/>
    <w:uiPriority w:val="0"/>
    <w:rPr>
      <w:i/>
      <w:iCs/>
      <w:color w:val="808080"/>
    </w:rPr>
  </w:style>
  <w:style w:type="character" w:customStyle="1" w:styleId="50">
    <w:name w:val="页眉 Char"/>
    <w:link w:val="16"/>
    <w:qFormat/>
    <w:uiPriority w:val="99"/>
    <w:rPr>
      <w:rFonts w:ascii="宋体" w:hAnsi="Times New Roman" w:eastAsia="宋体" w:cs="宋体"/>
      <w:kern w:val="0"/>
      <w:sz w:val="18"/>
      <w:szCs w:val="18"/>
    </w:rPr>
  </w:style>
  <w:style w:type="character" w:customStyle="1" w:styleId="51">
    <w:name w:val="标题 1 Char"/>
    <w:link w:val="3"/>
    <w:qFormat/>
    <w:uiPriority w:val="9"/>
    <w:rPr>
      <w:rFonts w:ascii="宋体" w:hAnsi="Times New Roman" w:eastAsia="宋体" w:cs="宋体"/>
      <w:b/>
      <w:bCs/>
      <w:kern w:val="44"/>
      <w:sz w:val="44"/>
      <w:szCs w:val="44"/>
    </w:rPr>
  </w:style>
  <w:style w:type="character" w:customStyle="1" w:styleId="52">
    <w:name w:val="正文首行缩进 Char"/>
    <w:link w:val="20"/>
    <w:semiHidden/>
    <w:qFormat/>
    <w:uiPriority w:val="99"/>
    <w:rPr>
      <w:rFonts w:ascii="宋体" w:hAnsi="Times New Roman" w:eastAsia="宋体" w:cs="宋体"/>
      <w:kern w:val="0"/>
      <w:sz w:val="22"/>
      <w:szCs w:val="22"/>
    </w:rPr>
  </w:style>
  <w:style w:type="character" w:customStyle="1" w:styleId="53">
    <w:name w:val="批注文字 Char"/>
    <w:link w:val="10"/>
    <w:qFormat/>
    <w:uiPriority w:val="99"/>
    <w:rPr>
      <w:rFonts w:ascii="宋体" w:hAnsi="Times New Roman" w:eastAsia="宋体" w:cs="宋体"/>
      <w:sz w:val="22"/>
      <w:szCs w:val="22"/>
    </w:rPr>
  </w:style>
  <w:style w:type="character" w:customStyle="1" w:styleId="54">
    <w:name w:val="标题 4 Char"/>
    <w:link w:val="6"/>
    <w:semiHidden/>
    <w:qFormat/>
    <w:uiPriority w:val="9"/>
    <w:rPr>
      <w:rFonts w:ascii="等线 Light" w:hAnsi="等线 Light" w:eastAsia="等线 Light" w:cs="Times New Roman"/>
      <w:b/>
      <w:bCs/>
      <w:kern w:val="0"/>
      <w:sz w:val="28"/>
      <w:szCs w:val="28"/>
    </w:rPr>
  </w:style>
  <w:style w:type="character" w:customStyle="1" w:styleId="55">
    <w:name w:val="批注主题 Char"/>
    <w:link w:val="19"/>
    <w:semiHidden/>
    <w:qFormat/>
    <w:uiPriority w:val="99"/>
    <w:rPr>
      <w:rFonts w:ascii="宋体" w:hAnsi="Times New Roman" w:eastAsia="宋体" w:cs="宋体"/>
      <w:b/>
      <w:bCs/>
      <w:sz w:val="22"/>
      <w:szCs w:val="22"/>
    </w:rPr>
  </w:style>
  <w:style w:type="character" w:customStyle="1" w:styleId="56">
    <w:name w:val="标题 3 Char"/>
    <w:link w:val="5"/>
    <w:semiHidden/>
    <w:qFormat/>
    <w:uiPriority w:val="9"/>
    <w:rPr>
      <w:rFonts w:ascii="宋体" w:hAnsi="Times New Roman" w:eastAsia="宋体" w:cs="宋体"/>
      <w:b/>
      <w:bCs/>
      <w:kern w:val="0"/>
      <w:sz w:val="32"/>
      <w:szCs w:val="32"/>
    </w:rPr>
  </w:style>
  <w:style w:type="character" w:customStyle="1" w:styleId="57">
    <w:name w:val="p141_0"/>
    <w:qFormat/>
    <w:uiPriority w:val="0"/>
    <w:rPr>
      <w:rFonts w:ascii="Calibri" w:hAnsi="Calibri"/>
      <w:sz w:val="21"/>
      <w:szCs w:val="21"/>
    </w:rPr>
  </w:style>
  <w:style w:type="character" w:customStyle="1" w:styleId="58">
    <w:name w:val="批注框文本 Char"/>
    <w:link w:val="14"/>
    <w:semiHidden/>
    <w:qFormat/>
    <w:uiPriority w:val="99"/>
    <w:rPr>
      <w:rFonts w:ascii="宋体" w:hAnsi="Times New Roman" w:eastAsia="宋体" w:cs="宋体"/>
      <w:sz w:val="18"/>
      <w:szCs w:val="18"/>
    </w:rPr>
  </w:style>
  <w:style w:type="character" w:customStyle="1" w:styleId="59">
    <w:name w:val="正文文本缩进 3 Char"/>
    <w:link w:val="17"/>
    <w:semiHidden/>
    <w:qFormat/>
    <w:uiPriority w:val="99"/>
    <w:rPr>
      <w:rFonts w:ascii="宋体" w:hAnsi="Times New Roman" w:eastAsia="宋体" w:cs="宋体"/>
      <w:sz w:val="16"/>
      <w:szCs w:val="16"/>
    </w:rPr>
  </w:style>
  <w:style w:type="character" w:customStyle="1" w:styleId="60">
    <w:name w:val="标题 2 Char"/>
    <w:link w:val="4"/>
    <w:semiHidden/>
    <w:qFormat/>
    <w:uiPriority w:val="9"/>
    <w:rPr>
      <w:rFonts w:ascii="等线 Light" w:hAnsi="等线 Light" w:eastAsia="等线 Light" w:cs="Times New Roman"/>
      <w:b/>
      <w:bCs/>
      <w:kern w:val="0"/>
      <w:sz w:val="32"/>
      <w:szCs w:val="32"/>
    </w:rPr>
  </w:style>
  <w:style w:type="character" w:customStyle="1" w:styleId="61">
    <w:name w:val="正文文本 字符1"/>
    <w:semiHidden/>
    <w:qFormat/>
    <w:uiPriority w:val="99"/>
    <w:rPr>
      <w:rFonts w:ascii="宋体" w:hAnsi="Times New Roman" w:eastAsia="宋体" w:cs="宋体"/>
      <w:kern w:val="0"/>
      <w:sz w:val="22"/>
    </w:rPr>
  </w:style>
  <w:style w:type="character" w:customStyle="1" w:styleId="62">
    <w:name w:val="标题 5 Char"/>
    <w:link w:val="7"/>
    <w:semiHidden/>
    <w:qFormat/>
    <w:uiPriority w:val="9"/>
    <w:rPr>
      <w:rFonts w:ascii="宋体" w:hAnsi="Times New Roman" w:eastAsia="宋体" w:cs="宋体"/>
      <w:b/>
      <w:bCs/>
      <w:kern w:val="0"/>
      <w:sz w:val="28"/>
      <w:szCs w:val="28"/>
    </w:rPr>
  </w:style>
  <w:style w:type="character" w:customStyle="1" w:styleId="63">
    <w:name w:val="不明显强调1"/>
    <w:qFormat/>
    <w:uiPriority w:val="0"/>
    <w:rPr>
      <w:i/>
      <w:iCs/>
      <w:color w:val="808080"/>
    </w:rPr>
  </w:style>
  <w:style w:type="character" w:customStyle="1" w:styleId="64">
    <w:name w:val="页脚 Char"/>
    <w:link w:val="15"/>
    <w:qFormat/>
    <w:uiPriority w:val="0"/>
    <w:rPr>
      <w:rFonts w:ascii="宋体" w:hAnsi="Times New Roman" w:eastAsia="宋体" w:cs="宋体"/>
      <w:kern w:val="0"/>
      <w:sz w:val="18"/>
      <w:szCs w:val="18"/>
    </w:rPr>
  </w:style>
  <w:style w:type="paragraph" w:customStyle="1" w:styleId="65">
    <w:name w:val="首行缩进"/>
    <w:basedOn w:val="1"/>
    <w:qFormat/>
    <w:uiPriority w:val="0"/>
    <w:pPr>
      <w:spacing w:line="360" w:lineRule="auto"/>
      <w:ind w:firstLine="420"/>
    </w:pPr>
    <w:rPr>
      <w:rFonts w:ascii="宋体" w:hAnsi="宋体" w:eastAsia="宋体"/>
    </w:rPr>
  </w:style>
  <w:style w:type="character" w:customStyle="1" w:styleId="66">
    <w:name w:val="font21"/>
    <w:basedOn w:val="24"/>
    <w:qFormat/>
    <w:uiPriority w:val="0"/>
    <w:rPr>
      <w:rFonts w:hint="eastAsia" w:ascii="宋体" w:hAnsi="宋体" w:eastAsia="宋体" w:cs="宋体"/>
      <w:color w:val="333333"/>
      <w:sz w:val="20"/>
      <w:szCs w:val="20"/>
      <w:u w:val="none"/>
    </w:rPr>
  </w:style>
  <w:style w:type="paragraph" w:customStyle="1" w:styleId="67">
    <w:name w:val="Char Char1 Char Char Char Char Char Char Char Char Char Char"/>
    <w:basedOn w:val="1"/>
    <w:qFormat/>
    <w:uiPriority w:val="0"/>
    <w:rPr>
      <w:rFonts w:ascii="Tahoma" w:hAnsi="Tahoma"/>
      <w:sz w:val="24"/>
      <w:szCs w:val="20"/>
    </w:rPr>
  </w:style>
  <w:style w:type="paragraph" w:customStyle="1" w:styleId="68">
    <w:name w:val="null3"/>
    <w:hidden/>
    <w:qFormat/>
    <w:uiPriority w:val="0"/>
    <w:rPr>
      <w:rFonts w:hint="eastAsia" w:asciiTheme="minorHAnsi" w:hAnsiTheme="minorHAnsi" w:eastAsiaTheme="minorEastAsia" w:cstheme="minorBidi"/>
      <w:lang w:val="en-US" w:eastAsia="zh-Hans" w:bidi="ar-SA"/>
    </w:rPr>
  </w:style>
  <w:style w:type="character" w:customStyle="1" w:styleId="69">
    <w:name w:val="font51"/>
    <w:basedOn w:val="24"/>
    <w:qFormat/>
    <w:uiPriority w:val="0"/>
    <w:rPr>
      <w:rFonts w:hint="eastAsia" w:ascii="宋体" w:hAnsi="宋体" w:eastAsia="宋体" w:cs="宋体"/>
      <w:b/>
      <w:bCs/>
      <w:color w:val="000000"/>
      <w:sz w:val="22"/>
      <w:szCs w:val="22"/>
      <w:u w:val="none"/>
    </w:rPr>
  </w:style>
  <w:style w:type="character" w:customStyle="1" w:styleId="70">
    <w:name w:val="font01"/>
    <w:basedOn w:val="24"/>
    <w:qFormat/>
    <w:uiPriority w:val="0"/>
    <w:rPr>
      <w:rFonts w:hint="eastAsia" w:ascii="等线" w:hAnsi="等线" w:eastAsia="等线" w:cs="等线"/>
      <w:color w:val="000000"/>
      <w:sz w:val="22"/>
      <w:szCs w:val="22"/>
      <w:u w:val="none"/>
    </w:rPr>
  </w:style>
  <w:style w:type="paragraph" w:customStyle="1" w:styleId="7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72">
    <w:name w:val="正文-标准"/>
    <w:basedOn w:val="1"/>
    <w:qFormat/>
    <w:uiPriority w:val="0"/>
    <w:pPr>
      <w:autoSpaceDE w:val="0"/>
      <w:autoSpaceDN w:val="0"/>
      <w:adjustRightInd w:val="0"/>
      <w:spacing w:line="360" w:lineRule="exact"/>
      <w:jc w:val="left"/>
    </w:pPr>
    <w:rPr>
      <w:rFonts w:eastAsia="宋体" w:cs="宋体"/>
      <w:kern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6779</Words>
  <Characters>7657</Characters>
  <Lines>634</Lines>
  <Paragraphs>178</Paragraphs>
  <TotalTime>2</TotalTime>
  <ScaleCrop>false</ScaleCrop>
  <LinksUpToDate>false</LinksUpToDate>
  <CharactersWithSpaces>7773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2022-02-21T07:40:00Z</dcterms:created>
  <dc:creator>国义</dc:creator>
  <cp:lastModifiedBy>梁云亭</cp:lastModifiedBy>
  <cp:lastPrinted>2023-10-26T07:49:00Z</cp:lastPrinted>
  <dcterms:modified xsi:type="dcterms:W3CDTF">2025-06-13T04:11:53Z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wkhtmltopdf 0.12.5</vt:lpwstr>
  </property>
  <property fmtid="{D5CDD505-2E9C-101B-9397-08002B2CF9AE}" pid="3" name="KSOProductBuildVer">
    <vt:lpwstr>2052-12.1.0.21541</vt:lpwstr>
  </property>
  <property fmtid="{D5CDD505-2E9C-101B-9397-08002B2CF9AE}" pid="4" name="ICV">
    <vt:lpwstr>A254415CA20A4AB485A36E38AA2BA942</vt:lpwstr>
  </property>
  <property fmtid="{D5CDD505-2E9C-101B-9397-08002B2CF9AE}" pid="5" name="KSOTemplateDocerSaveRecord">
    <vt:lpwstr>eyJoZGlkIjoiY2UxZmJiY2RlMzMxNDdlZTIzMzVmNDYzYmNlNTYwODkiLCJ1c2VySWQiOiI2NDYzNTY4ODUifQ==</vt:lpwstr>
  </property>
</Properties>
</file>