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440111-2025-02964</w:t>
      </w:r>
    </w:p>
    <w:p>
      <w:pPr>
        <w:pStyle w:val="null3"/>
        <w:jc w:val="center"/>
        <w:outlineLvl w:val="3"/>
      </w:pPr>
      <w:r>
        <w:rPr>
          <w:sz w:val="24"/>
          <w:b/>
        </w:rPr>
        <w:t>采购项目编号：</w:t>
      </w:r>
      <w:r>
        <w:rPr>
          <w:sz w:val="24"/>
          <w:b/>
        </w:rPr>
        <w:t>0724-2511Z1A14135</w:t>
      </w:r>
    </w:p>
    <w:p>
      <w:pPr>
        <w:pStyle w:val="null3"/>
        <w:jc w:val="center"/>
        <w:outlineLvl w:val="3"/>
      </w:pPr>
      <w:r>
        <w:rPr>
          <w:sz w:val="24"/>
          <w:b/>
        </w:rPr>
        <w:t>项目名称：</w:t>
      </w:r>
      <w:r>
        <w:rPr>
          <w:sz w:val="24"/>
          <w:b/>
        </w:rPr>
        <w:t>广州市白云区人民医院康复及治疗设备采购项目</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广州市白云区人民医院康复及治疗设备采购项目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广州市白云区人民医院康复及治疗设备采购项目</w:t>
      </w:r>
    </w:p>
    <w:p>
      <w:pPr>
        <w:pStyle w:val="null3"/>
        <w:ind w:firstLine="480"/>
      </w:pPr>
      <w:r>
        <w:rPr/>
        <w:t>采购计划编号：</w:t>
      </w:r>
      <w:r>
        <w:rPr/>
        <w:t>440111-2025-02964</w:t>
      </w:r>
    </w:p>
    <w:p>
      <w:pPr>
        <w:pStyle w:val="null3"/>
        <w:ind w:firstLine="480"/>
      </w:pPr>
      <w:r>
        <w:rPr/>
        <w:t>采购项目编号：</w:t>
      </w:r>
      <w:r>
        <w:rPr/>
        <w:t>0724-2511Z1A14135</w:t>
      </w:r>
    </w:p>
    <w:p>
      <w:pPr>
        <w:pStyle w:val="null3"/>
        <w:ind w:firstLine="480"/>
      </w:pPr>
      <w:r>
        <w:rPr/>
        <w:t>采购方式：</w:t>
      </w:r>
      <w:r>
        <w:rPr/>
        <w:t>公开招标</w:t>
      </w:r>
    </w:p>
    <w:p>
      <w:pPr>
        <w:pStyle w:val="null3"/>
        <w:ind w:firstLine="480"/>
      </w:pPr>
      <w:r>
        <w:rPr/>
        <w:t>预算金额：</w:t>
      </w:r>
      <w:r>
        <w:rPr/>
        <w:t>1,975,000.00</w:t>
      </w:r>
      <w:r>
        <w:rPr/>
        <w:t>元</w:t>
      </w:r>
    </w:p>
    <w:p>
      <w:pPr>
        <w:pStyle w:val="null3"/>
        <w:outlineLvl w:val="3"/>
      </w:pPr>
      <w:r>
        <w:rPr>
          <w:sz w:val="24"/>
          <w:b/>
        </w:rPr>
        <w:t>2.项目内容及需求情况（采购项目技术规格、参数及要求）</w:t>
      </w:r>
    </w:p>
    <w:p>
      <w:pPr>
        <w:pStyle w:val="null3"/>
      </w:pPr>
      <w:r>
        <w:rPr/>
        <w:t>采购包1(康复及治疗设备采购项目):</w:t>
      </w:r>
    </w:p>
    <w:p>
      <w:pPr>
        <w:pStyle w:val="null3"/>
      </w:pPr>
      <w:r>
        <w:rPr/>
        <w:t>采购包预算金额：1,975,000.00元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脉冲磁场刺激仪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640,000.00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体外碎石机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488,000.00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认知康复训练与评估系统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390,000.00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生物刺激反馈仪（磁疗盆底治疗仪）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磁疗盆底治疗仪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物理治疗、康复及体育治疗仪器设备</w:t>
            </w:r>
          </w:p>
        </w:tc>
        <w:tc>
          <w:tcPr>
            <w:tcW w:type="dxa" w:w="2052"/>
          </w:tcPr>
          <w:p>
            <w:pPr>
              <w:pStyle w:val="null3"/>
            </w:pPr>
            <w:r>
              <w:rPr/>
              <w:t>微波治疗仪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温热中频治疗仪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物理治疗、康复及体育治疗仪器设备</w:t>
            </w:r>
          </w:p>
        </w:tc>
        <w:tc>
          <w:tcPr>
            <w:tcW w:type="dxa" w:w="2052"/>
          </w:tcPr>
          <w:p>
            <w:pPr>
              <w:pStyle w:val="null3"/>
            </w:pPr>
            <w:r>
              <w:rPr/>
              <w:t>全自动仿生助产仪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88,000.00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物理治疗、康复及体育治疗仪器设备</w:t>
            </w:r>
          </w:p>
        </w:tc>
        <w:tc>
          <w:tcPr>
            <w:tcW w:type="dxa" w:w="2052"/>
          </w:tcPr>
          <w:p>
            <w:pPr>
              <w:pStyle w:val="null3"/>
            </w:pPr>
            <w:r>
              <w:rPr/>
              <w:t>光电离子治疗仪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物理治疗、康复及体育治疗仪器设备</w:t>
            </w:r>
          </w:p>
        </w:tc>
        <w:tc>
          <w:tcPr>
            <w:tcW w:type="dxa" w:w="2052"/>
          </w:tcPr>
          <w:p>
            <w:pPr>
              <w:pStyle w:val="null3"/>
            </w:pPr>
            <w:r>
              <w:rPr/>
              <w:t>神经刺激仪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采购包1（康复及治疗设备采购项目）：</w:t>
      </w: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采购包1（康复及治疗设备采购项目）：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特定资格要求（满足以下任一条件即可）：①适用于投标人为所投产品经营企业：所投产品为第三类医疗器械，须具有《医疗器械经营许可证》；所投产品为第二类医疗器械，须具有《第二类医疗器械经营备案凭证》或承诺供货前取得《第二类医疗器械经营备案凭证》；所投产品为第一类医疗器械或不属于医疗器械，无需提供证明材料。②适用于投标人为所投产品生产企业：所投产品为第二类、第三类医疗器械，须具有《医疗器械生产许可证》；所投产品为第一类医疗器械，须具有《第一类医疗器械生产备案凭证》或承诺供货前取得《第一类医疗器械生产备案凭证》；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技术商务要求</w:t>
      </w:r>
    </w:p>
    <w:p>
      <w:pPr>
        <w:pStyle w:val="null3"/>
        <w:jc w:val="left"/>
      </w:pPr>
      <w:r>
        <w:rPr>
          <w:sz w:val="21"/>
          <w:b/>
        </w:rPr>
        <w:t>一、采购设备清单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725"/>
        <w:gridCol w:w="1888"/>
        <w:gridCol w:w="649"/>
        <w:gridCol w:w="664"/>
        <w:gridCol w:w="1586"/>
        <w:gridCol w:w="1586"/>
        <w:gridCol w:w="1208"/>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分项预算单价（元）</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分项预算总价（元）</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脉冲磁场刺激仪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核心产品、主要标的</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体外碎石机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主要标的</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认知康复训练与评估系统</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生物刺激反馈仪（磁疗盆底治疗仪）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磁疗盆底治疗仪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微波治疗仪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温热中频治疗仪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全自动仿生助产仪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光电离子治疗仪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神经刺激仪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60,000.00</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60,000.00</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★投标人报价不可超过预算单价，否则投标无效。</w:t>
      </w:r>
    </w:p>
    <w:p>
      <w:pPr>
        <w:pStyle w:val="null3"/>
        <w:jc w:val="left"/>
      </w:pPr>
      <w:r>
        <w:rPr>
          <w:sz w:val="21"/>
          <w:b/>
        </w:rPr>
        <w:t>★投标人所投产品如纳入医疗器械管理的，具有有效的中华人民共和国医疗器械注册证明。</w:t>
      </w:r>
    </w:p>
    <w:p>
      <w:pPr>
        <w:pStyle w:val="null3"/>
        <w:jc w:val="left"/>
      </w:pPr>
      <w:r>
        <w:rPr>
          <w:sz w:val="21"/>
          <w:b/>
        </w:rPr>
        <w:t>二、技术参数：</w:t>
      </w:r>
    </w:p>
    <w:p>
      <w:pPr>
        <w:pStyle w:val="null3"/>
        <w:ind w:firstLine="422"/>
        <w:jc w:val="center"/>
      </w:pPr>
      <w:r>
        <w:rPr>
          <w:sz w:val="21"/>
          <w:b/>
        </w:rPr>
        <w:t>序号</w:t>
      </w:r>
      <w:r>
        <w:rPr>
          <w:sz w:val="21"/>
          <w:b/>
        </w:rPr>
        <w:t>1：脉冲磁场刺激仪</w:t>
      </w:r>
    </w:p>
    <w:p>
      <w:pPr>
        <w:pStyle w:val="null3"/>
        <w:jc w:val="both"/>
      </w:pPr>
      <w:r>
        <w:rPr>
          <w:sz w:val="21"/>
          <w:b/>
        </w:rPr>
        <w:t>（一）硬件</w:t>
      </w:r>
    </w:p>
    <w:p>
      <w:pPr>
        <w:pStyle w:val="null3"/>
        <w:ind w:firstLine="420"/>
      </w:pPr>
      <w:r>
        <w:rPr>
          <w:sz w:val="21"/>
        </w:rPr>
        <w:t>1.▲单主机双通道，标配蝶形和圆形两个刺激线圈，后期可增配其他线圈，如：深部线圈、动物线圈、儿童线圈、伪线圈等（需提供证明材料）。</w:t>
      </w:r>
    </w:p>
    <w:p>
      <w:pPr>
        <w:pStyle w:val="null3"/>
        <w:ind w:firstLine="420"/>
      </w:pPr>
      <w:r>
        <w:rPr>
          <w:sz w:val="21"/>
        </w:rPr>
        <w:t>2.▲冷却系统：高效变频智能风冷液冷一体式散热系统，冷却液应无渗漏、无挥发现象。</w:t>
      </w:r>
    </w:p>
    <w:p>
      <w:pPr>
        <w:pStyle w:val="null3"/>
        <w:ind w:firstLine="420"/>
      </w:pPr>
      <w:r>
        <w:rPr>
          <w:sz w:val="21"/>
        </w:rPr>
        <w:t>3.设备支持24h持续刺激输出，当冷却系统发生故障时，有提示或停止磁场输出（需提供检验报告）。</w:t>
      </w:r>
    </w:p>
    <w:p>
      <w:pPr>
        <w:pStyle w:val="null3"/>
        <w:ind w:firstLine="420"/>
      </w:pPr>
      <w:r>
        <w:rPr>
          <w:sz w:val="21"/>
        </w:rPr>
        <w:t>4.▲刺激线圈可直接调节强度，且具备温度、磁场强度和磁场上升率3种显示功能，方便治疗师实时了解线圈温度与磁场强度，确保治疗安全性（需提供实物图）。</w:t>
      </w:r>
    </w:p>
    <w:p>
      <w:pPr>
        <w:pStyle w:val="null3"/>
        <w:ind w:firstLine="420"/>
      </w:pPr>
      <w:r>
        <w:rPr>
          <w:sz w:val="21"/>
        </w:rPr>
        <w:t>5.磁刺激线圈表面温度≤40℃，当刺激线圈温度超过该温度，磁刺激仪应自动停止刺激输出（需提供检验报告）。</w:t>
      </w:r>
    </w:p>
    <w:p>
      <w:pPr>
        <w:pStyle w:val="null3"/>
        <w:ind w:firstLine="420"/>
      </w:pPr>
      <w:r>
        <w:rPr>
          <w:sz w:val="21"/>
        </w:rPr>
        <w:t>6.提供快速切换线圈功能：无需插拔线圈，长按线圈按键即可完成线圈快速切换（提供证明材料）。</w:t>
      </w:r>
    </w:p>
    <w:p>
      <w:pPr>
        <w:pStyle w:val="null3"/>
        <w:ind w:firstLine="420"/>
      </w:pPr>
      <w:r>
        <w:rPr>
          <w:sz w:val="21"/>
        </w:rPr>
        <w:t>7.标配运动诱发电位检查模块：可实时同步记录多靶肌MEP，可用于在治疗中进行电生理安全监测（需提供检验报告）。</w:t>
      </w:r>
    </w:p>
    <w:p>
      <w:pPr>
        <w:pStyle w:val="null3"/>
        <w:ind w:firstLine="420"/>
      </w:pPr>
      <w:r>
        <w:rPr>
          <w:sz w:val="21"/>
        </w:rPr>
        <w:t>8.▲运动诱发电位检查模块支持无线和有线传输功能，便于临床操作（需提供检验报告）。</w:t>
      </w:r>
    </w:p>
    <w:p>
      <w:pPr>
        <w:pStyle w:val="null3"/>
        <w:ind w:firstLine="420"/>
      </w:pPr>
      <w:r>
        <w:rPr>
          <w:sz w:val="21"/>
        </w:rPr>
        <w:t>9.▲标配触控式一体机（触摸屏），操作简单，一体机与工作站紧密固定，非笔记本直接放置在台面上，无跌落风险。支持一键断电关机，无中病毒风险，数据更安全。</w:t>
      </w:r>
    </w:p>
    <w:p>
      <w:pPr>
        <w:pStyle w:val="null3"/>
        <w:ind w:firstLine="420"/>
      </w:pPr>
      <w:r>
        <w:rPr>
          <w:sz w:val="21"/>
        </w:rPr>
        <w:t>10.产品符合YY 9706.102-2021 医用设备EMC要求更安全（需提供检验报告）。</w:t>
      </w:r>
    </w:p>
    <w:p>
      <w:pPr>
        <w:pStyle w:val="null3"/>
        <w:ind w:firstLine="420"/>
      </w:pPr>
      <w:r>
        <w:rPr>
          <w:sz w:val="21"/>
        </w:rPr>
        <w:t>11.开放式设计平台，具备延时触发功能；提供触发输入输出通用接口，可用于连接其他设备如电刺激、EMG、近红外、导航等。</w:t>
      </w:r>
    </w:p>
    <w:p>
      <w:pPr>
        <w:pStyle w:val="null3"/>
        <w:ind w:firstLine="420"/>
      </w:pPr>
      <w:r>
        <w:rPr>
          <w:sz w:val="21"/>
        </w:rPr>
        <w:t>12.▲高品质恒定电容，可支持设备使用年限（或使用寿命）≥10年（需提供铭牌或说明书）。</w:t>
      </w:r>
    </w:p>
    <w:p>
      <w:pPr>
        <w:pStyle w:val="null3"/>
        <w:jc w:val="both"/>
      </w:pPr>
      <w:r>
        <w:rPr>
          <w:sz w:val="21"/>
          <w:b/>
        </w:rPr>
        <w:t>（二）主机技术指标</w:t>
      </w:r>
    </w:p>
    <w:p>
      <w:pPr>
        <w:pStyle w:val="null3"/>
        <w:ind w:firstLine="420"/>
        <w:jc w:val="both"/>
      </w:pPr>
      <w:r>
        <w:rPr>
          <w:sz w:val="21"/>
        </w:rPr>
        <w:t>1.最大磁感应强度：≧6T。（需提供检验报告）</w:t>
      </w:r>
    </w:p>
    <w:p>
      <w:pPr>
        <w:pStyle w:val="null3"/>
        <w:ind w:firstLine="420"/>
        <w:jc w:val="both"/>
      </w:pPr>
      <w:r>
        <w:rPr>
          <w:sz w:val="21"/>
        </w:rPr>
        <w:t>2.最大磁感应强度允差:≤±5%（需提供检验报告），允差越小，磁场输出强度越稳定。</w:t>
      </w:r>
    </w:p>
    <w:p>
      <w:pPr>
        <w:pStyle w:val="null3"/>
        <w:ind w:firstLine="420"/>
        <w:jc w:val="both"/>
      </w:pPr>
      <w:r>
        <w:rPr>
          <w:sz w:val="21"/>
        </w:rPr>
        <w:t>3.▲输出脉冲重复频率：0. 1 Hz～100Hz可调；1 Hz以下步长0.1Hz, 1Hz以上步长1Hz；允差≤ ±3%（需提供检验报告），允差越小，磁场输出频率越稳定。</w:t>
      </w:r>
    </w:p>
    <w:p>
      <w:pPr>
        <w:pStyle w:val="null3"/>
        <w:ind w:firstLine="420"/>
        <w:jc w:val="both"/>
      </w:pPr>
      <w:r>
        <w:rPr>
          <w:sz w:val="21"/>
        </w:rPr>
        <w:t>4.脉冲上升时间：50μs ±10μs。（需提供检验报告）</w:t>
      </w:r>
    </w:p>
    <w:p>
      <w:pPr>
        <w:pStyle w:val="null3"/>
        <w:ind w:firstLine="420"/>
        <w:jc w:val="both"/>
      </w:pPr>
      <w:r>
        <w:rPr>
          <w:sz w:val="21"/>
        </w:rPr>
        <w:t>5.脉冲持续时间：340μs ±20μs。（需提供检验报告）</w:t>
      </w:r>
    </w:p>
    <w:p>
      <w:pPr>
        <w:pStyle w:val="null3"/>
        <w:ind w:firstLine="420"/>
        <w:jc w:val="both"/>
      </w:pPr>
      <w:r>
        <w:rPr>
          <w:sz w:val="21"/>
        </w:rPr>
        <w:t>6.磁感应强度最大变化率范围：≧90kT/s；磁感应强度最大变化率越大，越容易诱发神经去极化，设备的治疗效率更高。</w:t>
      </w:r>
    </w:p>
    <w:p>
      <w:pPr>
        <w:pStyle w:val="null3"/>
        <w:jc w:val="both"/>
      </w:pPr>
      <w:r>
        <w:rPr>
          <w:sz w:val="21"/>
          <w:b/>
        </w:rPr>
        <w:t>（三）运动诱发电位监测模块技术指标</w:t>
      </w:r>
    </w:p>
    <w:p>
      <w:pPr>
        <w:pStyle w:val="null3"/>
        <w:ind w:firstLine="420"/>
      </w:pPr>
      <w:r>
        <w:rPr>
          <w:sz w:val="21"/>
        </w:rPr>
        <w:t>1.通道数≥2通道。</w:t>
      </w:r>
    </w:p>
    <w:p>
      <w:pPr>
        <w:pStyle w:val="null3"/>
        <w:ind w:firstLine="420"/>
      </w:pPr>
      <w:r>
        <w:rPr>
          <w:sz w:val="21"/>
        </w:rPr>
        <w:t>2.工频陷波器：有50Hz陷波滤波器，衰减后幅值应不大于5μV（峰-谷值）。</w:t>
      </w:r>
    </w:p>
    <w:p>
      <w:pPr>
        <w:pStyle w:val="null3"/>
        <w:jc w:val="both"/>
      </w:pPr>
      <w:r>
        <w:rPr>
          <w:sz w:val="21"/>
          <w:b/>
        </w:rPr>
        <w:t>（四）软件</w:t>
      </w:r>
    </w:p>
    <w:p>
      <w:pPr>
        <w:pStyle w:val="null3"/>
        <w:ind w:firstLine="420"/>
      </w:pPr>
      <w:r>
        <w:rPr>
          <w:sz w:val="21"/>
        </w:rPr>
        <w:t>1.可实现单脉冲刺激、重复脉冲刺激和模式化刺激（含TBS模式）、单拍成对刺激、双拍成对重复刺激等常见磁刺激模式。（需提供检验报告）</w:t>
      </w:r>
    </w:p>
    <w:p>
      <w:pPr>
        <w:pStyle w:val="null3"/>
        <w:ind w:firstLine="420"/>
      </w:pPr>
      <w:r>
        <w:rPr>
          <w:sz w:val="21"/>
        </w:rPr>
        <w:t>2.内置多种专家方案，支持自定义编辑方案，支持组合方案，供临床医生选择。</w:t>
      </w:r>
    </w:p>
    <w:p>
      <w:pPr>
        <w:pStyle w:val="null3"/>
        <w:ind w:firstLine="420"/>
      </w:pPr>
      <w:r>
        <w:rPr>
          <w:sz w:val="21"/>
        </w:rPr>
        <w:t>3.▲提供自动阈值检测功能：设备可自动调节刺激强度，分析由运动诱发模块采集到的肌电信号，确定运动阈值（需提供检验报告），减轻临床工作难度，提升治疗效率。</w:t>
      </w:r>
    </w:p>
    <w:p>
      <w:pPr>
        <w:pStyle w:val="null3"/>
        <w:ind w:firstLine="420"/>
      </w:pPr>
      <w:r>
        <w:rPr>
          <w:sz w:val="21"/>
        </w:rPr>
        <w:t>4.在治疗开始页面，留有快速调整脉冲总数按键，一键快速调整脉冲总数（增多/减少），方便操作老师制定个性化治疗方案（提供仪器页面截图）</w:t>
      </w:r>
    </w:p>
    <w:p>
      <w:pPr>
        <w:pStyle w:val="null3"/>
        <w:ind w:firstLine="420"/>
      </w:pPr>
      <w:r>
        <w:rPr>
          <w:sz w:val="21"/>
        </w:rPr>
        <w:t>5.支持多种神经电生理检测项目：MT阈值检测、MEP评估、CMCT、、CSP、ICI和ICF。（提供产品软件图片）</w:t>
      </w:r>
    </w:p>
    <w:p>
      <w:pPr>
        <w:pStyle w:val="null3"/>
        <w:ind w:firstLine="420"/>
      </w:pPr>
      <w:r>
        <w:rPr>
          <w:sz w:val="21"/>
        </w:rPr>
        <w:t>6.治疗界面能够实时采集运动诱发电位，并提供大脑解剖定位图辅助定位。（提供产品软件图片）</w:t>
      </w:r>
    </w:p>
    <w:p>
      <w:pPr>
        <w:pStyle w:val="null3"/>
        <w:ind w:firstLine="420"/>
      </w:pPr>
      <w:r>
        <w:rPr>
          <w:sz w:val="21"/>
        </w:rPr>
        <w:t>7.患者基本信息、临床方案、诊疗记录等信息海量存储，并可实时查询、编辑及导出数据备份保存；配置病员管理云系统：多台设备病员信息局域网内共享。</w:t>
      </w:r>
    </w:p>
    <w:p>
      <w:pPr>
        <w:pStyle w:val="null3"/>
        <w:jc w:val="both"/>
      </w:pPr>
      <w:r>
        <w:rPr>
          <w:sz w:val="21"/>
          <w:b/>
        </w:rPr>
        <w:t>（五）技术服务能力要求</w:t>
      </w:r>
    </w:p>
    <w:p>
      <w:pPr>
        <w:pStyle w:val="null3"/>
        <w:ind w:firstLine="420"/>
        <w:jc w:val="left"/>
      </w:pPr>
      <w:r>
        <w:rPr>
          <w:sz w:val="21"/>
        </w:rPr>
        <w:t>1.整机维保≥3 年</w:t>
      </w:r>
    </w:p>
    <w:p>
      <w:pPr>
        <w:pStyle w:val="null3"/>
        <w:ind w:firstLine="422"/>
        <w:jc w:val="center"/>
      </w:pPr>
      <w:r>
        <w:rPr>
          <w:sz w:val="21"/>
          <w:b/>
        </w:rPr>
        <w:t>序号</w:t>
      </w:r>
      <w:r>
        <w:rPr>
          <w:sz w:val="21"/>
          <w:b/>
        </w:rPr>
        <w:t>2：体外碎石机</w:t>
      </w:r>
    </w:p>
    <w:p>
      <w:pPr>
        <w:pStyle w:val="null3"/>
        <w:jc w:val="left"/>
      </w:pPr>
      <w:r>
        <w:rPr>
          <w:sz w:val="21"/>
          <w:color w:val="000000"/>
        </w:rPr>
        <w:t>1、应具备波源系统：为圆筒震膜电磁式脉冲波源</w:t>
      </w:r>
    </w:p>
    <w:p>
      <w:pPr>
        <w:pStyle w:val="null3"/>
        <w:ind w:firstLine="210"/>
        <w:jc w:val="left"/>
      </w:pPr>
      <w:r>
        <w:rPr>
          <w:sz w:val="21"/>
          <w:color w:val="000000"/>
        </w:rPr>
        <w:t>(1)聚焦点冲击波峰值：20-50Mpa</w:t>
      </w:r>
    </w:p>
    <w:p>
      <w:pPr>
        <w:pStyle w:val="null3"/>
        <w:ind w:firstLine="210"/>
        <w:jc w:val="left"/>
      </w:pPr>
      <w:r>
        <w:rPr>
          <w:sz w:val="21"/>
          <w:color w:val="000000"/>
        </w:rPr>
        <w:t>(2)聚焦点冲击波脉宽：≤1µs</w:t>
      </w:r>
    </w:p>
    <w:p>
      <w:pPr>
        <w:pStyle w:val="null3"/>
        <w:ind w:firstLine="210"/>
        <w:jc w:val="left"/>
      </w:pPr>
      <w:r>
        <w:rPr>
          <w:sz w:val="21"/>
          <w:color w:val="000000"/>
        </w:rPr>
        <w:t>(3)聚焦点冲击波前沿：≤0.5µs</w:t>
      </w:r>
    </w:p>
    <w:p>
      <w:pPr>
        <w:pStyle w:val="null3"/>
        <w:ind w:firstLine="210"/>
        <w:jc w:val="left"/>
      </w:pPr>
      <w:r>
        <w:rPr>
          <w:sz w:val="21"/>
          <w:color w:val="000000"/>
        </w:rPr>
        <w:t>(4)聚焦点冲击波聚焦范围：径向±6 mm、轴向±40mm</w:t>
      </w:r>
    </w:p>
    <w:p>
      <w:pPr>
        <w:pStyle w:val="null3"/>
        <w:ind w:firstLine="210"/>
        <w:jc w:val="left"/>
      </w:pPr>
      <w:r>
        <w:rPr>
          <w:sz w:val="21"/>
          <w:color w:val="000000"/>
        </w:rPr>
        <w:t>(5)聚焦点与反射体上端口平面距离≥135mm</w:t>
      </w:r>
    </w:p>
    <w:p>
      <w:pPr>
        <w:pStyle w:val="null3"/>
        <w:ind w:firstLine="210"/>
        <w:jc w:val="left"/>
      </w:pPr>
      <w:r>
        <w:rPr>
          <w:sz w:val="21"/>
          <w:color w:val="000000"/>
        </w:rPr>
        <w:t>(6)碎石电压：8kV-15kV</w:t>
      </w:r>
    </w:p>
    <w:p>
      <w:pPr>
        <w:pStyle w:val="null3"/>
        <w:ind w:firstLine="210"/>
        <w:jc w:val="left"/>
      </w:pPr>
      <w:r>
        <w:rPr>
          <w:sz w:val="21"/>
          <w:color w:val="000000"/>
        </w:rPr>
        <w:t>(7)电磁筒震膜保用次数≥100 万次</w:t>
      </w:r>
    </w:p>
    <w:p>
      <w:pPr>
        <w:pStyle w:val="null3"/>
        <w:ind w:firstLine="210"/>
        <w:jc w:val="left"/>
      </w:pPr>
      <w:r>
        <w:rPr>
          <w:sz w:val="21"/>
          <w:color w:val="000000"/>
        </w:rPr>
        <w:t>(8)高频高压冲击波电源 40kHz</w:t>
      </w:r>
    </w:p>
    <w:p>
      <w:pPr>
        <w:pStyle w:val="null3"/>
        <w:jc w:val="left"/>
      </w:pPr>
      <w:r>
        <w:rPr>
          <w:sz w:val="21"/>
          <w:color w:val="000000"/>
        </w:rPr>
        <w:t>2、应具备拖动系统：</w:t>
      </w:r>
    </w:p>
    <w:p>
      <w:pPr>
        <w:pStyle w:val="null3"/>
        <w:ind w:firstLine="210"/>
        <w:jc w:val="left"/>
      </w:pPr>
      <w:r>
        <w:rPr>
          <w:sz w:val="21"/>
          <w:color w:val="000000"/>
        </w:rPr>
        <w:t>(1)机械传动系统最小调节细度≤1mm</w:t>
      </w:r>
    </w:p>
    <w:p>
      <w:pPr>
        <w:pStyle w:val="null3"/>
        <w:ind w:firstLine="210"/>
        <w:jc w:val="left"/>
      </w:pPr>
      <w:r>
        <w:rPr>
          <w:sz w:val="21"/>
          <w:color w:val="000000"/>
        </w:rPr>
        <w:t>(2)控制台及治疗床为一体化，PLC 编程控制器，触摸操作台，带遥控功能；具有平面二维运功功能：床前后（X）≤155mm；床左右（Y）≤78mm</w:t>
      </w:r>
    </w:p>
    <w:p>
      <w:pPr>
        <w:pStyle w:val="null3"/>
        <w:ind w:firstLine="210"/>
        <w:jc w:val="left"/>
      </w:pPr>
      <w:r>
        <w:rPr>
          <w:sz w:val="21"/>
          <w:color w:val="000000"/>
        </w:rPr>
        <w:t>(3)主机的反射体可随 C 形臂上下运动和作球面运动，同时反射体可在不小于 210º范围内旋转到治疗床上方进行碎石治疗</w:t>
      </w:r>
    </w:p>
    <w:p>
      <w:pPr>
        <w:pStyle w:val="null3"/>
        <w:ind w:firstLine="210"/>
        <w:jc w:val="left"/>
      </w:pPr>
      <w:r>
        <w:rPr>
          <w:sz w:val="21"/>
          <w:color w:val="000000"/>
        </w:rPr>
        <w:t>(4)具有自动水真空循环系统</w:t>
      </w:r>
    </w:p>
    <w:p>
      <w:pPr>
        <w:pStyle w:val="null3"/>
        <w:jc w:val="left"/>
      </w:pPr>
      <w:r>
        <w:rPr>
          <w:sz w:val="21"/>
          <w:color w:val="000000"/>
        </w:rPr>
        <w:t>3、应具备图像工作站：</w:t>
      </w:r>
    </w:p>
    <w:p>
      <w:pPr>
        <w:pStyle w:val="null3"/>
        <w:ind w:firstLine="210"/>
        <w:jc w:val="left"/>
      </w:pPr>
      <w:r>
        <w:rPr>
          <w:sz w:val="21"/>
          <w:color w:val="000000"/>
        </w:rPr>
        <w:t>(1)碎石图像处理系统：具有图像采集、增强、治疗参数自动采集、降噪、放大储存、测量、打印、术前、术后结石形状的对比、分析病案记录功能</w:t>
      </w:r>
    </w:p>
    <w:p>
      <w:pPr>
        <w:pStyle w:val="null3"/>
        <w:jc w:val="left"/>
      </w:pPr>
      <w:r>
        <w:rPr>
          <w:sz w:val="21"/>
          <w:color w:val="000000"/>
        </w:rPr>
        <w:t>4、整机维保≥5 年</w:t>
      </w:r>
    </w:p>
    <w:p>
      <w:pPr>
        <w:pStyle w:val="null3"/>
        <w:jc w:val="center"/>
      </w:pPr>
      <w:r>
        <w:rPr>
          <w:sz w:val="21"/>
          <w:b/>
        </w:rPr>
        <w:t>序号</w:t>
      </w:r>
      <w:r>
        <w:rPr>
          <w:sz w:val="21"/>
          <w:b/>
        </w:rPr>
        <w:t>3：认知康复训练与评估系统</w:t>
      </w:r>
    </w:p>
    <w:p>
      <w:pPr>
        <w:pStyle w:val="null3"/>
        <w:ind w:firstLine="420"/>
        <w:jc w:val="left"/>
      </w:pPr>
      <w:r>
        <w:rPr>
          <w:sz w:val="21"/>
        </w:rPr>
        <w:t>1、适用于轻度认知障碍的辅助康复训练。</w:t>
      </w:r>
    </w:p>
    <w:p>
      <w:pPr>
        <w:pStyle w:val="null3"/>
        <w:ind w:firstLine="420"/>
        <w:jc w:val="left"/>
      </w:pPr>
      <w:r>
        <w:rPr>
          <w:sz w:val="21"/>
        </w:rPr>
        <w:t>2、应具备双界面显示。</w:t>
      </w:r>
    </w:p>
    <w:p>
      <w:pPr>
        <w:pStyle w:val="null3"/>
        <w:ind w:firstLine="420"/>
        <w:jc w:val="left"/>
      </w:pPr>
      <w:r>
        <w:rPr>
          <w:sz w:val="21"/>
        </w:rPr>
        <w:t>3、应具备功能模块:≥5 个，包括但不限于量表评定、综合训练、治疗师管理、患者管理、录入管理等。</w:t>
      </w:r>
    </w:p>
    <w:p>
      <w:pPr>
        <w:pStyle w:val="null3"/>
        <w:ind w:firstLine="420"/>
        <w:jc w:val="left"/>
      </w:pPr>
      <w:r>
        <w:rPr>
          <w:sz w:val="21"/>
        </w:rPr>
        <w:t>4、应具备量表评定:&gt;2 个，包括但不限于 MOCA量表、MISE 量表等临床常用评估量表，并可持续更新量表种类。</w:t>
      </w:r>
    </w:p>
    <w:p>
      <w:pPr>
        <w:pStyle w:val="null3"/>
        <w:ind w:firstLine="420"/>
        <w:jc w:val="left"/>
      </w:pPr>
      <w:r>
        <w:rPr>
          <w:sz w:val="21"/>
        </w:rPr>
        <w:t>5、▲应具备≥5 大认知训练模块，≥45 个训练项目。</w:t>
      </w:r>
    </w:p>
    <w:p>
      <w:pPr>
        <w:pStyle w:val="null3"/>
        <w:ind w:firstLine="420"/>
        <w:jc w:val="left"/>
      </w:pPr>
      <w:r>
        <w:rPr>
          <w:sz w:val="21"/>
        </w:rPr>
        <w:t>6、应根据评定结果，系统智能生成训练计划。</w:t>
      </w:r>
    </w:p>
    <w:p>
      <w:pPr>
        <w:pStyle w:val="null3"/>
        <w:ind w:firstLine="420"/>
        <w:jc w:val="left"/>
      </w:pPr>
      <w:r>
        <w:rPr>
          <w:sz w:val="21"/>
        </w:rPr>
        <w:t>7、▲应具备语言训练模块:包括但不限于听、复述、说、出声读、阅读、抄写、听写、描写、计算等训练内容。</w:t>
      </w:r>
    </w:p>
    <w:p>
      <w:pPr>
        <w:pStyle w:val="null3"/>
        <w:ind w:firstLine="420"/>
        <w:jc w:val="left"/>
      </w:pPr>
      <w:r>
        <w:rPr>
          <w:sz w:val="21"/>
        </w:rPr>
        <w:t>8、▲应具备情景化的个人训练。</w:t>
      </w:r>
    </w:p>
    <w:p>
      <w:pPr>
        <w:pStyle w:val="null3"/>
        <w:ind w:firstLine="420"/>
        <w:jc w:val="left"/>
      </w:pPr>
      <w:r>
        <w:rPr>
          <w:sz w:val="21"/>
        </w:rPr>
        <w:t>9、▲应具备支持开发定制方言，配备多种输入方式，支持键鼠、触屏、手写等。</w:t>
      </w:r>
    </w:p>
    <w:p>
      <w:pPr>
        <w:pStyle w:val="null3"/>
        <w:ind w:firstLine="420"/>
        <w:jc w:val="left"/>
      </w:pPr>
      <w:r>
        <w:rPr>
          <w:sz w:val="21"/>
        </w:rPr>
        <w:t>10、维保服务≥3年(含系统升级)。</w:t>
      </w:r>
    </w:p>
    <w:p>
      <w:pPr>
        <w:pStyle w:val="null3"/>
        <w:jc w:val="center"/>
      </w:pPr>
      <w:r>
        <w:rPr>
          <w:sz w:val="21"/>
          <w:b/>
        </w:rPr>
        <w:t>序号</w:t>
      </w:r>
      <w:r>
        <w:rPr>
          <w:sz w:val="21"/>
          <w:b/>
        </w:rPr>
        <w:t>4：生物刺激反馈仪（磁疗盆底治疗仪）</w:t>
      </w:r>
    </w:p>
    <w:p>
      <w:pPr>
        <w:pStyle w:val="null3"/>
        <w:jc w:val="left"/>
      </w:pPr>
      <w:r>
        <w:rPr>
          <w:sz w:val="21"/>
          <w:color w:val="000000"/>
        </w:rPr>
        <w:t>（一）、应具备硬件参数要求为：</w:t>
      </w:r>
    </w:p>
    <w:p>
      <w:pPr>
        <w:pStyle w:val="null3"/>
        <w:ind w:firstLine="210"/>
        <w:jc w:val="left"/>
      </w:pPr>
      <w:r>
        <w:rPr>
          <w:sz w:val="21"/>
          <w:color w:val="000000"/>
        </w:rPr>
        <w:t>(1)独立 4 通道设备；</w:t>
      </w:r>
    </w:p>
    <w:p>
      <w:pPr>
        <w:pStyle w:val="null3"/>
        <w:ind w:firstLine="210"/>
        <w:jc w:val="left"/>
      </w:pPr>
      <w:r>
        <w:rPr>
          <w:sz w:val="21"/>
          <w:color w:val="000000"/>
        </w:rPr>
        <w:t>(2)AD 采样率：≥8192 Hz；</w:t>
      </w:r>
    </w:p>
    <w:p>
      <w:pPr>
        <w:pStyle w:val="null3"/>
        <w:ind w:firstLine="210"/>
        <w:jc w:val="left"/>
      </w:pPr>
      <w:r>
        <w:rPr>
          <w:sz w:val="21"/>
          <w:color w:val="000000"/>
        </w:rPr>
        <w:t>(3)AD 采样位数：16；</w:t>
      </w:r>
    </w:p>
    <w:p>
      <w:pPr>
        <w:pStyle w:val="null3"/>
        <w:ind w:firstLine="210"/>
        <w:jc w:val="left"/>
      </w:pPr>
      <w:r>
        <w:rPr>
          <w:sz w:val="21"/>
          <w:color w:val="000000"/>
        </w:rPr>
        <w:t>(4)共模抑制比：大于 100dB。</w:t>
      </w:r>
    </w:p>
    <w:p>
      <w:pPr>
        <w:pStyle w:val="null3"/>
        <w:ind w:firstLine="210"/>
        <w:jc w:val="left"/>
      </w:pPr>
      <w:r>
        <w:rPr>
          <w:sz w:val="21"/>
          <w:color w:val="000000"/>
        </w:rPr>
        <w:t>(5)刺激强度：0-100mA，1mA 步长连续可调。误差：1mA～5mA 范围内不大于±30%，6mA～100mA 范围内不大于±15%。</w:t>
      </w:r>
    </w:p>
    <w:p>
      <w:pPr>
        <w:pStyle w:val="null3"/>
        <w:ind w:firstLine="210"/>
        <w:jc w:val="left"/>
      </w:pPr>
      <w:r>
        <w:rPr>
          <w:sz w:val="21"/>
          <w:color w:val="000000"/>
        </w:rPr>
        <w:t>(6)刺激频率：0.5-999Hz，1Hz 以上 1Hz 步长连续可调, 误差：不大于±5%。</w:t>
      </w:r>
    </w:p>
    <w:p>
      <w:pPr>
        <w:pStyle w:val="null3"/>
        <w:ind w:firstLine="210"/>
        <w:jc w:val="left"/>
      </w:pPr>
      <w:r>
        <w:rPr>
          <w:sz w:val="21"/>
          <w:color w:val="000000"/>
        </w:rPr>
        <w:t>(7)脉冲宽度：10μs～1000μs，10μs 步长连续可调，误差：10μs～50μs 范围内不大于±30%，60μs～1000μs 范围内不大于±10%；</w:t>
      </w:r>
    </w:p>
    <w:p>
      <w:pPr>
        <w:pStyle w:val="null3"/>
        <w:ind w:firstLine="210"/>
        <w:jc w:val="left"/>
      </w:pPr>
      <w:r>
        <w:rPr>
          <w:sz w:val="21"/>
          <w:color w:val="000000"/>
        </w:rPr>
        <w:t>(8)上升下降时间：0-10s，刺激时间 1s～20s 可调，休息时间 0s～20s 可调；</w:t>
      </w:r>
    </w:p>
    <w:p>
      <w:pPr>
        <w:pStyle w:val="null3"/>
        <w:ind w:firstLine="210"/>
        <w:jc w:val="left"/>
      </w:pPr>
      <w:r>
        <w:rPr>
          <w:sz w:val="21"/>
          <w:color w:val="000000"/>
        </w:rPr>
        <w:t>(9)内置放大器带宽：20Hz～500Hz(-3dB) ；</w:t>
      </w:r>
    </w:p>
    <w:p>
      <w:pPr>
        <w:pStyle w:val="null3"/>
        <w:ind w:firstLine="210"/>
        <w:jc w:val="left"/>
      </w:pPr>
      <w:r>
        <w:rPr>
          <w:sz w:val="21"/>
          <w:color w:val="000000"/>
        </w:rPr>
        <w:t>(10)内置放大器测量范围：1-999μV（r.m.s）；</w:t>
      </w:r>
    </w:p>
    <w:p>
      <w:pPr>
        <w:pStyle w:val="null3"/>
        <w:ind w:firstLine="210"/>
        <w:jc w:val="left"/>
      </w:pPr>
      <w:r>
        <w:rPr>
          <w:sz w:val="21"/>
          <w:color w:val="000000"/>
        </w:rPr>
        <w:t>(11)示值准确度：误差不大于±10%或±2μV;</w:t>
      </w:r>
    </w:p>
    <w:p>
      <w:pPr>
        <w:pStyle w:val="null3"/>
        <w:ind w:firstLine="210"/>
        <w:jc w:val="left"/>
      </w:pPr>
      <w:r>
        <w:rPr>
          <w:sz w:val="21"/>
          <w:color w:val="000000"/>
        </w:rPr>
        <w:t>(12)内置放大器最高分辨率：≤2μV(r.m.s)</w:t>
      </w:r>
    </w:p>
    <w:p>
      <w:pPr>
        <w:pStyle w:val="null3"/>
        <w:ind w:firstLine="210"/>
        <w:jc w:val="left"/>
      </w:pPr>
      <w:r>
        <w:rPr>
          <w:sz w:val="21"/>
          <w:color w:val="000000"/>
        </w:rPr>
        <w:t>(13)内置放大器输入噪声：＜1μV（r.m.s）；</w:t>
      </w:r>
    </w:p>
    <w:p>
      <w:pPr>
        <w:pStyle w:val="null3"/>
        <w:ind w:firstLine="210"/>
        <w:jc w:val="left"/>
      </w:pPr>
      <w:r>
        <w:rPr>
          <w:sz w:val="21"/>
          <w:color w:val="000000"/>
        </w:rPr>
        <w:t>(14)刺激波形：双相平衡波；</w:t>
      </w:r>
    </w:p>
    <w:p>
      <w:pPr>
        <w:pStyle w:val="null3"/>
        <w:ind w:firstLine="210"/>
        <w:jc w:val="left"/>
      </w:pPr>
      <w:r>
        <w:rPr>
          <w:sz w:val="21"/>
          <w:color w:val="000000"/>
        </w:rPr>
        <w:t>(15)彩色液晶触摸屏；</w:t>
      </w:r>
    </w:p>
    <w:p>
      <w:pPr>
        <w:pStyle w:val="null3"/>
        <w:ind w:firstLine="210"/>
        <w:jc w:val="left"/>
      </w:pPr>
      <w:r>
        <w:rPr>
          <w:sz w:val="21"/>
          <w:color w:val="000000"/>
        </w:rPr>
        <w:t>(16)物理调节：外置电流调节旋钮。</w:t>
      </w:r>
    </w:p>
    <w:p>
      <w:pPr>
        <w:pStyle w:val="null3"/>
        <w:jc w:val="left"/>
      </w:pPr>
      <w:r>
        <w:rPr>
          <w:sz w:val="21"/>
          <w:color w:val="000000"/>
        </w:rPr>
        <w:t>（二）应具备软件参数要求为：</w:t>
      </w:r>
    </w:p>
    <w:p>
      <w:pPr>
        <w:pStyle w:val="null3"/>
        <w:ind w:firstLine="210"/>
        <w:jc w:val="left"/>
      </w:pPr>
      <w:r>
        <w:rPr>
          <w:sz w:val="21"/>
          <w:color w:val="000000"/>
        </w:rPr>
        <w:t>（</w:t>
      </w:r>
      <w:r>
        <w:rPr>
          <w:sz w:val="21"/>
          <w:color w:val="000000"/>
        </w:rPr>
        <w:t>1）内置嵌入式软件：具有功能康复、基础康复和评估反馈三大工作模块，且可根据患者需求编辑个性化治疗方案；</w:t>
      </w:r>
    </w:p>
    <w:p>
      <w:pPr>
        <w:pStyle w:val="null3"/>
        <w:ind w:firstLine="210"/>
        <w:jc w:val="left"/>
      </w:pPr>
      <w:r>
        <w:rPr>
          <w:sz w:val="21"/>
          <w:color w:val="000000"/>
        </w:rPr>
        <w:t>（</w:t>
      </w:r>
      <w:r>
        <w:rPr>
          <w:sz w:val="21"/>
          <w:color w:val="000000"/>
        </w:rPr>
        <w:t>2）内置多种治疗方案，包括：垂腕、垂足、吞咽、肩关节半脱位、促醒、镇痛、儿童及多种盆底治疗方案，可自定义治疗方案；</w:t>
      </w:r>
    </w:p>
    <w:p>
      <w:pPr>
        <w:pStyle w:val="null3"/>
        <w:ind w:firstLine="210"/>
        <w:jc w:val="left"/>
      </w:pPr>
      <w:r>
        <w:rPr>
          <w:sz w:val="21"/>
          <w:color w:val="000000"/>
        </w:rPr>
        <w:t>（</w:t>
      </w:r>
      <w:r>
        <w:rPr>
          <w:sz w:val="21"/>
          <w:color w:val="000000"/>
        </w:rPr>
        <w:t>3）具有神经肌肉电刺激功能（Neuromuscular Electrical Stimulation, NMES）；</w:t>
      </w:r>
    </w:p>
    <w:p>
      <w:pPr>
        <w:pStyle w:val="null3"/>
        <w:ind w:firstLine="210"/>
        <w:jc w:val="left"/>
      </w:pPr>
      <w:r>
        <w:rPr>
          <w:sz w:val="21"/>
          <w:color w:val="000000"/>
        </w:rPr>
        <w:t>（</w:t>
      </w:r>
      <w:r>
        <w:rPr>
          <w:sz w:val="21"/>
          <w:color w:val="000000"/>
        </w:rPr>
        <w:t>4）具有肌电触发电刺激功能（EMG Trigger Stim,ETS）；强化正反馈，根据肌电信号实时改变电刺激强度，肌电值越大，电流强度也越大；强调患者的主观运动，并提供积极、正向的反馈，帮助患者最大限度的恢复运动功能，可同时使用四通道；</w:t>
      </w:r>
    </w:p>
    <w:p>
      <w:pPr>
        <w:pStyle w:val="null3"/>
        <w:ind w:firstLine="210"/>
        <w:jc w:val="left"/>
      </w:pPr>
      <w:r>
        <w:rPr>
          <w:sz w:val="21"/>
          <w:color w:val="000000"/>
        </w:rPr>
        <w:t>（</w:t>
      </w:r>
      <w:r>
        <w:rPr>
          <w:sz w:val="21"/>
          <w:color w:val="000000"/>
        </w:rPr>
        <w:t>5）具有对侧控制型功能电刺激功能（CCFES）：CCFES 以健侧肌电信号控制患侧进行对称性运动，提供双侧的皮质驱动，重塑中枢；促进患者主动再学习，恢复其对患侧的控制能力，激发患者康复的信心，可同时使用四通道；</w:t>
      </w:r>
    </w:p>
    <w:p>
      <w:pPr>
        <w:pStyle w:val="null3"/>
        <w:ind w:firstLine="210"/>
        <w:jc w:val="left"/>
      </w:pPr>
      <w:r>
        <w:rPr>
          <w:sz w:val="21"/>
          <w:color w:val="000000"/>
        </w:rPr>
        <w:t>（</w:t>
      </w:r>
      <w:r>
        <w:rPr>
          <w:sz w:val="21"/>
          <w:color w:val="000000"/>
        </w:rPr>
        <w:t>6）神经肌肉电刺激方案可实现多人，多通道，多方案，随时开始；</w:t>
      </w:r>
    </w:p>
    <w:p>
      <w:pPr>
        <w:pStyle w:val="null3"/>
        <w:ind w:firstLine="210"/>
        <w:jc w:val="left"/>
      </w:pPr>
      <w:r>
        <w:rPr>
          <w:sz w:val="21"/>
          <w:color w:val="000000"/>
        </w:rPr>
        <w:t>（</w:t>
      </w:r>
      <w:r>
        <w:rPr>
          <w:sz w:val="21"/>
          <w:color w:val="000000"/>
        </w:rPr>
        <w:t>7）具有时序模式和独立刺激模式可选，提供全面的康复治疗方案；</w:t>
      </w:r>
    </w:p>
    <w:p>
      <w:pPr>
        <w:pStyle w:val="null3"/>
        <w:ind w:firstLine="210"/>
        <w:jc w:val="left"/>
      </w:pPr>
      <w:r>
        <w:rPr>
          <w:sz w:val="21"/>
          <w:color w:val="000000"/>
        </w:rPr>
        <w:t>（</w:t>
      </w:r>
      <w:r>
        <w:rPr>
          <w:sz w:val="21"/>
          <w:color w:val="000000"/>
        </w:rPr>
        <w:t>8）可编辑个性化治疗方案，自定义临床方案刺激时间、间歇时间、波升时间、波降时间、刺激频率、脉宽可调，且推荐临床常用的治疗参数；</w:t>
      </w:r>
    </w:p>
    <w:p>
      <w:pPr>
        <w:pStyle w:val="null3"/>
        <w:ind w:firstLine="210"/>
        <w:jc w:val="left"/>
      </w:pPr>
      <w:r>
        <w:rPr>
          <w:sz w:val="21"/>
          <w:color w:val="000000"/>
        </w:rPr>
        <w:t>（</w:t>
      </w:r>
      <w:r>
        <w:rPr>
          <w:sz w:val="21"/>
          <w:color w:val="000000"/>
        </w:rPr>
        <w:t>9）同步功能:用同步线连接两台主机，可以进行同步方案治疗。</w:t>
      </w:r>
    </w:p>
    <w:p>
      <w:pPr>
        <w:pStyle w:val="null3"/>
        <w:ind w:firstLine="210"/>
        <w:jc w:val="left"/>
      </w:pPr>
      <w:r>
        <w:rPr>
          <w:sz w:val="21"/>
          <w:color w:val="000000"/>
        </w:rPr>
        <w:t>（</w:t>
      </w:r>
      <w:r>
        <w:rPr>
          <w:sz w:val="21"/>
          <w:color w:val="000000"/>
        </w:rPr>
        <w:t>10）提供常规刺激、载波调制和变频电刺激三种刺激形式选择，方案通道可自定义；</w:t>
      </w:r>
    </w:p>
    <w:p>
      <w:pPr>
        <w:pStyle w:val="null3"/>
        <w:ind w:firstLine="210"/>
        <w:jc w:val="left"/>
      </w:pPr>
      <w:r>
        <w:rPr>
          <w:sz w:val="21"/>
          <w:color w:val="000000"/>
        </w:rPr>
        <w:t>（</w:t>
      </w:r>
      <w:r>
        <w:rPr>
          <w:sz w:val="21"/>
          <w:color w:val="000000"/>
        </w:rPr>
        <w:t>11）具备表面肌电评估功能，实时评估患者肌力情况，可出具评估报告，评估报告可存储及导出，包括常规表面肌电方案、吞咽评估方案、下背痛评估方案、儿童脑瘫四项评估方案等；</w:t>
      </w:r>
    </w:p>
    <w:p>
      <w:pPr>
        <w:pStyle w:val="null3"/>
        <w:ind w:firstLine="210"/>
        <w:jc w:val="left"/>
      </w:pPr>
      <w:r>
        <w:rPr>
          <w:sz w:val="21"/>
          <w:color w:val="000000"/>
        </w:rPr>
        <w:t>（</w:t>
      </w:r>
      <w:r>
        <w:rPr>
          <w:sz w:val="21"/>
          <w:color w:val="000000"/>
        </w:rPr>
        <w:t>12）具备多媒体生物反馈训练功能：可进行肌力放松、增强、耐力、协调、精准训练</w:t>
      </w:r>
    </w:p>
    <w:p>
      <w:pPr>
        <w:pStyle w:val="null3"/>
        <w:jc w:val="left"/>
      </w:pPr>
      <w:r>
        <w:rPr>
          <w:sz w:val="21"/>
          <w:color w:val="000000"/>
        </w:rPr>
        <w:t>（三）整机维保</w:t>
      </w:r>
      <w:r>
        <w:rPr>
          <w:sz w:val="21"/>
          <w:color w:val="000000"/>
        </w:rPr>
        <w:t>≥3 年</w:t>
      </w:r>
    </w:p>
    <w:p>
      <w:pPr>
        <w:pStyle w:val="null3"/>
        <w:jc w:val="center"/>
      </w:pPr>
      <w:r>
        <w:rPr>
          <w:sz w:val="21"/>
          <w:b/>
        </w:rPr>
        <w:t>序号</w:t>
      </w:r>
      <w:r>
        <w:rPr>
          <w:sz w:val="21"/>
          <w:b/>
        </w:rPr>
        <w:t>5：磁疗盆底治疗仪</w:t>
      </w:r>
    </w:p>
    <w:p>
      <w:pPr>
        <w:pStyle w:val="null3"/>
        <w:ind w:firstLine="210"/>
        <w:jc w:val="left"/>
      </w:pPr>
      <w:r>
        <w:rPr>
          <w:sz w:val="21"/>
          <w:color w:val="000000"/>
        </w:rPr>
        <w:t>1、应具备通道数：4 通道，独立可调</w:t>
      </w:r>
    </w:p>
    <w:p>
      <w:pPr>
        <w:pStyle w:val="null3"/>
        <w:ind w:firstLine="210"/>
        <w:jc w:val="left"/>
      </w:pPr>
      <w:r>
        <w:rPr>
          <w:sz w:val="21"/>
          <w:color w:val="000000"/>
        </w:rPr>
        <w:t>2、应具备电流参数：AD 采样率≥8192 Hz，AD 采样位数 16，刺激强度 0-100mA，刺激频率 0.5-999Hz，脉冲宽度 10μs～1000μs，刺激波形：双相平衡波</w:t>
      </w:r>
    </w:p>
    <w:p>
      <w:pPr>
        <w:pStyle w:val="null3"/>
        <w:ind w:firstLine="210"/>
        <w:jc w:val="left"/>
      </w:pPr>
      <w:r>
        <w:rPr>
          <w:sz w:val="21"/>
          <w:color w:val="000000"/>
        </w:rPr>
        <w:t>3、应具备工作模块：具有功能康复、基础康复和评估反馈三大工作模块</w:t>
      </w:r>
    </w:p>
    <w:p>
      <w:pPr>
        <w:pStyle w:val="null3"/>
        <w:ind w:firstLine="210"/>
        <w:jc w:val="left"/>
      </w:pPr>
      <w:r>
        <w:rPr>
          <w:sz w:val="21"/>
          <w:color w:val="000000"/>
        </w:rPr>
        <w:t>4、应具备神经肌肉电刺激功能</w:t>
      </w:r>
    </w:p>
    <w:p>
      <w:pPr>
        <w:pStyle w:val="null3"/>
        <w:ind w:firstLine="210"/>
        <w:jc w:val="left"/>
      </w:pPr>
      <w:r>
        <w:rPr>
          <w:sz w:val="21"/>
          <w:color w:val="000000"/>
        </w:rPr>
        <w:t>5、应具备肌电触发电刺激功能</w:t>
      </w:r>
    </w:p>
    <w:p>
      <w:pPr>
        <w:pStyle w:val="null3"/>
        <w:ind w:firstLine="210"/>
        <w:jc w:val="left"/>
      </w:pPr>
      <w:r>
        <w:rPr>
          <w:sz w:val="21"/>
          <w:color w:val="000000"/>
        </w:rPr>
        <w:t>6、应具备对侧控制性功能电刺激功能</w:t>
      </w:r>
    </w:p>
    <w:p>
      <w:pPr>
        <w:pStyle w:val="null3"/>
        <w:ind w:firstLine="210"/>
        <w:jc w:val="left"/>
      </w:pPr>
      <w:r>
        <w:rPr>
          <w:sz w:val="21"/>
          <w:color w:val="000000"/>
        </w:rPr>
        <w:t>7、应具备时序模式和独立刺激模式可选</w:t>
      </w:r>
    </w:p>
    <w:p>
      <w:pPr>
        <w:pStyle w:val="null3"/>
        <w:ind w:firstLine="210"/>
        <w:jc w:val="left"/>
      </w:pPr>
      <w:r>
        <w:rPr>
          <w:sz w:val="21"/>
          <w:color w:val="000000"/>
        </w:rPr>
        <w:t>8、应具备表面肌电评估功能</w:t>
      </w:r>
    </w:p>
    <w:p>
      <w:pPr>
        <w:pStyle w:val="null3"/>
        <w:ind w:firstLine="210"/>
        <w:jc w:val="left"/>
      </w:pPr>
      <w:r>
        <w:rPr>
          <w:sz w:val="21"/>
          <w:color w:val="000000"/>
        </w:rPr>
        <w:t>9、应具备多媒体生物反馈训练功能</w:t>
      </w:r>
    </w:p>
    <w:p>
      <w:pPr>
        <w:pStyle w:val="null3"/>
        <w:ind w:firstLine="210"/>
        <w:jc w:val="left"/>
      </w:pPr>
      <w:r>
        <w:rPr>
          <w:sz w:val="21"/>
          <w:color w:val="000000"/>
        </w:rPr>
        <w:t>10、整机维保≥3 年</w:t>
      </w:r>
    </w:p>
    <w:p>
      <w:pPr>
        <w:pStyle w:val="null3"/>
        <w:jc w:val="center"/>
      </w:pPr>
      <w:r>
        <w:rPr>
          <w:sz w:val="21"/>
          <w:b/>
        </w:rPr>
        <w:t>序号</w:t>
      </w:r>
      <w:r>
        <w:rPr>
          <w:sz w:val="21"/>
          <w:b/>
        </w:rPr>
        <w:t>6：微波治疗仪</w:t>
      </w:r>
    </w:p>
    <w:p>
      <w:pPr>
        <w:pStyle w:val="null3"/>
        <w:ind w:firstLine="210"/>
        <w:jc w:val="left"/>
      </w:pPr>
      <w:r>
        <w:rPr>
          <w:sz w:val="21"/>
          <w:color w:val="000000"/>
        </w:rPr>
        <w:t>1、应具备工作频率：40.68MHz，误差±1.5%</w:t>
      </w:r>
    </w:p>
    <w:p>
      <w:pPr>
        <w:pStyle w:val="null3"/>
        <w:ind w:firstLine="210"/>
        <w:jc w:val="left"/>
      </w:pPr>
      <w:r>
        <w:rPr>
          <w:sz w:val="21"/>
          <w:color w:val="000000"/>
        </w:rPr>
        <w:t>2、应具备输入功率：≤1000VA</w:t>
      </w:r>
    </w:p>
    <w:p>
      <w:pPr>
        <w:pStyle w:val="null3"/>
        <w:ind w:firstLine="210"/>
        <w:jc w:val="left"/>
      </w:pPr>
      <w:r>
        <w:rPr>
          <w:sz w:val="21"/>
          <w:color w:val="000000"/>
        </w:rPr>
        <w:t>3、应具备输出功率：200W 最大，误差±20%</w:t>
      </w:r>
    </w:p>
    <w:p>
      <w:pPr>
        <w:pStyle w:val="null3"/>
        <w:ind w:firstLine="210"/>
        <w:jc w:val="left"/>
      </w:pPr>
      <w:r>
        <w:rPr>
          <w:sz w:val="21"/>
          <w:color w:val="000000"/>
        </w:rPr>
        <w:t>4、应具备输出强度：50W、100W、150W、200W 连续可调</w:t>
      </w:r>
    </w:p>
    <w:p>
      <w:pPr>
        <w:pStyle w:val="null3"/>
        <w:ind w:firstLine="210"/>
        <w:jc w:val="left"/>
      </w:pPr>
      <w:r>
        <w:rPr>
          <w:sz w:val="21"/>
          <w:color w:val="000000"/>
        </w:rPr>
        <w:t>5、应具备操控旋钮：具有语音播报功能的人性化设计旋钮</w:t>
      </w:r>
    </w:p>
    <w:p>
      <w:pPr>
        <w:pStyle w:val="null3"/>
        <w:ind w:firstLine="210"/>
        <w:jc w:val="left"/>
      </w:pPr>
      <w:r>
        <w:rPr>
          <w:sz w:val="21"/>
          <w:color w:val="000000"/>
        </w:rPr>
        <w:t>6、应具备控制系统：具有预热开始、剩余时间、治疗结束等语音播报功能的智能人性化系统</w:t>
      </w:r>
    </w:p>
    <w:p>
      <w:pPr>
        <w:pStyle w:val="null3"/>
        <w:ind w:firstLine="210"/>
        <w:jc w:val="left"/>
      </w:pPr>
      <w:r>
        <w:rPr>
          <w:sz w:val="21"/>
          <w:color w:val="000000"/>
        </w:rPr>
        <w:t>7、应具备治疗时间：0～30min 分档可调</w:t>
      </w:r>
    </w:p>
    <w:p>
      <w:pPr>
        <w:pStyle w:val="null3"/>
        <w:ind w:firstLine="210"/>
        <w:jc w:val="left"/>
      </w:pPr>
      <w:r>
        <w:rPr>
          <w:sz w:val="21"/>
          <w:color w:val="000000"/>
        </w:rPr>
        <w:t>8、应具备输出模式：连续波输出</w:t>
      </w:r>
    </w:p>
    <w:p>
      <w:pPr>
        <w:pStyle w:val="null3"/>
        <w:ind w:firstLine="210"/>
        <w:jc w:val="left"/>
      </w:pPr>
      <w:r>
        <w:rPr>
          <w:sz w:val="21"/>
          <w:color w:val="000000"/>
        </w:rPr>
        <w:t>9、应具备调谐方式：旋钮式输出回路谐振频率调谐</w:t>
      </w:r>
    </w:p>
    <w:p>
      <w:pPr>
        <w:pStyle w:val="null3"/>
        <w:ind w:firstLine="210"/>
        <w:jc w:val="left"/>
      </w:pPr>
      <w:r>
        <w:rPr>
          <w:sz w:val="21"/>
          <w:color w:val="000000"/>
        </w:rPr>
        <w:t>10、应具备输出电极：≥3 种规格电极板，大、中、小各一对，适合不同治疗部位使用</w:t>
      </w:r>
    </w:p>
    <w:p>
      <w:pPr>
        <w:pStyle w:val="null3"/>
        <w:ind w:firstLine="210"/>
        <w:jc w:val="left"/>
      </w:pPr>
      <w:r>
        <w:rPr>
          <w:sz w:val="21"/>
          <w:color w:val="000000"/>
        </w:rPr>
        <w:t>11、应具备场强指示：配置场强指示附件，指示电极板输出功率分布和强弱</w:t>
      </w:r>
    </w:p>
    <w:p>
      <w:pPr>
        <w:pStyle w:val="null3"/>
        <w:ind w:firstLine="210"/>
        <w:jc w:val="left"/>
      </w:pPr>
      <w:r>
        <w:rPr>
          <w:sz w:val="21"/>
          <w:color w:val="000000"/>
        </w:rPr>
        <w:t>12、应具备电流指示：最大量程为 300mA，精度不低于 2.5 级</w:t>
      </w:r>
    </w:p>
    <w:p>
      <w:pPr>
        <w:pStyle w:val="null3"/>
        <w:ind w:firstLine="210"/>
        <w:jc w:val="left"/>
      </w:pPr>
      <w:r>
        <w:rPr>
          <w:sz w:val="21"/>
          <w:color w:val="000000"/>
        </w:rPr>
        <w:t>13、整机维保≥3 年</w:t>
      </w:r>
    </w:p>
    <w:p>
      <w:pPr>
        <w:pStyle w:val="null3"/>
        <w:jc w:val="center"/>
      </w:pPr>
      <w:r>
        <w:rPr>
          <w:sz w:val="21"/>
          <w:b/>
        </w:rPr>
        <w:t>序号</w:t>
      </w:r>
      <w:r>
        <w:rPr>
          <w:sz w:val="21"/>
          <w:b/>
        </w:rPr>
        <w:t>7：温热中频治疗仪</w:t>
      </w:r>
    </w:p>
    <w:p>
      <w:pPr>
        <w:pStyle w:val="null3"/>
        <w:ind w:firstLine="420"/>
        <w:jc w:val="left"/>
      </w:pPr>
      <w:r>
        <w:rPr/>
        <w:t>1、输出路数：两路输出，可二维、多维输出</w:t>
      </w:r>
    </w:p>
    <w:p>
      <w:pPr>
        <w:pStyle w:val="null3"/>
        <w:ind w:firstLine="420"/>
        <w:jc w:val="left"/>
      </w:pPr>
      <w:r>
        <w:rPr/>
        <w:t>2、输出波形：正弦波、正弦调制波</w:t>
      </w:r>
    </w:p>
    <w:p>
      <w:pPr>
        <w:pStyle w:val="null3"/>
        <w:ind w:firstLine="420"/>
        <w:jc w:val="left"/>
      </w:pPr>
      <w:r>
        <w:rPr/>
        <w:t>3、操作模式：≥3 种；干涉模式：≥8种；向量模式：≥6种；吸引模式：≥5种</w:t>
      </w:r>
    </w:p>
    <w:p>
      <w:pPr>
        <w:pStyle w:val="null3"/>
        <w:ind w:firstLine="420"/>
        <w:jc w:val="left"/>
      </w:pPr>
      <w:r>
        <w:rPr/>
        <w:t>4、载波频率：2</w:t>
      </w:r>
      <w:r>
        <w:rPr/>
        <w:t>~</w:t>
      </w:r>
      <w:r>
        <w:rPr/>
        <w:t>10kHz、循环波；差频频率：1</w:t>
      </w:r>
      <w:r>
        <w:rPr/>
        <w:t>~</w:t>
      </w:r>
      <w:r>
        <w:rPr/>
        <w:t>200Hz</w:t>
      </w:r>
    </w:p>
    <w:p>
      <w:pPr>
        <w:pStyle w:val="null3"/>
        <w:ind w:firstLine="420"/>
        <w:jc w:val="left"/>
      </w:pPr>
      <w:r>
        <w:rPr/>
        <w:t>5、电流输出强度可调节：≤0.5mA</w:t>
      </w:r>
    </w:p>
    <w:p>
      <w:pPr>
        <w:pStyle w:val="null3"/>
        <w:ind w:firstLine="420"/>
        <w:jc w:val="left"/>
      </w:pPr>
      <w:r>
        <w:rPr/>
        <w:t>6、具有吸引压智能调节功能</w:t>
      </w:r>
    </w:p>
    <w:p>
      <w:pPr>
        <w:pStyle w:val="null3"/>
        <w:ind w:firstLine="420"/>
        <w:jc w:val="left"/>
      </w:pPr>
      <w:r>
        <w:rPr/>
        <w:t>7、具有多电极灵活选择</w:t>
      </w:r>
    </w:p>
    <w:p>
      <w:pPr>
        <w:pStyle w:val="null3"/>
        <w:ind w:firstLine="420"/>
        <w:jc w:val="left"/>
      </w:pPr>
      <w:r>
        <w:rPr/>
        <w:t>8、具有≥10 英寸液晶触摸屏及一键飞梭</w:t>
      </w:r>
    </w:p>
    <w:p>
      <w:pPr>
        <w:pStyle w:val="null3"/>
        <w:ind w:firstLine="420"/>
        <w:jc w:val="left"/>
      </w:pPr>
      <w:r>
        <w:rPr/>
        <w:t>9、多重安全保护：包括但不限于过电流保护、过电压保护等</w:t>
      </w:r>
    </w:p>
    <w:p>
      <w:pPr>
        <w:pStyle w:val="null3"/>
        <w:ind w:firstLine="420"/>
        <w:jc w:val="left"/>
      </w:pPr>
      <w:r>
        <w:rPr/>
        <w:t>10、便携台式机，重量≤10KG</w:t>
      </w:r>
    </w:p>
    <w:p>
      <w:pPr>
        <w:pStyle w:val="null3"/>
        <w:ind w:firstLine="420"/>
        <w:jc w:val="left"/>
      </w:pPr>
      <w:r>
        <w:rPr/>
        <w:t>11、整机维保≥3年</w:t>
      </w:r>
    </w:p>
    <w:p>
      <w:pPr>
        <w:pStyle w:val="null3"/>
        <w:jc w:val="center"/>
      </w:pPr>
      <w:r>
        <w:rPr>
          <w:sz w:val="21"/>
          <w:b/>
        </w:rPr>
        <w:t>序号</w:t>
      </w:r>
      <w:r>
        <w:rPr>
          <w:sz w:val="21"/>
          <w:b/>
        </w:rPr>
        <w:t>8：全自动仿生助产仪</w:t>
      </w:r>
    </w:p>
    <w:p>
      <w:pPr>
        <w:pStyle w:val="null3"/>
        <w:ind w:firstLine="420"/>
        <w:jc w:val="left"/>
      </w:pPr>
      <w:r>
        <w:rPr/>
        <w:t>1、应具备助产仪的工作模式：自动、手动、脚踏等多种工作模式可选；</w:t>
      </w:r>
    </w:p>
    <w:p>
      <w:pPr>
        <w:pStyle w:val="null3"/>
        <w:ind w:firstLine="420"/>
        <w:jc w:val="left"/>
      </w:pPr>
      <w:r>
        <w:rPr/>
        <w:t>2、应具备助产仪气囊直径调整范围：气囊直径调整范围不小于为 50mm-110mm，</w:t>
      </w:r>
    </w:p>
    <w:p>
      <w:pPr>
        <w:pStyle w:val="null3"/>
        <w:ind w:firstLine="420"/>
        <w:jc w:val="left"/>
      </w:pPr>
      <w:r>
        <w:rPr/>
        <w:t>3、应具备助产仪气囊充气速度：气囊充气速度分多档调节</w:t>
      </w:r>
    </w:p>
    <w:p>
      <w:pPr>
        <w:pStyle w:val="null3"/>
        <w:ind w:firstLine="420"/>
        <w:jc w:val="left"/>
      </w:pPr>
      <w:r>
        <w:rPr/>
        <w:t>4、应具备助产仪保持时间：保持时间不小于 1-9 分钟</w:t>
      </w:r>
    </w:p>
    <w:p>
      <w:pPr>
        <w:pStyle w:val="null3"/>
        <w:ind w:firstLine="420"/>
        <w:jc w:val="left"/>
      </w:pPr>
      <w:r>
        <w:rPr/>
        <w:t>5、应具备助产仪噪声：整机噪声不大于 65dB(A)</w:t>
      </w:r>
    </w:p>
    <w:p>
      <w:pPr>
        <w:pStyle w:val="null3"/>
        <w:ind w:firstLine="420"/>
        <w:jc w:val="left"/>
      </w:pPr>
      <w:r>
        <w:rPr/>
        <w:t>6、应具备助产仪提示声音：助产仪开机时和排气后有声音提示</w:t>
      </w:r>
    </w:p>
    <w:p>
      <w:pPr>
        <w:pStyle w:val="null3"/>
        <w:ind w:firstLine="420"/>
        <w:jc w:val="left"/>
      </w:pPr>
      <w:r>
        <w:rPr/>
        <w:t>7、应具备软件功能：软件具有气囊直径、充气速度、保持时间设置功能，具有提示音功能</w:t>
      </w:r>
    </w:p>
    <w:p>
      <w:pPr>
        <w:pStyle w:val="null3"/>
        <w:ind w:firstLine="420"/>
        <w:jc w:val="left"/>
      </w:pPr>
      <w:r>
        <w:rPr/>
        <w:t>8、应具备助产仪气囊的气密性：气囊无破裂和漏气，符合助产仪气囊的气密性要求</w:t>
      </w:r>
    </w:p>
    <w:p>
      <w:pPr>
        <w:pStyle w:val="null3"/>
        <w:ind w:firstLine="420"/>
        <w:jc w:val="left"/>
      </w:pPr>
      <w:r>
        <w:rPr/>
        <w:t>9、应具备环氧乙烷残留量：环氧乙烷残留量不大于 10µg/g。</w:t>
      </w:r>
    </w:p>
    <w:p>
      <w:pPr>
        <w:pStyle w:val="null3"/>
        <w:ind w:firstLine="420"/>
        <w:jc w:val="left"/>
      </w:pPr>
      <w:r>
        <w:rPr/>
        <w:t>10、应具备无菌性能：助产仪手柄附件无菌。</w:t>
      </w:r>
    </w:p>
    <w:p>
      <w:pPr>
        <w:pStyle w:val="null3"/>
        <w:ind w:firstLine="420"/>
        <w:jc w:val="left"/>
      </w:pPr>
      <w:r>
        <w:rPr/>
        <w:t>11、应具备全自动仿生助产仪手柄附件：手柄附件三个面均有五个手指防滑立体凹槽，并带有长度精密刻度，便于清晰便于判断气囊置入产道的深度和位置。</w:t>
      </w:r>
    </w:p>
    <w:p>
      <w:pPr>
        <w:pStyle w:val="null3"/>
        <w:ind w:firstLine="420"/>
        <w:jc w:val="left"/>
      </w:pPr>
      <w:r>
        <w:rPr/>
        <w:t>12、整机维保≥3 年</w:t>
      </w:r>
    </w:p>
    <w:p>
      <w:pPr>
        <w:pStyle w:val="null3"/>
        <w:jc w:val="center"/>
      </w:pPr>
      <w:r>
        <w:rPr>
          <w:sz w:val="21"/>
          <w:b/>
        </w:rPr>
        <w:t>序号</w:t>
      </w:r>
      <w:r>
        <w:rPr>
          <w:sz w:val="21"/>
          <w:b/>
        </w:rPr>
        <w:t>9：光电离子治疗仪</w:t>
      </w:r>
    </w:p>
    <w:p>
      <w:pPr>
        <w:pStyle w:val="null3"/>
        <w:ind w:firstLine="420"/>
        <w:jc w:val="left"/>
      </w:pPr>
      <w:r>
        <w:rPr/>
        <w:t>1、应具备适用于乳腺炎、乳腺增生电刺激按摩、红外热辐射和药物离子导入的综合治疗。</w:t>
      </w:r>
    </w:p>
    <w:p>
      <w:pPr>
        <w:pStyle w:val="null3"/>
        <w:ind w:firstLine="420"/>
        <w:jc w:val="left"/>
      </w:pPr>
      <w:r>
        <w:rPr/>
        <w:t>2、应具备不小于 5 种不同治疗模式任意选择；其中电脉冲强度 0-99 档任意调节。</w:t>
      </w:r>
    </w:p>
    <w:p>
      <w:pPr>
        <w:pStyle w:val="null3"/>
        <w:ind w:firstLine="420"/>
        <w:jc w:val="left"/>
      </w:pPr>
      <w:r>
        <w:rPr/>
        <w:t>3、应具备红外辐射强度级别调节多级可调，强度依次递增，任意选择；当红外辐射强度设置为最强时，30min 内探头表面温度应≤60℃；近红外光波长：0.8μm～3μm。</w:t>
      </w:r>
    </w:p>
    <w:p>
      <w:pPr>
        <w:pStyle w:val="null3"/>
        <w:ind w:firstLine="420"/>
        <w:jc w:val="left"/>
      </w:pPr>
      <w:r>
        <w:rPr/>
        <w:t>4、应具备设备具备语音功能及治疗时间提醒功能。</w:t>
      </w:r>
    </w:p>
    <w:p>
      <w:pPr>
        <w:pStyle w:val="null3"/>
        <w:ind w:firstLine="420"/>
        <w:jc w:val="left"/>
      </w:pPr>
      <w:r>
        <w:rPr/>
        <w:t>5、应具备治疗时间:0～99 分钟连续可调。</w:t>
      </w:r>
    </w:p>
    <w:p>
      <w:pPr>
        <w:pStyle w:val="null3"/>
        <w:ind w:firstLine="420"/>
        <w:jc w:val="left"/>
      </w:pPr>
      <w:r>
        <w:rPr/>
        <w:t>7、应具备具有 2 个独立输出通道。</w:t>
      </w:r>
    </w:p>
    <w:p>
      <w:pPr>
        <w:pStyle w:val="null3"/>
        <w:ind w:firstLine="420"/>
        <w:jc w:val="left"/>
      </w:pPr>
      <w:r>
        <w:rPr/>
        <w:t>8、应具备白色 LED 液晶屏中文操作显示</w:t>
      </w:r>
    </w:p>
    <w:p>
      <w:pPr>
        <w:pStyle w:val="null3"/>
        <w:ind w:firstLine="420"/>
        <w:jc w:val="left"/>
      </w:pPr>
      <w:r>
        <w:rPr/>
        <w:t>9、整机维保≥3 年</w:t>
      </w:r>
    </w:p>
    <w:p>
      <w:pPr>
        <w:pStyle w:val="null3"/>
        <w:jc w:val="center"/>
      </w:pPr>
      <w:r>
        <w:rPr>
          <w:sz w:val="21"/>
          <w:b/>
        </w:rPr>
        <w:t>序号</w:t>
      </w:r>
      <w:r>
        <w:rPr>
          <w:sz w:val="21"/>
          <w:b/>
        </w:rPr>
        <w:t>10：神经刺激仪</w:t>
      </w:r>
    </w:p>
    <w:p>
      <w:pPr>
        <w:pStyle w:val="null3"/>
        <w:ind w:firstLine="420"/>
        <w:jc w:val="left"/>
      </w:pPr>
      <w:r>
        <w:rPr/>
        <w:t>1、输出通道：≥4 路输出</w:t>
      </w:r>
    </w:p>
    <w:p>
      <w:pPr>
        <w:pStyle w:val="null3"/>
        <w:ind w:firstLine="420"/>
        <w:jc w:val="left"/>
      </w:pPr>
      <w:r>
        <w:rPr/>
        <w:t>2、输出波形：两组，独立可调</w:t>
      </w:r>
    </w:p>
    <w:p>
      <w:pPr>
        <w:pStyle w:val="null3"/>
        <w:ind w:firstLine="420"/>
        <w:jc w:val="left"/>
      </w:pPr>
      <w:r>
        <w:rPr/>
        <w:t>3、频率范围：0Hz~5Hz</w:t>
      </w:r>
    </w:p>
    <w:p>
      <w:pPr>
        <w:pStyle w:val="null3"/>
        <w:ind w:firstLine="420"/>
        <w:jc w:val="left"/>
      </w:pPr>
      <w:r>
        <w:rPr/>
        <w:t>4、治疗时间：0min～90min 可调</w:t>
      </w:r>
    </w:p>
    <w:p>
      <w:pPr>
        <w:pStyle w:val="null3"/>
        <w:ind w:firstLine="420"/>
        <w:jc w:val="left"/>
      </w:pPr>
      <w:r>
        <w:rPr/>
        <w:t>5、采用触摸屏显示，配有独立操作键盘</w:t>
      </w:r>
    </w:p>
    <w:p>
      <w:pPr>
        <w:pStyle w:val="null3"/>
        <w:ind w:firstLine="420"/>
        <w:jc w:val="left"/>
      </w:pPr>
      <w:r>
        <w:rPr/>
        <w:t>6、整机维保≥3年</w:t>
      </w:r>
    </w:p>
    <w:p>
      <w:pPr>
        <w:pStyle w:val="null3"/>
      </w:pPr>
      <w:r>
        <w:rPr/>
        <w:t>采购包1（康复及治疗设备采购项目）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1期：支付比例30%,同签订后，乙方向甲方提供合同总额100％发票原件，由甲方在5个工作日内按财务流程支付合同总金额的30%作为预付款。</w:t>
            </w:r>
          </w:p>
          <w:p>
            <w:pPr>
              <w:pStyle w:val="null3"/>
            </w:pPr>
            <w:r>
              <w:rPr/>
              <w:t>2期：支付比例70%,货物全部安装、调试完毕并验收合格后，乙方凭有效文件由甲方在15个工作日之内按财务流程支付（如果乙方为中小企业，甲方在15日内支付）合同总金额的70%。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1期：合同设备在出厂前应进行验收，设备到采购人指定地点后应在双方共同参加下进行验收，双方在相关的单据上签字确认验收。 验收按国家有关的规定、规范和通常惯例进行。 属于法定商检的产品，须进行商检，提供相关报关资料证明； 属于计量器具（包含强检和非强检）的设备必须提供首次检定合格证书或校准证书； 属于射线装置的，按采购人要求协助办理放射诊疗和辐射安全许可相关各种手续； 需要第三方验收的设备需提供有资质部门验收检测报告； 需要与采购人信息系统联网的，供应商必须无偿开放接口，并协助联网。 上述各项费用均由供应商负责。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供应商承担。 供应商应向采购人提供设备的用户手册、维护保养手册、操作流程、维护流程、维修手册、软件备份、故障代码表、备件清单、零部件、维修密码和密钥U盘等维护维修必需的材料和信息（并尽可能提供电子版）。 设备验收、调试并交付使用之日起，壹个月为试用期。 供应商保证合同项下提供的仪器设备不侵犯任何第三方的专利、商标或版权。否则，供应商须承担对第三方的专利或版权的侵权责任并承担因此而发生的所有费用，包括采购人因此发生的损失。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说明：具体按采购合同规定。</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脉冲磁场刺激仪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体外碎石机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488,000.00</w:t>
            </w:r>
          </w:p>
        </w:tc>
        <w:tc>
          <w:tcPr>
            <w:tcW w:type="dxa" w:w="831"/>
          </w:tcPr>
          <w:p>
            <w:pPr>
              <w:pStyle w:val="null3"/>
              <w:jc w:val="right"/>
            </w:pPr>
            <w:r>
              <w:rPr/>
              <w:t>488,000.00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认知康复训练与评估系统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生物刺激反馈仪（磁疗盆底治疗仪）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磁疗盆底治疗仪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微波治疗仪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24,500.00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温热中频治疗仪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42,000.00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全自动仿生助产仪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88,000.00</w:t>
            </w:r>
          </w:p>
        </w:tc>
        <w:tc>
          <w:tcPr>
            <w:tcW w:type="dxa" w:w="831"/>
          </w:tcPr>
          <w:p>
            <w:pPr>
              <w:pStyle w:val="null3"/>
              <w:jc w:val="right"/>
            </w:pPr>
            <w:r>
              <w:rPr/>
              <w:t>88,000.00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光电离子治疗仪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w:t>
            </w:r>
          </w:p>
        </w:tc>
      </w:tr>
    </w:tbl>
    <w:p>
      <w:pPr>
        <w:pStyle w:val="null3"/>
      </w:pPr>
      <w:r>
        <w:rPr>
          <w:b/>
        </w:rPr>
        <w:t>附表</w:t>
      </w:r>
      <w:r>
        <w:rPr>
          <w:b/>
        </w:rPr>
        <w:t>一</w:t>
      </w:r>
      <w:r>
        <w:rPr>
          <w:b/>
        </w:rPr>
        <w:t>：</w:t>
      </w:r>
      <w:r>
        <w:rPr>
          <w:b/>
        </w:rPr>
        <w:t>脉冲磁场刺激仪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体外碎石机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认知康复训练与评估系统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生物刺激反馈仪（磁疗盆底治疗仪）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磁疗盆底治疗仪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温热中频治疗仪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全自动仿生助产仪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光电离子治疗仪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神经刺激仪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10%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采购包1(康复及治疗设备采购项目)：综合评分法,是指投标文件满足招标文件全部实质性要求，且按照评审因素的量化指标评审得分最高的投标人为中标候选人的评标方法。（最低报价不是中标的唯一依据。）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特定资格要求（满足以下任一条件即可）：①适用于投标人为所投产品经营企业：所投产品为第三类医疗器械，须具有《医疗器械经营许可证》；所投产品为第二类医疗器械，须具有《第二类医疗器械经营备案凭证》或承诺供货前取得《第二类医疗器械经营备案凭证》；所投产品为第一类医疗器械或不属于医疗器械，无需提供证明材料。②适用于投标人为所投产品生产企业：所投产品为第二类、第三类医疗器械，须具有《医疗器械生产许可证》；所投产品为第一类医疗器械，须具有《第一类医疗器械生产备案凭证》或承诺供货前取得《第一类医疗器械生产备案凭证》；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本项目不允许进口产品投标。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用户需求书中重要技术参数（带▲技术参数）的响应程度：优于或完全满足采购需求的，得30分；带▲条款响应得分=(满足带▲条款的数量÷带▲条款的总数量)×30分（保留两位小数）；全部都负偏离得0分。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所投货物对用户需求书中除带▲号、★号的技术参数的符合性 (8.0分)</w:t>
            </w:r>
          </w:p>
        </w:tc>
        <w:tc>
          <w:tcPr>
            <w:tcW w:type="dxa" w:w="5076"/>
          </w:tcPr>
          <w:p>
            <w:pPr>
              <w:pStyle w:val="null3"/>
              <w:jc w:val="left"/>
            </w:pPr>
            <w:r>
              <w:rPr/>
              <w:t>一般技术参数（除带★、▲技术参数）的响应程度（注：凡是标有序号的一般技术参数条款均以一项单独的条款计算，无论是否隶属于上一级编号）：优于或完全满足采购需求的，得8分；一般技术参数响应得分=(一般技术参数满足条款的数量÷一般技术参数总数量)×8分（保留两位小数）；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所投货物性能、配置及供货能力 (7.0分)</w:t>
            </w:r>
          </w:p>
        </w:tc>
        <w:tc>
          <w:tcPr>
            <w:tcW w:type="dxa" w:w="5076"/>
          </w:tcPr>
          <w:p>
            <w:pPr>
              <w:pStyle w:val="null3"/>
              <w:jc w:val="left"/>
            </w:pPr>
            <w:r>
              <w:rPr/>
              <w:t>所投货物技术性能、配置、可靠性、稳定性、耐用性完全满足采购需求，能按时供货且能有稳定供货渠道的，得7分；所投货物技术性能、配置、可靠性、稳定性、耐用性不能完全满足采购需求，或者不能按时供货或无稳定供货渠道的，得4分；所投货物技术性能、配置、可靠性、稳定性、耐用性不能完全满足采购需求，且不能按时供货或无稳定供货渠道的，得1分；无材料体现的，得0分。</w:t>
            </w:r>
          </w:p>
        </w:tc>
      </w:tr>
      <w:tr>
        <w:tc>
          <w:tcPr>
            <w:tcW w:type="dxa" w:w="922"/>
            <w:gridSpan w:val="2"/>
            <w:vMerge/>
          </w:tcPr>
          <w:p/>
        </w:tc>
        <w:tc>
          <w:tcPr>
            <w:tcW w:type="dxa" w:w="2307"/>
          </w:tcPr>
          <w:p>
            <w:pPr>
              <w:pStyle w:val="null3"/>
              <w:jc w:val="left"/>
            </w:pPr>
            <w:r>
              <w:rPr/>
              <w:t>安装与调试方案 (4.0分)</w:t>
            </w:r>
          </w:p>
        </w:tc>
        <w:tc>
          <w:tcPr>
            <w:tcW w:type="dxa" w:w="5076"/>
          </w:tcPr>
          <w:p>
            <w:pPr>
              <w:pStyle w:val="null3"/>
              <w:jc w:val="left"/>
            </w:pPr>
            <w:r>
              <w:rPr/>
              <w:t>根据投标人提供的安装与调试方案进行评审：方案包含全部2项内容：①安装与调试的整体服务计划人员安排、②交货及安装调试的时间进度安排；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4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提供的培训方案进行综合评审：方案包含内容有3项：①培训目标制定与落实措施、②师资力量调配和安排措施、③结合本项目培训内容与计划制定及完善措施；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6分。</w:t>
            </w:r>
          </w:p>
        </w:tc>
      </w:tr>
      <w:tr>
        <w:tc>
          <w:tcPr>
            <w:tcW w:type="dxa" w:w="922"/>
            <w:gridSpan w:val="2"/>
            <w:vMerge w:val="restart"/>
          </w:tcPr>
          <w:p>
            <w:pPr>
              <w:pStyle w:val="null3"/>
              <w:jc w:val="center"/>
            </w:pPr>
            <w:r>
              <w:rPr/>
              <w:t>商务部分</w:t>
            </w:r>
          </w:p>
        </w:tc>
        <w:tc>
          <w:tcPr>
            <w:tcW w:type="dxa" w:w="2307"/>
          </w:tcPr>
          <w:p>
            <w:pPr>
              <w:pStyle w:val="null3"/>
              <w:jc w:val="left"/>
            </w:pPr>
            <w:r>
              <w:rPr/>
              <w:t>投标人企业信誉或认证 (4.0分)</w:t>
            </w:r>
          </w:p>
        </w:tc>
        <w:tc>
          <w:tcPr>
            <w:tcW w:type="dxa" w:w="5076"/>
          </w:tcPr>
          <w:p>
            <w:pPr>
              <w:pStyle w:val="null3"/>
              <w:jc w:val="left"/>
            </w:pPr>
            <w:r>
              <w:rPr/>
              <w:t>投标人或制造商具有以下其中任意一种证书或评价得4分，满分4分。1.职业健康安全管理体系认证证书；2.环境管理体系认证证书；3.质量管理体系认证证书；4.用户满意度调查表或用户评价（评价需为正面）。提供有效期内的证书复印件，无提供不得分。</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提供详细的售后服务方案，方案包括供货期、完工期、保修期限、服务响应时间、零配件供应情况、维保服务内容等，对各方案进行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3分；有提供售后服务方案，但可行性不强，售后服务内容及各阶段服务计划完整性有缺漏，得1分；无材料体现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如以上都相同，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72"/>
          <w:b/>
        </w:rPr>
        <w:t>广州市白云区人民医院</w:t>
      </w:r>
    </w:p>
    <w:p>
      <w:pPr>
        <w:pStyle w:val="null3"/>
        <w:jc w:val="center"/>
      </w:pPr>
      <w:r>
        <w:rPr>
          <w:sz w:val="72"/>
          <w:b/>
        </w:rPr>
        <w:t>仪器设备采购合同</w:t>
      </w:r>
    </w:p>
    <w:p>
      <w:pPr>
        <w:pStyle w:val="null3"/>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720" w:firstLine="2249"/>
        <w:jc w:val="left"/>
      </w:pPr>
      <w:r>
        <w:rPr>
          <w:sz w:val="32"/>
          <w:b/>
        </w:rPr>
        <w:t>仪器设备采购合同</w:t>
      </w:r>
    </w:p>
    <w:p>
      <w:pPr>
        <w:pStyle w:val="null3"/>
      </w:pPr>
      <w:r>
        <w:rPr/>
        <w:t xml:space="preserve"> </w:t>
      </w:r>
    </w:p>
    <w:p>
      <w:pPr>
        <w:pStyle w:val="null3"/>
        <w:ind w:left="720" w:firstLine="2249"/>
        <w:jc w:val="left"/>
      </w:pPr>
      <w:r>
        <w:rPr>
          <w:sz w:val="24"/>
          <w:b/>
        </w:rPr>
        <w:t>甲</w:t>
      </w:r>
      <w:r>
        <w:rPr>
          <w:sz w:val="24"/>
          <w:b/>
        </w:rPr>
        <w:t xml:space="preserve">  </w:t>
      </w:r>
      <w:r>
        <w:rPr>
          <w:sz w:val="24"/>
          <w:b/>
        </w:rPr>
        <w:t>方：</w:t>
      </w:r>
      <w:r>
        <w:rPr>
          <w:sz w:val="24"/>
          <w:b/>
        </w:rPr>
        <w:t>广州市</w:t>
      </w:r>
      <w:r>
        <w:rPr>
          <w:sz w:val="24"/>
          <w:b/>
        </w:rPr>
        <w:t>白云区人民医院</w:t>
      </w:r>
    </w:p>
    <w:p>
      <w:pPr>
        <w:pStyle w:val="null3"/>
        <w:jc w:val="both"/>
      </w:pPr>
      <w:r>
        <w:rPr>
          <w:sz w:val="24"/>
          <w:b/>
        </w:rPr>
        <w:t>乙</w:t>
      </w:r>
      <w:r>
        <w:rPr>
          <w:sz w:val="24"/>
          <w:b/>
        </w:rPr>
        <w:t xml:space="preserve">  </w:t>
      </w:r>
      <w:r>
        <w:rPr>
          <w:sz w:val="24"/>
          <w:b/>
        </w:rPr>
        <w:t>方：</w:t>
      </w:r>
    </w:p>
    <w:p>
      <w:pPr>
        <w:pStyle w:val="null3"/>
        <w:jc w:val="both"/>
      </w:pPr>
      <w:r>
        <w:rPr>
          <w:sz w:val="24"/>
        </w:rPr>
        <w:t>根据《中华人民共和国民法典》等相关法规规定及</w:t>
      </w:r>
      <w:r>
        <w:rPr>
          <w:sz w:val="24"/>
        </w:rPr>
        <w:t>广州市白云区人民医院</w:t>
      </w:r>
      <w:r>
        <w:rPr>
          <w:sz w:val="24"/>
        </w:rPr>
        <w:t>仪器设备</w:t>
      </w:r>
      <w:r>
        <w:rPr>
          <w:sz w:val="24"/>
          <w:u w:val="single"/>
        </w:rPr>
        <w:t xml:space="preserve">              </w:t>
      </w:r>
      <w:r>
        <w:rPr>
          <w:sz w:val="24"/>
          <w:u w:val="single"/>
        </w:rPr>
        <w:t>项目</w:t>
      </w:r>
      <w:r>
        <w:rPr>
          <w:sz w:val="24"/>
        </w:rPr>
        <w:t>（</w:t>
      </w:r>
      <w:r>
        <w:rPr>
          <w:sz w:val="24"/>
          <w:u w:val="single"/>
        </w:rPr>
        <w:t>项目编号</w:t>
      </w:r>
      <w:r>
        <w:rPr>
          <w:sz w:val="24"/>
          <w:u w:val="single"/>
        </w:rPr>
        <w:t>：</w:t>
      </w:r>
      <w:r>
        <w:rPr>
          <w:sz w:val="21"/>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1</w:t>
      </w:r>
      <w:r>
        <w:rPr>
          <w:sz w:val="24"/>
          <w:b/>
        </w:rPr>
        <w:t>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68"/>
        <w:gridCol w:w="975"/>
        <w:gridCol w:w="1036"/>
        <w:gridCol w:w="1036"/>
        <w:gridCol w:w="804"/>
        <w:gridCol w:w="573"/>
        <w:gridCol w:w="573"/>
        <w:gridCol w:w="951"/>
        <w:gridCol w:w="1048"/>
      </w:tblGrid>
      <w:tr>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2"/>
              </w:rPr>
              <w:t>品名</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厂家</w:t>
            </w:r>
          </w:p>
          <w:p>
            <w:pPr>
              <w:pStyle w:val="null3"/>
              <w:ind w:left="15"/>
              <w:jc w:val="center"/>
            </w:pPr>
            <w:r>
              <w:rPr>
                <w:sz w:val="22"/>
              </w:rPr>
              <w:t>产地</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注册证号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总价（元）</w:t>
            </w:r>
          </w:p>
        </w:tc>
      </w:tr>
      <w:tr>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1"/>
                <w:u w:val="single"/>
              </w:rPr>
              <w:t xml:space="preserve">    </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r>
              <w:rPr>
                <w:sz w:val="21"/>
                <w:u w:val="single"/>
              </w:rPr>
              <w:t xml:space="preserve">      </w:t>
            </w:r>
          </w:p>
        </w:tc>
      </w:tr>
    </w:tbl>
    <w:p>
      <w:pPr>
        <w:pStyle w:val="null3"/>
        <w:ind w:firstLine="540"/>
        <w:jc w:val="both"/>
      </w:pPr>
      <w:r>
        <w:rPr>
          <w:sz w:val="24"/>
          <w:b/>
        </w:rPr>
        <w:t>2</w:t>
      </w:r>
      <w:r>
        <w:rPr>
          <w:sz w:val="24"/>
          <w:b/>
        </w:rPr>
        <w:t>　合同总价</w:t>
      </w:r>
    </w:p>
    <w:p>
      <w:pPr>
        <w:pStyle w:val="null3"/>
        <w:ind w:firstLine="540"/>
        <w:jc w:val="both"/>
      </w:pPr>
      <w:r>
        <w:rPr>
          <w:sz w:val="24"/>
        </w:rPr>
        <w:t>总价为：人民币</w:t>
      </w:r>
      <w:r>
        <w:rPr>
          <w:sz w:val="21"/>
          <w:u w:val="single"/>
        </w:rPr>
        <w:t xml:space="preserve"> </w:t>
      </w:r>
      <w:r>
        <w:rPr>
          <w:sz w:val="21"/>
          <w:u w:val="single"/>
        </w:rPr>
        <w:t xml:space="preserve">      </w:t>
      </w:r>
      <w:r>
        <w:rPr>
          <w:sz w:val="21"/>
          <w:u w:val="single"/>
        </w:rPr>
        <w:t xml:space="preserve"> </w:t>
      </w:r>
      <w:r>
        <w:rPr>
          <w:sz w:val="24"/>
        </w:rPr>
        <w:t>元整（大写），即￥</w:t>
      </w:r>
      <w:r>
        <w:rPr>
          <w:sz w:val="21"/>
          <w:u w:val="single"/>
        </w:rPr>
        <w:t xml:space="preserve">       </w:t>
      </w:r>
      <w:r>
        <w:rPr>
          <w:sz w:val="21"/>
          <w:u w:val="single"/>
        </w:rPr>
        <w:t xml:space="preserve"> </w:t>
      </w:r>
      <w:r>
        <w:rPr>
          <w:sz w:val="24"/>
        </w:rPr>
        <w:t>元，该合同总金额包括了设计、设备制造、包装、仓储、运输、设备安装及验收合格之前及保修期的</w:t>
      </w:r>
      <w:r>
        <w:rPr>
          <w:sz w:val="24"/>
        </w:rPr>
        <w:t>备品备件</w:t>
      </w:r>
      <w:r>
        <w:rPr>
          <w:sz w:val="24"/>
        </w:rPr>
        <w:t>（</w:t>
      </w:r>
      <w:r>
        <w:rPr>
          <w:sz w:val="24"/>
        </w:rPr>
        <w:t>电极除外）</w:t>
      </w:r>
      <w:r>
        <w:rPr>
          <w:sz w:val="24"/>
        </w:rPr>
        <w:t>以及所有的进口环节税费。本合同执行期间合同总金额不变，甲方不再另行支付其他任何费用。</w:t>
      </w:r>
    </w:p>
    <w:p>
      <w:pPr>
        <w:pStyle w:val="null3"/>
        <w:ind w:firstLine="540"/>
        <w:jc w:val="both"/>
      </w:pPr>
      <w:r>
        <w:rPr>
          <w:sz w:val="24"/>
          <w:b/>
        </w:rPr>
        <w:t>3</w:t>
      </w:r>
      <w:r>
        <w:rPr>
          <w:sz w:val="24"/>
          <w:b/>
        </w:rPr>
        <w:t>　合同组成</w:t>
      </w:r>
    </w:p>
    <w:p>
      <w:pPr>
        <w:pStyle w:val="null3"/>
        <w:ind w:firstLine="540"/>
        <w:jc w:val="both"/>
      </w:pPr>
      <w:r>
        <w:rPr>
          <w:sz w:val="24"/>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4"/>
          <w:b/>
        </w:rPr>
        <w:t>4</w:t>
      </w:r>
      <w:r>
        <w:rPr>
          <w:sz w:val="24"/>
          <w:b/>
        </w:rPr>
        <w:t>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w:t>
      </w:r>
      <w:r>
        <w:rPr>
          <w:sz w:val="24"/>
          <w:b/>
        </w:rPr>
        <w:t>　合同设备的包装、交货及验收</w:t>
      </w:r>
    </w:p>
    <w:p>
      <w:pPr>
        <w:pStyle w:val="null3"/>
        <w:ind w:firstLine="540"/>
        <w:jc w:val="both"/>
      </w:pPr>
      <w:r>
        <w:rPr>
          <w:sz w:val="24"/>
        </w:rPr>
        <w:t>5.1</w:t>
      </w:r>
      <w:r>
        <w:rPr>
          <w:sz w:val="24"/>
        </w:rPr>
        <w:t>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 xml:space="preserve">5.2 </w:t>
      </w:r>
      <w:r>
        <w:rPr>
          <w:sz w:val="24"/>
        </w:rPr>
        <w:t>设备的安装</w:t>
      </w:r>
    </w:p>
    <w:p>
      <w:pPr>
        <w:pStyle w:val="null3"/>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ind w:firstLine="540"/>
        <w:jc w:val="both"/>
      </w:pPr>
      <w:r>
        <w:rPr>
          <w:sz w:val="24"/>
        </w:rPr>
        <w:t xml:space="preserve">5.2.2 </w:t>
      </w:r>
      <w:r>
        <w:rPr>
          <w:sz w:val="24"/>
        </w:rPr>
        <w:t>乙方安装时须对各安装场地内的其他设备、设施有良好保护措施。及时清理拆箱和安装产生的物料。</w:t>
      </w:r>
    </w:p>
    <w:p>
      <w:pPr>
        <w:pStyle w:val="null3"/>
        <w:ind w:firstLine="540"/>
        <w:jc w:val="both"/>
      </w:pPr>
      <w:r>
        <w:rPr>
          <w:sz w:val="24"/>
        </w:rPr>
        <w:t>5.</w:t>
      </w:r>
      <w:r>
        <w:rPr>
          <w:sz w:val="24"/>
        </w:rPr>
        <w:t>3</w:t>
      </w:r>
      <w:r>
        <w:rPr>
          <w:sz w:val="24"/>
        </w:rPr>
        <w:t>合同设备的交付使用</w:t>
      </w:r>
    </w:p>
    <w:p>
      <w:pPr>
        <w:pStyle w:val="null3"/>
        <w:ind w:firstLine="540"/>
        <w:jc w:val="both"/>
      </w:pPr>
      <w:r>
        <w:rPr>
          <w:sz w:val="24"/>
        </w:rPr>
        <w:t>5.</w:t>
      </w:r>
      <w:r>
        <w:rPr>
          <w:sz w:val="24"/>
        </w:rPr>
        <w:t>3.1</w:t>
      </w:r>
      <w:r>
        <w:rPr>
          <w:sz w:val="24"/>
        </w:rPr>
        <w:t>乙方交货时间：合同签订后</w:t>
      </w:r>
      <w:r>
        <w:rPr>
          <w:sz w:val="21"/>
          <w:u w:val="single"/>
        </w:rPr>
        <w:t xml:space="preserve"> </w:t>
      </w:r>
      <w:r>
        <w:rPr>
          <w:sz w:val="21"/>
          <w:u w:val="single"/>
        </w:rPr>
        <w:t xml:space="preserve">    </w:t>
      </w:r>
      <w:r>
        <w:rPr>
          <w:sz w:val="21"/>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jc w:val="both"/>
      </w:pPr>
      <w:r>
        <w:rPr>
          <w:sz w:val="24"/>
        </w:rPr>
        <w:t>5.</w:t>
      </w:r>
      <w:r>
        <w:rPr>
          <w:sz w:val="24"/>
        </w:rPr>
        <w:t>3.2</w:t>
      </w:r>
      <w:r>
        <w:rPr>
          <w:sz w:val="24"/>
        </w:rPr>
        <w:t>乙方应按甲方指定地点交付设备。</w:t>
      </w:r>
    </w:p>
    <w:p>
      <w:pPr>
        <w:pStyle w:val="null3"/>
        <w:ind w:firstLine="539"/>
        <w:jc w:val="both"/>
      </w:pPr>
      <w:r>
        <w:rPr>
          <w:sz w:val="24"/>
        </w:rPr>
        <w:t>5.</w:t>
      </w:r>
      <w:r>
        <w:rPr>
          <w:sz w:val="24"/>
        </w:rPr>
        <w:t>4</w:t>
      </w:r>
      <w:r>
        <w:rPr>
          <w:sz w:val="24"/>
        </w:rPr>
        <w:t xml:space="preserve">设备的验收  </w:t>
      </w:r>
    </w:p>
    <w:p>
      <w:pPr>
        <w:pStyle w:val="null3"/>
        <w:ind w:firstLine="539"/>
        <w:jc w:val="both"/>
      </w:pPr>
      <w:r>
        <w:rPr>
          <w:sz w:val="24"/>
        </w:rPr>
        <w:t>5.</w:t>
      </w:r>
      <w:r>
        <w:rPr>
          <w:sz w:val="24"/>
        </w:rPr>
        <w:t>4.</w:t>
      </w:r>
      <w:r>
        <w:rPr>
          <w:sz w:val="24"/>
        </w:rPr>
        <w:t>1</w:t>
      </w:r>
      <w:r>
        <w:rPr>
          <w:sz w:val="24"/>
          <w:color w:val="000000"/>
        </w:rPr>
        <w:t>合同设备在出厂前应进行验收，设备到甲方指定地点后应在甲乙双方共同参加下进行验收，甲乙双方在相关的单据上签字确认验收。</w:t>
      </w:r>
    </w:p>
    <w:p>
      <w:pPr>
        <w:pStyle w:val="null3"/>
        <w:ind w:firstLine="539"/>
        <w:jc w:val="both"/>
      </w:pPr>
      <w:r>
        <w:rPr>
          <w:sz w:val="24"/>
        </w:rPr>
        <w:t>5.</w:t>
      </w:r>
      <w:r>
        <w:rPr>
          <w:sz w:val="24"/>
        </w:rPr>
        <w:t>4.</w:t>
      </w:r>
      <w:r>
        <w:rPr>
          <w:sz w:val="24"/>
        </w:rPr>
        <w:t>2</w:t>
      </w:r>
      <w:r>
        <w:rPr>
          <w:sz w:val="24"/>
        </w:rPr>
        <w:t>验收按国家有关的规定、规范和通常惯例进行。</w:t>
      </w:r>
    </w:p>
    <w:p>
      <w:pPr>
        <w:pStyle w:val="null3"/>
        <w:ind w:firstLine="539"/>
        <w:jc w:val="both"/>
      </w:pPr>
      <w:r>
        <w:rPr>
          <w:sz w:val="24"/>
        </w:rPr>
        <w:t>属于法定商检的产品，须进行商检，提供相关报关资料证明；</w:t>
      </w:r>
    </w:p>
    <w:p>
      <w:pPr>
        <w:pStyle w:val="null3"/>
        <w:ind w:firstLine="539"/>
        <w:jc w:val="both"/>
      </w:pPr>
      <w:r>
        <w:rPr>
          <w:sz w:val="24"/>
        </w:rPr>
        <w:t>属于计量器具（包含强检和非强检）的设备必须提供首次检定合格证书或校准证书；</w:t>
      </w:r>
    </w:p>
    <w:p>
      <w:pPr>
        <w:pStyle w:val="null3"/>
        <w:ind w:firstLine="539"/>
        <w:jc w:val="both"/>
      </w:pPr>
      <w:r>
        <w:rPr>
          <w:sz w:val="24"/>
        </w:rPr>
        <w:t>属于射线装置的，按院方要求协助办理放射诊疗和辐射安全许可相关各种手续；</w:t>
      </w:r>
    </w:p>
    <w:p>
      <w:pPr>
        <w:pStyle w:val="null3"/>
        <w:ind w:firstLine="539"/>
        <w:jc w:val="both"/>
      </w:pPr>
      <w:r>
        <w:rPr>
          <w:sz w:val="24"/>
        </w:rPr>
        <w:t>需要第三方验收的设备需提供有资质部门验收检测报告；</w:t>
      </w:r>
    </w:p>
    <w:p>
      <w:pPr>
        <w:pStyle w:val="null3"/>
        <w:ind w:firstLine="539"/>
        <w:jc w:val="both"/>
      </w:pPr>
      <w:r>
        <w:rPr>
          <w:sz w:val="24"/>
        </w:rPr>
        <w:t>需要与医院信息系统联网的，乙方必须无偿开放接口，并协助联网。</w:t>
      </w:r>
    </w:p>
    <w:p>
      <w:pPr>
        <w:pStyle w:val="null3"/>
        <w:ind w:firstLine="539"/>
        <w:jc w:val="both"/>
      </w:pPr>
      <w:r>
        <w:rPr>
          <w:sz w:val="24"/>
        </w:rPr>
        <w:t>上述各项费用均由乙方负责。</w:t>
      </w:r>
    </w:p>
    <w:p>
      <w:pPr>
        <w:pStyle w:val="null3"/>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4"/>
        </w:rPr>
        <w:t>5.</w:t>
      </w:r>
      <w:r>
        <w:rPr>
          <w:sz w:val="24"/>
        </w:rPr>
        <w:t>4.</w:t>
      </w:r>
      <w:r>
        <w:rPr>
          <w:sz w:val="24"/>
        </w:rPr>
        <w:t>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ind w:firstLine="539"/>
        <w:jc w:val="both"/>
      </w:pPr>
      <w:r>
        <w:rPr>
          <w:sz w:val="24"/>
        </w:rPr>
        <w:t>5.</w:t>
      </w:r>
      <w:r>
        <w:rPr>
          <w:sz w:val="24"/>
        </w:rPr>
        <w:t>4.</w:t>
      </w:r>
      <w:r>
        <w:rPr>
          <w:sz w:val="24"/>
        </w:rPr>
        <w:t>4</w:t>
      </w:r>
      <w:r>
        <w:rPr>
          <w:sz w:val="24"/>
        </w:rPr>
        <w:t>设备验收、调试并交付使用之日起，</w:t>
      </w:r>
      <w:r>
        <w:rPr>
          <w:sz w:val="24"/>
          <w:u w:val="single"/>
        </w:rPr>
        <w:t>壹</w:t>
      </w:r>
      <w:r>
        <w:rPr>
          <w:sz w:val="24"/>
        </w:rPr>
        <w:t>个月为试用期，试用合格后由甲方按本合同第七条付款。</w:t>
      </w:r>
    </w:p>
    <w:p>
      <w:pPr>
        <w:pStyle w:val="null3"/>
        <w:ind w:firstLine="539"/>
        <w:jc w:val="both"/>
      </w:pPr>
      <w:r>
        <w:rPr>
          <w:sz w:val="24"/>
        </w:rPr>
        <w:t>5.4.</w:t>
      </w:r>
      <w:r>
        <w:rPr>
          <w:sz w:val="24"/>
        </w:rPr>
        <w:t>5</w:t>
      </w:r>
      <w:r>
        <w:rPr>
          <w:sz w:val="24"/>
        </w:rPr>
        <w:t xml:space="preserve">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w:t>
      </w:r>
      <w:r>
        <w:rPr>
          <w:sz w:val="24"/>
          <w:b/>
        </w:rPr>
        <w:t>　质量保证及售后服务</w:t>
      </w:r>
    </w:p>
    <w:p>
      <w:pPr>
        <w:pStyle w:val="null3"/>
        <w:ind w:firstLine="537"/>
        <w:jc w:val="both"/>
      </w:pPr>
      <w:r>
        <w:rPr>
          <w:sz w:val="24"/>
        </w:rPr>
        <w:t>6.1</w:t>
      </w:r>
      <w:r>
        <w:rPr>
          <w:sz w:val="24"/>
        </w:rPr>
        <w:t xml:space="preserve"> </w:t>
      </w:r>
      <w:r>
        <w:rPr>
          <w:sz w:val="24"/>
        </w:rPr>
        <w:t>乙方保证合同设备是全新、未曾使用过的，进货渠道合法，其质量、规格及技术特征符合合同附件的要求，符合甲方实际使用需求。设备生产日期为开箱验收当日前一年内，如因安装场地原因造成</w:t>
      </w:r>
      <w:r>
        <w:rPr>
          <w:sz w:val="24"/>
        </w:rPr>
        <w:t>验收</w:t>
      </w:r>
      <w:r>
        <w:rPr>
          <w:sz w:val="24"/>
        </w:rPr>
        <w:t>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ind w:firstLine="540"/>
        <w:jc w:val="both"/>
      </w:pPr>
      <w:r>
        <w:rPr>
          <w:sz w:val="24"/>
        </w:rPr>
        <w:t xml:space="preserve">6.2 </w:t>
      </w:r>
      <w:r>
        <w:rPr>
          <w:sz w:val="24"/>
        </w:rPr>
        <w:t>本合同所涉及设备的保质保用期为本项目经甲方有关部门</w:t>
      </w:r>
      <w:r>
        <w:rPr>
          <w:sz w:val="24"/>
          <w:b/>
        </w:rPr>
        <w:t>验收合格之日</w:t>
      </w:r>
      <w:r>
        <w:rPr>
          <w:sz w:val="24"/>
          <w:b/>
        </w:rPr>
        <w:t>（以甲方记录的启用时间为准）</w:t>
      </w:r>
      <w:r>
        <w:rPr>
          <w:sz w:val="24"/>
          <w:b/>
        </w:rPr>
        <w:t>起</w:t>
      </w:r>
      <w:r>
        <w:rPr>
          <w:sz w:val="24"/>
        </w:rPr>
        <w:t>全保</w:t>
      </w:r>
      <w:r>
        <w:rPr>
          <w:sz w:val="21"/>
          <w:u w:val="single"/>
        </w:rPr>
        <w:t xml:space="preserve">  </w:t>
      </w:r>
      <w:r>
        <w:rPr>
          <w:sz w:val="21"/>
          <w:u w:val="single"/>
        </w:rPr>
        <w:t xml:space="preserve"> </w:t>
      </w:r>
      <w:r>
        <w:rPr>
          <w:sz w:val="24"/>
        </w:rPr>
        <w:t>年，保修期内免费维修维护，免费更换零配件</w:t>
      </w:r>
      <w:r>
        <w:rPr>
          <w:sz w:val="24"/>
        </w:rPr>
        <w:t>（</w:t>
      </w:r>
      <w:r>
        <w:rPr>
          <w:sz w:val="24"/>
        </w:rPr>
        <w:t>电极除外）</w:t>
      </w:r>
      <w:r>
        <w:rPr>
          <w:sz w:val="24"/>
        </w:rPr>
        <w:t>，软件终身免费升级。保修期内的开机率</w:t>
      </w:r>
      <w:r>
        <w:rPr>
          <w:sz w:val="24"/>
        </w:rPr>
        <w:t>≥</w:t>
      </w:r>
      <w:r>
        <w:rPr>
          <w:sz w:val="24"/>
        </w:rPr>
        <w:t>95%</w:t>
      </w:r>
      <w:r>
        <w:rPr>
          <w:sz w:val="24"/>
        </w:rPr>
        <w:t>。乙方需提供由厂家出具（加盖厂家公章）的保修证明。</w:t>
      </w:r>
    </w:p>
    <w:p>
      <w:pPr>
        <w:pStyle w:val="null3"/>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ind w:firstLine="540"/>
        <w:jc w:val="both"/>
      </w:pPr>
      <w:r>
        <w:rPr>
          <w:sz w:val="24"/>
        </w:rPr>
        <w:t xml:space="preserve">6.2.4 </w:t>
      </w:r>
      <w:r>
        <w:rPr>
          <w:sz w:val="24"/>
        </w:rPr>
        <w:t>下列情况乙方不负责免费保修：</w:t>
      </w:r>
    </w:p>
    <w:p>
      <w:pPr>
        <w:pStyle w:val="null3"/>
        <w:ind w:firstLine="540"/>
        <w:jc w:val="both"/>
      </w:pPr>
      <w:r>
        <w:rPr>
          <w:sz w:val="24"/>
        </w:rPr>
        <w:t>（</w:t>
      </w:r>
      <w:r>
        <w:rPr>
          <w:sz w:val="24"/>
        </w:rPr>
        <w:t>1</w:t>
      </w:r>
      <w:r>
        <w:rPr>
          <w:sz w:val="24"/>
        </w:rPr>
        <w:t>）不按照乙方提供的书面正确使用方法而引致设备故障损坏；</w:t>
      </w:r>
    </w:p>
    <w:p>
      <w:pPr>
        <w:pStyle w:val="null3"/>
        <w:ind w:firstLine="540"/>
        <w:jc w:val="both"/>
      </w:pPr>
      <w:r>
        <w:rPr>
          <w:sz w:val="24"/>
        </w:rPr>
        <w:t>（</w:t>
      </w:r>
      <w:r>
        <w:rPr>
          <w:sz w:val="24"/>
        </w:rPr>
        <w:t>2</w:t>
      </w:r>
      <w:r>
        <w:rPr>
          <w:sz w:val="24"/>
        </w:rPr>
        <w:t>）擅自改装设备；</w:t>
      </w:r>
    </w:p>
    <w:p>
      <w:pPr>
        <w:pStyle w:val="null3"/>
        <w:ind w:firstLine="540"/>
        <w:jc w:val="both"/>
      </w:pPr>
      <w:r>
        <w:rPr>
          <w:sz w:val="24"/>
        </w:rPr>
        <w:t>（</w:t>
      </w:r>
      <w:r>
        <w:rPr>
          <w:sz w:val="24"/>
        </w:rPr>
        <w:t>3</w:t>
      </w:r>
      <w:r>
        <w:rPr>
          <w:sz w:val="24"/>
        </w:rPr>
        <w:t>）各种人为因素或天灾等外来因素造成的损坏。</w:t>
      </w:r>
    </w:p>
    <w:p>
      <w:pPr>
        <w:pStyle w:val="null3"/>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 xml:space="preserve">6.4 </w:t>
      </w:r>
      <w:r>
        <w:rPr>
          <w:sz w:val="24"/>
        </w:rPr>
        <w:t>乙方负责对设备使用相关人员的培训和考核。</w:t>
      </w:r>
    </w:p>
    <w:p>
      <w:pPr>
        <w:pStyle w:val="null3"/>
        <w:ind w:firstLine="540"/>
        <w:jc w:val="both"/>
      </w:pPr>
      <w:r>
        <w:rPr>
          <w:sz w:val="24"/>
        </w:rPr>
        <w:t xml:space="preserve">6.4.1 </w:t>
      </w:r>
      <w:r>
        <w:rPr>
          <w:sz w:val="24"/>
        </w:rPr>
        <w:t>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 xml:space="preserve">6.4.2 </w:t>
      </w:r>
      <w:r>
        <w:rPr>
          <w:sz w:val="24"/>
        </w:rPr>
        <w:t>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4"/>
        </w:rPr>
        <w:t xml:space="preserve">6.4.3 </w:t>
      </w:r>
      <w:r>
        <w:rPr>
          <w:sz w:val="24"/>
        </w:rPr>
        <w:t>培训方式为线上讲解培训</w:t>
      </w:r>
      <w:r>
        <w:rPr>
          <w:sz w:val="24"/>
        </w:rPr>
        <w:t>，复杂设备安排在厂家培训基地或按甲方要求安排。乙方对甲方使用和维修人员进行考核，确保受训人员技能合格。</w:t>
      </w:r>
    </w:p>
    <w:p>
      <w:pPr>
        <w:pStyle w:val="null3"/>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w:t>
      </w:r>
      <w:r>
        <w:rPr>
          <w:sz w:val="24"/>
        </w:rPr>
        <w:t>乙方</w:t>
      </w:r>
      <w:r>
        <w:rPr>
          <w:sz w:val="24"/>
        </w:rPr>
        <w:t>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ind w:firstLine="540"/>
        <w:jc w:val="both"/>
      </w:pPr>
      <w:r>
        <w:rPr>
          <w:sz w:val="24"/>
          <w:b/>
        </w:rPr>
        <w:t>7</w:t>
      </w:r>
      <w:r>
        <w:rPr>
          <w:sz w:val="24"/>
          <w:b/>
        </w:rPr>
        <w:t xml:space="preserve">  </w:t>
      </w:r>
      <w:r>
        <w:rPr>
          <w:sz w:val="24"/>
          <w:b/>
        </w:rPr>
        <w:t>付款办法</w:t>
      </w:r>
      <w:r>
        <w:rPr>
          <w:sz w:val="24"/>
          <w:b/>
        </w:rPr>
        <w:t>及履约保证金</w:t>
      </w:r>
    </w:p>
    <w:p>
      <w:pPr>
        <w:pStyle w:val="null3"/>
        <w:ind w:firstLine="595"/>
        <w:jc w:val="both"/>
      </w:pPr>
      <w:r>
        <w:rPr>
          <w:sz w:val="24"/>
        </w:rPr>
        <w:t>7.1</w:t>
      </w:r>
      <w:r>
        <w:rPr>
          <w:sz w:val="24"/>
        </w:rPr>
        <w:t>付款办法</w:t>
      </w:r>
    </w:p>
    <w:p>
      <w:pPr>
        <w:pStyle w:val="null3"/>
        <w:ind w:firstLine="595"/>
        <w:jc w:val="both"/>
      </w:pPr>
      <w:r>
        <w:rPr>
          <w:sz w:val="24"/>
        </w:rPr>
        <w:t>7.1 .1</w:t>
      </w:r>
      <w:r>
        <w:rPr>
          <w:sz w:val="24"/>
        </w:rPr>
        <w:t>本合同的每笔款项以人民币银行转帐或财政资金转账方式支付，支付的时间和金额如下：</w:t>
      </w:r>
    </w:p>
    <w:p>
      <w:pPr>
        <w:pStyle w:val="null3"/>
        <w:ind w:firstLine="595"/>
        <w:jc w:val="both"/>
      </w:pPr>
      <w:r>
        <w:rPr>
          <w:sz w:val="24"/>
        </w:rPr>
        <w:t xml:space="preserve">7.1.2. </w:t>
      </w:r>
      <w:r>
        <w:rPr>
          <w:sz w:val="24"/>
        </w:rPr>
        <w:t>合同签订后，乙方向甲方提供合同总额</w:t>
      </w:r>
      <w:r>
        <w:rPr>
          <w:sz w:val="24"/>
        </w:rPr>
        <w:t>100</w:t>
      </w:r>
      <w:r>
        <w:rPr>
          <w:sz w:val="24"/>
        </w:rPr>
        <w:t>％发票原件，由甲方在</w:t>
      </w:r>
      <w:r>
        <w:rPr>
          <w:sz w:val="24"/>
        </w:rPr>
        <w:t>5</w:t>
      </w:r>
      <w:r>
        <w:rPr>
          <w:sz w:val="24"/>
        </w:rPr>
        <w:t>个工作日内</w:t>
      </w:r>
      <w:r>
        <w:rPr>
          <w:sz w:val="24"/>
        </w:rPr>
        <w:t>按财务流程</w:t>
      </w:r>
      <w:r>
        <w:rPr>
          <w:sz w:val="24"/>
        </w:rPr>
        <w:t>支付合同总金额的</w:t>
      </w:r>
      <w:r>
        <w:rPr>
          <w:sz w:val="24"/>
        </w:rPr>
        <w:t>30%</w:t>
      </w:r>
      <w:r>
        <w:rPr>
          <w:sz w:val="24"/>
        </w:rPr>
        <w:t>（￥</w:t>
      </w:r>
      <w:r>
        <w:rPr>
          <w:sz w:val="21"/>
          <w:u w:val="single"/>
        </w:rPr>
        <w:t xml:space="preserve">        </w:t>
      </w:r>
      <w:r>
        <w:rPr>
          <w:sz w:val="24"/>
        </w:rPr>
        <w:t>）作为预付款。</w:t>
      </w:r>
    </w:p>
    <w:p>
      <w:pPr>
        <w:pStyle w:val="null3"/>
        <w:ind w:firstLine="595"/>
        <w:jc w:val="both"/>
      </w:pPr>
      <w:r>
        <w:rPr>
          <w:sz w:val="24"/>
        </w:rPr>
        <w:t xml:space="preserve">7.1.3 </w:t>
      </w:r>
      <w:r>
        <w:rPr>
          <w:sz w:val="24"/>
        </w:rPr>
        <w:t>货物全部安装、调试完毕并验收合格后，乙方凭有效文件由甲方在</w:t>
      </w:r>
      <w:r>
        <w:rPr>
          <w:sz w:val="24"/>
        </w:rPr>
        <w:t>15</w:t>
      </w:r>
      <w:r>
        <w:rPr>
          <w:sz w:val="24"/>
        </w:rPr>
        <w:t>个工作日之内</w:t>
      </w:r>
      <w:r>
        <w:rPr>
          <w:sz w:val="24"/>
        </w:rPr>
        <w:t>按财务流程</w:t>
      </w:r>
      <w:r>
        <w:rPr>
          <w:sz w:val="24"/>
        </w:rPr>
        <w:t>支付</w:t>
      </w:r>
      <w:r>
        <w:rPr>
          <w:sz w:val="24"/>
        </w:rPr>
        <w:t>（</w:t>
      </w:r>
      <w:r>
        <w:rPr>
          <w:sz w:val="24"/>
        </w:rPr>
        <w:t>如果乙方为中小企业，甲方在</w:t>
      </w:r>
      <w:r>
        <w:rPr>
          <w:sz w:val="24"/>
        </w:rPr>
        <w:t>15</w:t>
      </w:r>
      <w:r>
        <w:rPr>
          <w:sz w:val="24"/>
        </w:rPr>
        <w:t>日内支付</w:t>
      </w:r>
      <w:r>
        <w:rPr>
          <w:sz w:val="24"/>
        </w:rPr>
        <w:t>）</w:t>
      </w:r>
      <w:r>
        <w:rPr>
          <w:sz w:val="24"/>
        </w:rPr>
        <w:t>合同总金额的</w:t>
      </w:r>
      <w:r>
        <w:rPr>
          <w:sz w:val="24"/>
        </w:rPr>
        <w:t>70</w:t>
      </w:r>
      <w:r>
        <w:rPr>
          <w:sz w:val="24"/>
        </w:rPr>
        <w:t>%</w:t>
      </w:r>
      <w:r>
        <w:rPr>
          <w:sz w:val="24"/>
        </w:rPr>
        <w:t>（金额￥</w:t>
      </w:r>
      <w:r>
        <w:rPr>
          <w:sz w:val="21"/>
          <w:u w:val="single"/>
        </w:rPr>
        <w:t xml:space="preserve">           </w:t>
      </w:r>
      <w:r>
        <w:rPr>
          <w:sz w:val="24"/>
        </w:rPr>
        <w:t>元）</w:t>
      </w:r>
      <w:r>
        <w:rPr>
          <w:sz w:val="24"/>
        </w:rPr>
        <w:t>。</w:t>
      </w:r>
    </w:p>
    <w:p>
      <w:pPr>
        <w:pStyle w:val="null3"/>
        <w:ind w:firstLine="595"/>
        <w:jc w:val="both"/>
      </w:pPr>
      <w:r>
        <w:rPr>
          <w:sz w:val="24"/>
        </w:rPr>
        <w:t>7.2</w:t>
      </w:r>
      <w:r>
        <w:rPr>
          <w:sz w:val="24"/>
        </w:rPr>
        <w:t>履约保证金</w:t>
      </w:r>
    </w:p>
    <w:p>
      <w:pPr>
        <w:pStyle w:val="null3"/>
        <w:ind w:firstLine="595"/>
        <w:jc w:val="both"/>
      </w:pPr>
      <w:r>
        <w:rPr>
          <w:sz w:val="24"/>
        </w:rPr>
        <w:t>7.2.1</w:t>
      </w:r>
      <w:r>
        <w:rPr>
          <w:sz w:val="24"/>
        </w:rPr>
        <w:t>具体要求：</w:t>
      </w:r>
    </w:p>
    <w:p>
      <w:pPr>
        <w:pStyle w:val="null3"/>
        <w:ind w:firstLine="595"/>
        <w:jc w:val="both"/>
      </w:pPr>
      <w:r>
        <w:rPr>
          <w:sz w:val="24"/>
        </w:rPr>
        <w:t>①时间：中标通知书发出之后</w:t>
      </w:r>
      <w:r>
        <w:rPr>
          <w:sz w:val="24"/>
        </w:rPr>
        <w:t>5</w:t>
      </w:r>
      <w:r>
        <w:rPr>
          <w:sz w:val="24"/>
        </w:rPr>
        <w:t>个工作日；</w:t>
      </w:r>
    </w:p>
    <w:p>
      <w:pPr>
        <w:pStyle w:val="null3"/>
        <w:ind w:firstLine="595"/>
        <w:jc w:val="both"/>
      </w:pPr>
      <w:r>
        <w:rPr>
          <w:sz w:val="24"/>
        </w:rPr>
        <w:t>②方式：支票、汇票、本票或金融机构（外资银行在国内的分支机构除外）出具的书面无条件保函；</w:t>
      </w:r>
    </w:p>
    <w:p>
      <w:pPr>
        <w:pStyle w:val="null3"/>
        <w:ind w:left="480" w:firstLine="115"/>
        <w:jc w:val="both"/>
      </w:pPr>
      <w:r>
        <w:rPr>
          <w:sz w:val="24"/>
        </w:rPr>
        <w:t>③保函有效期：自合同生效之日起至合同约定的</w:t>
      </w:r>
      <w:r>
        <w:rPr>
          <w:sz w:val="24"/>
        </w:rPr>
        <w:t>乙方</w:t>
      </w:r>
      <w:r>
        <w:rPr>
          <w:sz w:val="24"/>
        </w:rPr>
        <w:t>合同义务履行完毕时止。</w:t>
      </w:r>
    </w:p>
    <w:p>
      <w:pPr>
        <w:pStyle w:val="null3"/>
        <w:ind w:left="480" w:firstLine="115"/>
        <w:jc w:val="both"/>
      </w:pPr>
      <w:r>
        <w:rPr>
          <w:sz w:val="24"/>
        </w:rPr>
        <w:t>④金额：</w:t>
      </w:r>
      <w:r>
        <w:rPr>
          <w:sz w:val="24"/>
        </w:rPr>
        <w:t>合同总额</w:t>
      </w:r>
      <w:r>
        <w:rPr>
          <w:sz w:val="24"/>
        </w:rPr>
        <w:t>的</w:t>
      </w:r>
      <w:r>
        <w:rPr>
          <w:sz w:val="24"/>
        </w:rPr>
        <w:t>5%</w:t>
      </w:r>
      <w:r>
        <w:rPr>
          <w:sz w:val="24"/>
        </w:rPr>
        <w:t>，即人民币</w:t>
      </w:r>
      <w:r>
        <w:rPr>
          <w:sz w:val="21"/>
          <w:u w:val="single"/>
        </w:rPr>
        <w:t xml:space="preserve">   </w:t>
      </w:r>
      <w:r>
        <w:rPr>
          <w:sz w:val="24"/>
        </w:rPr>
        <w:t>元。</w:t>
      </w:r>
    </w:p>
    <w:p>
      <w:pPr>
        <w:pStyle w:val="null3"/>
        <w:ind w:firstLine="595"/>
        <w:jc w:val="both"/>
      </w:pPr>
      <w:r>
        <w:rPr>
          <w:sz w:val="24"/>
        </w:rPr>
        <w:t>7.2.1</w:t>
      </w:r>
      <w:r>
        <w:rPr>
          <w:sz w:val="24"/>
        </w:rPr>
        <w:t>未按要求递交履约保证金责任</w:t>
      </w:r>
      <w:r>
        <w:rPr>
          <w:sz w:val="24"/>
        </w:rPr>
        <w:t>：</w:t>
      </w:r>
      <w:r>
        <w:rPr>
          <w:sz w:val="24"/>
        </w:rPr>
        <w:t>乙方如未按要求递交履约保证金，甲方将根据《民法典》的相关规定，追诉乙方的相关法律责任。</w:t>
      </w:r>
    </w:p>
    <w:p>
      <w:pPr>
        <w:pStyle w:val="null3"/>
        <w:ind w:firstLine="595"/>
        <w:jc w:val="both"/>
      </w:pPr>
      <w:r>
        <w:rPr>
          <w:sz w:val="24"/>
        </w:rPr>
        <w:t>7.2.3</w:t>
      </w:r>
      <w:r>
        <w:rPr>
          <w:sz w:val="24"/>
        </w:rPr>
        <w:t>退还说明：</w:t>
      </w:r>
    </w:p>
    <w:p>
      <w:pPr>
        <w:pStyle w:val="null3"/>
        <w:ind w:firstLine="595"/>
        <w:jc w:val="both"/>
      </w:pPr>
      <w:r>
        <w:rPr>
          <w:sz w:val="24"/>
        </w:rPr>
        <w:t>①时间、方式和条件：待乙方全部合同义务履行完毕后，运行期间乙方无违约行为，向甲方提出申请退还履约保证金，甲方在</w:t>
      </w:r>
      <w:r>
        <w:rPr>
          <w:sz w:val="24"/>
        </w:rPr>
        <w:t>15</w:t>
      </w:r>
      <w:r>
        <w:rPr>
          <w:sz w:val="24"/>
        </w:rPr>
        <w:t>日内</w:t>
      </w:r>
      <w:r>
        <w:rPr>
          <w:sz w:val="24"/>
        </w:rPr>
        <w:t>按财务流程</w:t>
      </w:r>
      <w:r>
        <w:rPr>
          <w:sz w:val="24"/>
        </w:rPr>
        <w:t>向乙方退还履约保证金</w:t>
      </w:r>
      <w:r>
        <w:rPr>
          <w:sz w:val="24"/>
        </w:rPr>
        <w:t>(</w:t>
      </w:r>
      <w:r>
        <w:rPr>
          <w:sz w:val="24"/>
        </w:rPr>
        <w:t>履约保证金不计利息</w:t>
      </w:r>
      <w:r>
        <w:rPr>
          <w:sz w:val="24"/>
        </w:rPr>
        <w:t>)</w:t>
      </w:r>
      <w:r>
        <w:rPr>
          <w:sz w:val="24"/>
        </w:rPr>
        <w:t>。</w:t>
      </w:r>
    </w:p>
    <w:p>
      <w:pPr>
        <w:pStyle w:val="null3"/>
        <w:ind w:firstLine="595"/>
        <w:jc w:val="both"/>
      </w:pPr>
      <w:r>
        <w:rPr>
          <w:sz w:val="24"/>
        </w:rPr>
        <w:t>②违约责任：甲方逾期退还履约保证金的，除应当退还履约保证金本金外，还应当每日按合同总金额的</w:t>
      </w:r>
      <w:r>
        <w:rPr>
          <w:sz w:val="24"/>
        </w:rPr>
        <w:t>1</w:t>
      </w:r>
      <w:r>
        <w:rPr>
          <w:sz w:val="24"/>
        </w:rPr>
        <w:t>‰向乙方偿付违约金，但因乙方自身原因导致无法及时退还的除外。</w:t>
      </w:r>
    </w:p>
    <w:p>
      <w:pPr>
        <w:pStyle w:val="null3"/>
        <w:ind w:firstLine="595"/>
        <w:jc w:val="both"/>
      </w:pPr>
      <w:r>
        <w:rPr>
          <w:sz w:val="24"/>
        </w:rPr>
        <w:t>③甲方有权直接从履约保证金扣除乙方应当向甲方承担的违约金、赔偿金、维修费等相关费用。</w:t>
      </w:r>
    </w:p>
    <w:p>
      <w:pPr>
        <w:pStyle w:val="null3"/>
        <w:ind w:firstLine="595"/>
        <w:jc w:val="both"/>
      </w:pPr>
      <w:r>
        <w:rPr>
          <w:sz w:val="24"/>
        </w:rPr>
        <w:t>7.2.4</w:t>
      </w:r>
      <w:r>
        <w:rPr>
          <w:sz w:val="24"/>
        </w:rPr>
        <w:t>不予退还的情形：</w:t>
      </w:r>
    </w:p>
    <w:p>
      <w:pPr>
        <w:pStyle w:val="null3"/>
        <w:ind w:firstLine="595"/>
        <w:jc w:val="both"/>
      </w:pPr>
      <w:r>
        <w:rPr>
          <w:sz w:val="24"/>
        </w:rPr>
        <w:t>①未经甲方同意，乙方将本项目进行分包或转包给他人；</w:t>
      </w:r>
    </w:p>
    <w:p>
      <w:pPr>
        <w:pStyle w:val="null3"/>
        <w:ind w:firstLine="595"/>
        <w:jc w:val="both"/>
      </w:pPr>
      <w:r>
        <w:rPr>
          <w:sz w:val="24"/>
        </w:rPr>
        <w:t>②在履行合同期间，乙方未经甲方同意提前终止本项目合同；</w:t>
      </w:r>
    </w:p>
    <w:p>
      <w:pPr>
        <w:pStyle w:val="null3"/>
        <w:ind w:firstLine="595"/>
        <w:jc w:val="both"/>
      </w:pPr>
      <w:r>
        <w:rPr>
          <w:sz w:val="24"/>
        </w:rPr>
        <w:t>③在履行合同期间，乙方因在经营活动中存在违法被吊销营业执照或相关许可，导致本项目合同无法继续履行的。</w:t>
      </w:r>
    </w:p>
    <w:p>
      <w:pPr>
        <w:pStyle w:val="null3"/>
        <w:ind w:firstLine="595"/>
        <w:jc w:val="both"/>
      </w:pPr>
      <w:r>
        <w:rPr>
          <w:sz w:val="24"/>
        </w:rPr>
        <w:t>7.2.5</w:t>
      </w:r>
      <w:r>
        <w:rPr>
          <w:sz w:val="24"/>
        </w:rPr>
        <w:t>补足条款：</w:t>
      </w:r>
    </w:p>
    <w:p>
      <w:pPr>
        <w:pStyle w:val="null3"/>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ind w:firstLine="540"/>
        <w:jc w:val="both"/>
      </w:pPr>
      <w:r>
        <w:rPr>
          <w:sz w:val="21"/>
          <w:b/>
        </w:rPr>
        <w:t xml:space="preserve"> </w:t>
      </w:r>
      <w:r>
        <w:rPr>
          <w:sz w:val="24"/>
          <w:b/>
        </w:rPr>
        <w:t>8</w:t>
      </w:r>
      <w:r>
        <w:rPr>
          <w:sz w:val="24"/>
          <w:b/>
        </w:rPr>
        <w:t>　索赔</w:t>
      </w:r>
    </w:p>
    <w:p>
      <w:pPr>
        <w:pStyle w:val="null3"/>
        <w:ind w:firstLine="540"/>
        <w:jc w:val="both"/>
      </w:pPr>
      <w:r>
        <w:rPr>
          <w:sz w:val="24"/>
        </w:rPr>
        <w:t>8</w:t>
      </w:r>
      <w:r>
        <w:rPr>
          <w:sz w:val="24"/>
        </w:rPr>
        <w:t>.1</w:t>
      </w:r>
      <w:r>
        <w:rPr>
          <w:sz w:val="24"/>
        </w:rPr>
        <w:t xml:space="preserve"> </w:t>
      </w:r>
      <w:r>
        <w:rPr>
          <w:sz w:val="24"/>
        </w:rPr>
        <w:t>如乙方对赔偿金额有异议，甲方有权根据有关政府部门的检验结果向乙方提出索赔。</w:t>
      </w:r>
    </w:p>
    <w:p>
      <w:pPr>
        <w:pStyle w:val="null3"/>
        <w:ind w:firstLine="540"/>
        <w:jc w:val="both"/>
      </w:pPr>
      <w:r>
        <w:rPr>
          <w:sz w:val="24"/>
        </w:rPr>
        <w:t>8</w:t>
      </w:r>
      <w:r>
        <w:rPr>
          <w:sz w:val="24"/>
        </w:rPr>
        <w:t>.2</w:t>
      </w:r>
      <w:r>
        <w:rPr>
          <w:sz w:val="24"/>
        </w:rPr>
        <w:t xml:space="preserve"> </w:t>
      </w:r>
      <w:r>
        <w:rPr>
          <w:sz w:val="24"/>
        </w:rPr>
        <w:t>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540"/>
        <w:jc w:val="both"/>
      </w:pPr>
      <w:r>
        <w:rPr>
          <w:sz w:val="24"/>
        </w:rPr>
        <w:t>（</w:t>
      </w:r>
      <w:r>
        <w:rPr>
          <w:sz w:val="24"/>
        </w:rPr>
        <w:t>2</w:t>
      </w:r>
      <w:r>
        <w:rPr>
          <w:sz w:val="24"/>
        </w:rPr>
        <w:t>）根据货物低劣程度、损坏程度以及甲方所遭受损失的数额甲乙双方商定降低货物的价格。</w:t>
      </w:r>
    </w:p>
    <w:p>
      <w:pPr>
        <w:pStyle w:val="null3"/>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w:t>
      </w: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 xml:space="preserve">9 </w:t>
      </w:r>
      <w:r>
        <w:rPr>
          <w:sz w:val="24"/>
          <w:b/>
        </w:rPr>
        <w:t>违约与处罚</w:t>
      </w:r>
    </w:p>
    <w:p>
      <w:pPr>
        <w:pStyle w:val="null3"/>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天乙方可向甲方加收逾期未付款额的</w:t>
      </w:r>
      <w:r>
        <w:rPr>
          <w:sz w:val="24"/>
        </w:rPr>
        <w:t>万分之五</w:t>
      </w:r>
      <w:r>
        <w:rPr>
          <w:sz w:val="24"/>
        </w:rPr>
        <w:t>的违约金，违约金总额不得超过应付未付款项的</w:t>
      </w:r>
      <w:r>
        <w:rPr>
          <w:sz w:val="24"/>
        </w:rPr>
        <w:t xml:space="preserve">3% </w:t>
      </w:r>
      <w:r>
        <w:rPr>
          <w:sz w:val="24"/>
        </w:rPr>
        <w:t>。</w:t>
      </w:r>
    </w:p>
    <w:p>
      <w:pPr>
        <w:pStyle w:val="null3"/>
        <w:ind w:firstLine="540"/>
        <w:jc w:val="both"/>
      </w:pPr>
      <w:r>
        <w:rPr>
          <w:sz w:val="24"/>
        </w:rPr>
        <w:t xml:space="preserve">9.2 </w:t>
      </w:r>
      <w:r>
        <w:rPr>
          <w:sz w:val="24"/>
        </w:rPr>
        <w:t xml:space="preserve">乙方未能按时交货的，每拖延 </w:t>
      </w:r>
      <w:r>
        <w:rPr>
          <w:sz w:val="24"/>
        </w:rPr>
        <w:t xml:space="preserve">1 </w:t>
      </w:r>
      <w:r>
        <w:rPr>
          <w:sz w:val="24"/>
        </w:rPr>
        <w:t xml:space="preserve">天，须向甲方支付合同金额的 </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作为违约金，造成甲方其它损失的，乙方还应承担相应赔偿责任。</w:t>
      </w:r>
    </w:p>
    <w:p>
      <w:pPr>
        <w:pStyle w:val="null3"/>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作为违约金，造成甲方其它损失的，乙方还应承担相应赔偿责任。</w:t>
      </w:r>
    </w:p>
    <w:p>
      <w:pPr>
        <w:pStyle w:val="null3"/>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的违约金，造成甲方其它损失的，乙方应承担相应的赔偿责任。</w:t>
      </w:r>
    </w:p>
    <w:p>
      <w:pPr>
        <w:pStyle w:val="null3"/>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 xml:space="preserve">10 </w:t>
      </w:r>
      <w:r>
        <w:rPr>
          <w:sz w:val="24"/>
          <w:b/>
        </w:rPr>
        <w:t>廉洁条款</w:t>
      </w:r>
    </w:p>
    <w:p>
      <w:pPr>
        <w:pStyle w:val="null3"/>
        <w:ind w:firstLine="540"/>
        <w:jc w:val="both"/>
      </w:pPr>
      <w:r>
        <w:rPr>
          <w:sz w:val="24"/>
        </w:rPr>
        <w:t>10.1</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ind w:firstLine="540"/>
        <w:jc w:val="both"/>
      </w:pPr>
      <w:r>
        <w:rPr>
          <w:sz w:val="24"/>
        </w:rPr>
        <w:t>10.3</w:t>
      </w:r>
      <w:r>
        <w:rPr>
          <w:sz w:val="24"/>
        </w:rPr>
        <w:t>乙方不得以</w:t>
      </w:r>
      <w:r>
        <w:rPr>
          <w:sz w:val="24"/>
        </w:rPr>
        <w:t>回.扣</w:t>
      </w:r>
      <w:r>
        <w:rPr>
          <w:sz w:val="24"/>
        </w:rPr>
        <w:t>、宴请等方式影响甲方工作人员采购或使用医药产品的选择权，不得在学术活动中提供旅游、超标准支付食宿费用。</w:t>
      </w:r>
    </w:p>
    <w:p>
      <w:pPr>
        <w:pStyle w:val="null3"/>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w:t>
      </w:r>
      <w:r>
        <w:rPr>
          <w:sz w:val="24"/>
        </w:rPr>
        <w:t>乙方属经销单位的，有义务向相关生产厂家告之本合同廉洁条款的内容，并提醒生产厂家不得以任何不正当手段向甲方工作人员推销产品，以及给予甲方工作人员“红包”、</w:t>
      </w:r>
      <w:r>
        <w:rPr>
          <w:sz w:val="24"/>
        </w:rPr>
        <w:t>回.扣</w:t>
      </w:r>
      <w:r>
        <w:rPr>
          <w:sz w:val="24"/>
        </w:rPr>
        <w:t>、提成、物品和其他形式等不正当利益。</w:t>
      </w:r>
    </w:p>
    <w:p>
      <w:pPr>
        <w:pStyle w:val="null3"/>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ind w:firstLine="540"/>
        <w:jc w:val="both"/>
      </w:pPr>
      <w:r>
        <w:rPr>
          <w:sz w:val="24"/>
          <w:b/>
        </w:rPr>
        <w:t xml:space="preserve">11 </w:t>
      </w:r>
      <w:r>
        <w:rPr>
          <w:sz w:val="24"/>
          <w:b/>
        </w:rPr>
        <w:t>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 xml:space="preserve">12 </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ind w:firstLine="540"/>
        <w:jc w:val="both"/>
      </w:pPr>
      <w:r>
        <w:rPr>
          <w:sz w:val="24"/>
          <w:b/>
        </w:rPr>
        <w:t>1</w:t>
      </w:r>
      <w:r>
        <w:rPr>
          <w:sz w:val="24"/>
          <w:b/>
        </w:rPr>
        <w:t xml:space="preserve">3 </w:t>
      </w:r>
      <w:r>
        <w:rPr>
          <w:sz w:val="24"/>
          <w:b/>
        </w:rPr>
        <w:t>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w:t>
      </w:r>
      <w:r>
        <w:rPr>
          <w:sz w:val="24"/>
          <w:b/>
        </w:rPr>
        <w:t xml:space="preserve">4 </w:t>
      </w:r>
      <w:r>
        <w:rPr>
          <w:sz w:val="24"/>
          <w:b/>
        </w:rPr>
        <w:t>其他</w:t>
      </w:r>
    </w:p>
    <w:p>
      <w:pPr>
        <w:pStyle w:val="null3"/>
        <w:ind w:firstLine="540"/>
        <w:jc w:val="both"/>
      </w:pPr>
      <w:r>
        <w:rPr>
          <w:sz w:val="24"/>
        </w:rPr>
        <w:t>1</w:t>
      </w:r>
      <w:r>
        <w:rPr>
          <w:sz w:val="24"/>
        </w:rPr>
        <w:t>4</w:t>
      </w:r>
      <w:r>
        <w:rPr>
          <w:sz w:val="24"/>
        </w:rPr>
        <w:t>.1</w:t>
      </w:r>
      <w:r>
        <w:rPr>
          <w:sz w:val="24"/>
        </w:rPr>
        <w:t xml:space="preserve">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ind w:firstLine="540"/>
        <w:jc w:val="both"/>
      </w:pPr>
      <w:r>
        <w:rPr>
          <w:sz w:val="24"/>
        </w:rPr>
        <w:t>1</w:t>
      </w:r>
      <w:r>
        <w:rPr>
          <w:sz w:val="24"/>
        </w:rPr>
        <w:t>4</w:t>
      </w:r>
      <w:r>
        <w:rPr>
          <w:sz w:val="24"/>
        </w:rPr>
        <w:t>.2</w:t>
      </w:r>
      <w:r>
        <w:rPr>
          <w:sz w:val="24"/>
        </w:rPr>
        <w:t xml:space="preserve"> </w:t>
      </w:r>
      <w:r>
        <w:rPr>
          <w:sz w:val="24"/>
        </w:rPr>
        <w:t>本合同未尽事宜，由双方协商处理。</w:t>
      </w:r>
    </w:p>
    <w:p>
      <w:pPr>
        <w:pStyle w:val="null3"/>
        <w:ind w:firstLine="540"/>
        <w:jc w:val="both"/>
      </w:pPr>
      <w:r>
        <w:rPr>
          <w:sz w:val="24"/>
          <w:b/>
          <w:color w:val="000000"/>
        </w:rPr>
        <w:t>甲方：</w:t>
      </w:r>
      <w:r>
        <w:rPr>
          <w:sz w:val="24"/>
          <w:b/>
          <w:color w:val="000000"/>
        </w:rPr>
        <w:t>广州市白云区人民医院</w:t>
      </w:r>
      <w:r>
        <w:rPr>
          <w:sz w:val="21"/>
          <w:b/>
        </w:rPr>
        <w:t xml:space="preserve">    </w:t>
      </w:r>
      <w:r>
        <w:rPr>
          <w:sz w:val="21"/>
          <w:b/>
        </w:rPr>
        <w:t xml:space="preserve">       </w:t>
      </w:r>
      <w:r>
        <w:rPr>
          <w:sz w:val="21"/>
          <w:b/>
        </w:rPr>
        <w:t xml:space="preserve">    </w:t>
      </w:r>
      <w:r>
        <w:rPr>
          <w:sz w:val="21"/>
          <w:b/>
        </w:rPr>
        <w:t xml:space="preserve"> </w:t>
      </w:r>
      <w:r>
        <w:rPr>
          <w:sz w:val="24"/>
          <w:b/>
          <w:color w:val="000000"/>
        </w:rPr>
        <w:t>乙方：</w:t>
      </w:r>
    </w:p>
    <w:p>
      <w:pPr>
        <w:pStyle w:val="null3"/>
        <w:jc w:val="both"/>
      </w:pPr>
      <w:r>
        <w:rPr>
          <w:sz w:val="21"/>
          <w:b/>
        </w:rPr>
        <w:t xml:space="preserve">     </w:t>
      </w:r>
    </w:p>
    <w:p>
      <w:pPr>
        <w:pStyle w:val="null3"/>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1"/>
          <w:b/>
        </w:rPr>
        <w:t xml:space="preserve">   </w:t>
      </w:r>
      <w:r>
        <w:rPr>
          <w:sz w:val="21"/>
          <w:b/>
        </w:rPr>
        <w:t xml:space="preserve">                  </w:t>
      </w:r>
      <w:r>
        <w:rPr>
          <w:sz w:val="21"/>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after="120"/>
        <w:jc w:val="both"/>
      </w:pPr>
      <w:r>
        <w:rPr>
          <w:sz w:val="24"/>
          <w:b/>
          <w:color w:val="000000"/>
        </w:rPr>
        <w:t>地址：</w:t>
      </w:r>
      <w:r>
        <w:rPr>
          <w:sz w:val="24"/>
          <w:b/>
          <w:color w:val="000000"/>
        </w:rPr>
        <w:t>广州市白云区黄石街元下底路</w:t>
      </w:r>
      <w:r>
        <w:rPr>
          <w:sz w:val="24"/>
          <w:b/>
          <w:color w:val="000000"/>
        </w:rPr>
        <w:t>23</w:t>
      </w:r>
      <w:r>
        <w:rPr>
          <w:sz w:val="24"/>
          <w:b/>
          <w:color w:val="000000"/>
        </w:rPr>
        <w:t>号</w:t>
      </w:r>
      <w:r>
        <w:rPr>
          <w:sz w:val="21"/>
          <w:b/>
        </w:rPr>
        <w:t xml:space="preserve"> </w:t>
      </w:r>
      <w:r>
        <w:rPr>
          <w:sz w:val="21"/>
          <w:b/>
        </w:rPr>
        <w:t xml:space="preserve">      </w:t>
      </w:r>
      <w:r>
        <w:rPr>
          <w:sz w:val="24"/>
          <w:b/>
          <w:color w:val="000000"/>
        </w:rPr>
        <w:t>地址：</w:t>
      </w:r>
      <w:r>
        <w:rPr>
          <w:sz w:val="24"/>
          <w:b/>
          <w:color w:val="000000"/>
        </w:rPr>
        <w:t xml:space="preserve">  </w:t>
      </w:r>
      <w:r>
        <w:rPr>
          <w:sz w:val="21"/>
          <w:b/>
        </w:rPr>
        <w:t xml:space="preserve">    </w:t>
      </w:r>
    </w:p>
    <w:p>
      <w:pPr>
        <w:pStyle w:val="null3"/>
        <w:ind w:left="5910"/>
        <w:jc w:val="left"/>
      </w:pPr>
      <w:r>
        <w:rPr>
          <w:sz w:val="24"/>
          <w:b/>
          <w:color w:val="000000"/>
        </w:rPr>
        <w:t>电话：</w:t>
      </w:r>
      <w:r>
        <w:rPr>
          <w:sz w:val="24"/>
          <w:b/>
          <w:color w:val="000000"/>
        </w:rPr>
        <w:t>020-66230618</w:t>
      </w:r>
      <w:r>
        <w:rPr>
          <w:sz w:val="21"/>
          <w:b/>
        </w:rPr>
        <w:t xml:space="preserve">                 </w:t>
      </w:r>
      <w:r>
        <w:rPr>
          <w:sz w:val="21"/>
          <w:b/>
        </w:rPr>
        <w:t xml:space="preserve">        </w:t>
      </w:r>
      <w:r>
        <w:rPr>
          <w:sz w:val="24"/>
          <w:b/>
          <w:color w:val="000000"/>
        </w:rPr>
        <w:t>电话：</w:t>
      </w:r>
    </w:p>
    <w:p>
      <w:pPr>
        <w:pStyle w:val="null3"/>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1"/>
          <w:b/>
        </w:rPr>
        <w:t xml:space="preserve">      </w:t>
      </w:r>
      <w:r>
        <w:rPr>
          <w:sz w:val="21"/>
          <w:b/>
        </w:rPr>
        <w:t xml:space="preserve">  </w:t>
      </w:r>
      <w:r>
        <w:rPr>
          <w:sz w:val="24"/>
          <w:b/>
          <w:color w:val="000000"/>
        </w:rPr>
        <w:t>签约日期：</w:t>
      </w:r>
      <w:r>
        <w:rPr>
          <w:sz w:val="21"/>
          <w:b/>
        </w:rPr>
        <w:t xml:space="preserve">    </w:t>
      </w:r>
      <w:r>
        <w:rPr>
          <w:sz w:val="24"/>
          <w:b/>
          <w:color w:val="000000"/>
        </w:rPr>
        <w:t>年</w:t>
      </w:r>
      <w:r>
        <w:rPr>
          <w:sz w:val="21"/>
          <w:b/>
        </w:rPr>
        <w:t xml:space="preserve">     </w:t>
      </w:r>
      <w:r>
        <w:rPr>
          <w:sz w:val="24"/>
          <w:b/>
          <w:color w:val="000000"/>
        </w:rPr>
        <w:t>月</w:t>
      </w:r>
      <w:r>
        <w:rPr>
          <w:sz w:val="21"/>
          <w:b/>
        </w:rPr>
        <w:t xml:space="preserve">    </w:t>
      </w:r>
      <w:r>
        <w:rPr>
          <w:sz w:val="24"/>
          <w:b/>
          <w:color w:val="000000"/>
        </w:rPr>
        <w:t>日</w:t>
      </w:r>
    </w:p>
    <w:p>
      <w:pPr>
        <w:pStyle w:val="null3"/>
        <w:jc w:val="both"/>
      </w:pPr>
      <w:r>
        <w:rPr>
          <w:sz w:val="24"/>
          <w:b/>
          <w:color w:val="000000"/>
        </w:rPr>
        <w:t>纳税人识别号：</w:t>
      </w:r>
      <w:r>
        <w:rPr>
          <w:sz w:val="24"/>
          <w:b/>
          <w:color w:val="000000"/>
        </w:rPr>
        <w:t xml:space="preserve">12440111455384848T    </w:t>
      </w:r>
      <w:r>
        <w:rPr>
          <w:sz w:val="21"/>
          <w:b/>
        </w:rPr>
        <w:t xml:space="preserve">      </w:t>
      </w:r>
      <w:r>
        <w:rPr>
          <w:sz w:val="21"/>
          <w:b/>
        </w:rPr>
        <w:t xml:space="preserve">  </w:t>
      </w:r>
      <w:r>
        <w:rPr>
          <w:sz w:val="24"/>
          <w:b/>
          <w:color w:val="000000"/>
        </w:rPr>
        <w:t>纳税人识别号：</w:t>
      </w:r>
    </w:p>
    <w:p>
      <w:pPr>
        <w:pStyle w:val="null3"/>
        <w:ind w:left="6120"/>
        <w:jc w:val="both"/>
      </w:pPr>
      <w:r>
        <w:rPr>
          <w:sz w:val="24"/>
          <w:b/>
          <w:color w:val="000000"/>
        </w:rPr>
        <w:t>开户行：</w:t>
      </w:r>
      <w:r>
        <w:rPr>
          <w:sz w:val="24"/>
          <w:b/>
          <w:color w:val="000000"/>
        </w:rPr>
        <w:t>中国银行广州嘉禾支行</w:t>
      </w:r>
      <w:r>
        <w:rPr>
          <w:sz w:val="21"/>
          <w:b/>
        </w:rPr>
        <w:t xml:space="preserve">       </w:t>
      </w:r>
      <w:r>
        <w:rPr>
          <w:sz w:val="21"/>
          <w:b/>
        </w:rPr>
        <w:t xml:space="preserve">       </w:t>
      </w:r>
      <w:r>
        <w:rPr>
          <w:sz w:val="21"/>
          <w:b/>
        </w:rPr>
        <w:t xml:space="preserve">  </w:t>
      </w:r>
      <w:r>
        <w:rPr>
          <w:sz w:val="24"/>
          <w:b/>
          <w:color w:val="000000"/>
        </w:rPr>
        <w:t>开户行：</w:t>
      </w:r>
    </w:p>
    <w:p>
      <w:pPr>
        <w:pStyle w:val="null3"/>
        <w:jc w:val="both"/>
      </w:pPr>
      <w:r>
        <w:rPr>
          <w:sz w:val="24"/>
          <w:b/>
          <w:color w:val="000000"/>
        </w:rPr>
        <w:t>账号：</w:t>
      </w:r>
      <w:r>
        <w:rPr>
          <w:sz w:val="21"/>
          <w:b/>
        </w:rPr>
        <w:t xml:space="preserve"> </w:t>
      </w:r>
      <w:r>
        <w:rPr>
          <w:sz w:val="24"/>
          <w:b/>
          <w:color w:val="000000"/>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4"/>
          <w:b/>
          <w:color w:val="000000"/>
        </w:rPr>
        <w:t xml:space="preserve"> </w:t>
      </w:r>
      <w:r>
        <w:rPr>
          <w:sz w:val="24"/>
          <w:b/>
          <w:color w:val="000000"/>
        </w:rPr>
        <w:t>账号：</w:t>
      </w:r>
    </w:p>
    <w:p>
      <w:pPr>
        <w:pStyle w:val="null3"/>
        <w:jc w:val="both"/>
      </w:pPr>
      <w:r>
        <w:rPr>
          <w:sz w:val="24"/>
          <w:b/>
          <w:color w:val="000000"/>
        </w:rPr>
        <w:t>经办人：</w:t>
      </w:r>
      <w:r>
        <w:rPr>
          <w:sz w:val="24"/>
          <w:b/>
          <w:color w:val="00000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440111-2025-02964</w:t>
      </w:r>
    </w:p>
    <w:p>
      <w:pPr>
        <w:pStyle w:val="null3"/>
        <w:jc w:val="center"/>
        <w:outlineLvl w:val="3"/>
      </w:pPr>
      <w:r>
        <w:rPr>
          <w:sz w:val="24"/>
          <w:b/>
        </w:rPr>
        <w:t>采购项目编号：</w:t>
      </w:r>
      <w:r>
        <w:rPr>
          <w:sz w:val="24"/>
          <w:b/>
        </w:rPr>
        <w:t>0724-2511Z1A14135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广州市白云区人民医院康复及治疗设备采购项目</w:t>
      </w:r>
      <w:r>
        <w:rPr>
          <w:u w:val="single"/>
        </w:rPr>
        <w:t>”</w:t>
      </w:r>
      <w:r>
        <w:rPr/>
        <w:t>项目的招标[采购项目编号为：</w:t>
      </w:r>
      <w:r>
        <w:rPr>
          <w:u w:val="single"/>
        </w:rPr>
        <w:t>0724-2511Z1A14135</w:t>
      </w:r>
      <w:r>
        <w:rPr/>
        <w:t>]，我方愿参与投标。</w:t>
      </w:r>
    </w:p>
    <w:p>
      <w:pPr>
        <w:pStyle w:val="null3"/>
        <w:ind w:firstLine="480"/>
      </w:pPr>
      <w:r>
        <w:rPr/>
        <w:t>我方确认收到贵方提供的</w:t>
      </w:r>
      <w:r>
        <w:rPr>
          <w:u w:val="single"/>
        </w:rPr>
        <w:t>“</w:t>
      </w:r>
      <w:r>
        <w:rPr>
          <w:u w:val="single"/>
        </w:rPr>
        <w:t>广州市白云区人民医院康复及治疗设备采购项目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广州市白云区人民医院康复及治疗设备采购项目</w:t>
      </w:r>
      <w:r>
        <w:rPr/>
        <w:t>”项目采购[采购项目编号为</w:t>
      </w:r>
      <w:r>
        <w:rPr/>
        <w:t>0724-2511Z1A14135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广州市白云区人民医院康复及治疗设备采购项目</w:t>
      </w:r>
      <w:r>
        <w:rPr/>
        <w:t>招标中获中标（采购项目编号：</w:t>
      </w:r>
      <w:r>
        <w:rPr/>
        <w:t>0724-2511Z1A14135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