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6A41E">
      <w:pPr>
        <w:widowControl/>
        <w:spacing w:after="0" w:line="360" w:lineRule="auto"/>
        <w:jc w:val="center"/>
        <w:rPr>
          <w:rFonts w:hint="eastAsia" w:ascii="宋体" w:hAnsi="宋体" w:cs="宋体"/>
          <w:kern w:val="0"/>
          <w:sz w:val="32"/>
          <w:szCs w:val="32"/>
        </w:rPr>
      </w:pPr>
      <w:bookmarkStart w:id="2" w:name="_GoBack"/>
      <w:bookmarkEnd w:id="2"/>
    </w:p>
    <w:p w14:paraId="6146477D">
      <w:pPr>
        <w:widowControl/>
        <w:spacing w:after="0" w:line="360" w:lineRule="auto"/>
        <w:jc w:val="center"/>
        <w:rPr>
          <w:rFonts w:hint="eastAsia" w:ascii="宋体" w:hAnsi="宋体" w:cs="宋体"/>
          <w:kern w:val="0"/>
          <w:sz w:val="32"/>
          <w:szCs w:val="32"/>
        </w:rPr>
      </w:pPr>
      <w:r>
        <w:rPr>
          <w:rFonts w:hint="eastAsia" w:ascii="宋体" w:hAnsi="宋体" w:cs="宋体"/>
          <w:kern w:val="0"/>
          <w:sz w:val="44"/>
          <w:szCs w:val="44"/>
        </w:rPr>
        <w:t>杭州市城市轨道交通4号线三期工程公安通信系统设备</w:t>
      </w:r>
    </w:p>
    <w:p w14:paraId="4E8ABCE0">
      <w:pPr>
        <w:widowControl/>
        <w:spacing w:after="0" w:line="360" w:lineRule="auto"/>
        <w:jc w:val="center"/>
        <w:rPr>
          <w:rFonts w:hint="eastAsia" w:ascii="宋体" w:hAnsi="宋体" w:cs="宋体"/>
          <w:sz w:val="30"/>
          <w:szCs w:val="30"/>
        </w:rPr>
      </w:pPr>
      <w:r>
        <w:rPr>
          <w:rFonts w:hint="eastAsia" w:ascii="宋体" w:hAnsi="宋体" w:cs="宋体"/>
          <w:kern w:val="0"/>
          <w:sz w:val="30"/>
          <w:szCs w:val="30"/>
        </w:rPr>
        <w:t>（招标编号：A3301010060528083001291）</w:t>
      </w:r>
    </w:p>
    <w:p w14:paraId="33F7582D">
      <w:pPr>
        <w:widowControl/>
        <w:spacing w:after="0" w:line="360" w:lineRule="auto"/>
        <w:jc w:val="left"/>
        <w:rPr>
          <w:rFonts w:hint="eastAsia" w:ascii="宋体" w:hAnsi="宋体" w:cs="宋体"/>
          <w:kern w:val="0"/>
          <w:sz w:val="72"/>
          <w:szCs w:val="72"/>
        </w:rPr>
      </w:pPr>
    </w:p>
    <w:p w14:paraId="18BBE011">
      <w:pPr>
        <w:widowControl/>
        <w:spacing w:after="0" w:line="360" w:lineRule="auto"/>
        <w:jc w:val="left"/>
        <w:rPr>
          <w:rFonts w:hint="eastAsia" w:ascii="宋体" w:hAnsi="宋体" w:cs="宋体"/>
          <w:kern w:val="0"/>
          <w:sz w:val="72"/>
          <w:szCs w:val="72"/>
        </w:rPr>
      </w:pPr>
    </w:p>
    <w:p w14:paraId="018502A1">
      <w:pPr>
        <w:widowControl/>
        <w:spacing w:after="0" w:line="360" w:lineRule="auto"/>
        <w:jc w:val="center"/>
      </w:pPr>
      <w:r>
        <w:rPr>
          <w:rFonts w:hint="eastAsia" w:ascii="宋体" w:hAnsi="宋体" w:cs="宋体"/>
          <w:kern w:val="0"/>
          <w:sz w:val="72"/>
          <w:szCs w:val="72"/>
        </w:rPr>
        <w:t>招标补充及答疑文件</w:t>
      </w:r>
    </w:p>
    <w:p w14:paraId="035B0411">
      <w:pPr>
        <w:widowControl/>
        <w:spacing w:after="0" w:line="360" w:lineRule="auto"/>
        <w:jc w:val="center"/>
      </w:pPr>
      <w:r>
        <w:rPr>
          <w:rFonts w:hint="eastAsia" w:ascii="宋体" w:hAnsi="宋体" w:cs="宋体"/>
          <w:kern w:val="0"/>
          <w:sz w:val="72"/>
          <w:szCs w:val="72"/>
        </w:rPr>
        <w:t>（一）</w:t>
      </w:r>
    </w:p>
    <w:p w14:paraId="6613C946">
      <w:pPr>
        <w:widowControl/>
        <w:spacing w:after="0" w:line="360" w:lineRule="auto"/>
        <w:jc w:val="left"/>
        <w:rPr>
          <w:rFonts w:hint="eastAsia" w:ascii="宋体" w:hAnsi="宋体" w:cs="宋体"/>
          <w:kern w:val="0"/>
          <w:sz w:val="28"/>
          <w:szCs w:val="28"/>
        </w:rPr>
      </w:pPr>
    </w:p>
    <w:p w14:paraId="76236471">
      <w:pPr>
        <w:widowControl/>
        <w:spacing w:after="0" w:line="360" w:lineRule="auto"/>
        <w:jc w:val="left"/>
        <w:rPr>
          <w:rFonts w:hint="eastAsia" w:ascii="宋体" w:hAnsi="宋体" w:cs="宋体"/>
          <w:kern w:val="0"/>
          <w:sz w:val="28"/>
          <w:szCs w:val="28"/>
        </w:rPr>
      </w:pPr>
    </w:p>
    <w:p w14:paraId="726D67F3">
      <w:pPr>
        <w:widowControl/>
        <w:spacing w:after="0" w:line="360" w:lineRule="auto"/>
        <w:jc w:val="left"/>
        <w:rPr>
          <w:rFonts w:hint="eastAsia" w:ascii="宋体" w:hAnsi="宋体" w:cs="宋体"/>
          <w:kern w:val="0"/>
          <w:sz w:val="28"/>
          <w:szCs w:val="28"/>
        </w:rPr>
      </w:pPr>
    </w:p>
    <w:p w14:paraId="414FBFC4">
      <w:pPr>
        <w:widowControl/>
        <w:spacing w:after="0" w:line="360" w:lineRule="auto"/>
        <w:jc w:val="left"/>
        <w:rPr>
          <w:rFonts w:hint="eastAsia" w:ascii="宋体" w:hAnsi="宋体" w:cs="宋体"/>
          <w:kern w:val="0"/>
          <w:sz w:val="28"/>
          <w:szCs w:val="28"/>
        </w:rPr>
      </w:pPr>
    </w:p>
    <w:p w14:paraId="75726505">
      <w:pPr>
        <w:widowControl/>
        <w:spacing w:after="0" w:line="360" w:lineRule="auto"/>
        <w:jc w:val="center"/>
        <w:rPr>
          <w:rFonts w:hint="eastAsia" w:ascii="宋体" w:hAnsi="宋体" w:cs="宋体"/>
          <w:sz w:val="30"/>
          <w:szCs w:val="30"/>
        </w:rPr>
      </w:pPr>
      <w:r>
        <w:rPr>
          <w:rFonts w:hint="eastAsia" w:ascii="宋体" w:hAnsi="宋体" w:cs="宋体"/>
          <w:kern w:val="0"/>
          <w:sz w:val="30"/>
          <w:szCs w:val="30"/>
        </w:rPr>
        <w:t>招 标 人 ： 杭州市地铁集团有限责任公司</w:t>
      </w:r>
    </w:p>
    <w:p w14:paraId="0D21C58F">
      <w:pPr>
        <w:widowControl/>
        <w:spacing w:after="0" w:line="360" w:lineRule="auto"/>
        <w:jc w:val="center"/>
        <w:rPr>
          <w:rFonts w:hint="eastAsia" w:ascii="宋体" w:hAnsi="宋体" w:cs="宋体"/>
          <w:sz w:val="30"/>
          <w:szCs w:val="30"/>
        </w:rPr>
      </w:pPr>
      <w:r>
        <w:rPr>
          <w:rFonts w:hint="eastAsia" w:ascii="宋体" w:hAnsi="宋体" w:cs="宋体"/>
          <w:kern w:val="0"/>
          <w:sz w:val="30"/>
          <w:szCs w:val="30"/>
        </w:rPr>
        <w:t>招标代理机构： 国义招标股份有限公司</w:t>
      </w:r>
    </w:p>
    <w:p w14:paraId="5274C917">
      <w:pPr>
        <w:jc w:val="center"/>
        <w:rPr>
          <w:rFonts w:hint="eastAsia" w:ascii="宋体" w:hAnsi="宋体" w:cs="宋体"/>
          <w:kern w:val="0"/>
          <w:sz w:val="30"/>
          <w:szCs w:val="30"/>
        </w:rPr>
      </w:pPr>
      <w:r>
        <w:rPr>
          <w:rFonts w:hint="eastAsia" w:ascii="宋体" w:hAnsi="宋体" w:cs="宋体"/>
          <w:kern w:val="0"/>
          <w:sz w:val="30"/>
          <w:szCs w:val="30"/>
        </w:rPr>
        <w:t>2025 年 9 月 3 日</w:t>
      </w:r>
    </w:p>
    <w:p w14:paraId="482D09BE">
      <w:pPr>
        <w:rPr>
          <w:rFonts w:hint="eastAsia" w:ascii="宋体" w:hAnsi="宋体" w:cs="宋体"/>
          <w:kern w:val="0"/>
          <w:sz w:val="30"/>
          <w:szCs w:val="30"/>
        </w:rPr>
      </w:pPr>
      <w:r>
        <w:rPr>
          <w:rFonts w:hint="eastAsia" w:ascii="宋体" w:hAnsi="宋体" w:cs="宋体"/>
          <w:kern w:val="0"/>
          <w:sz w:val="30"/>
          <w:szCs w:val="30"/>
        </w:rPr>
        <w:br w:type="page"/>
      </w:r>
    </w:p>
    <w:p w14:paraId="774B43FC">
      <w:pPr>
        <w:widowControl/>
        <w:spacing w:after="0" w:line="360" w:lineRule="auto"/>
        <w:jc w:val="center"/>
        <w:rPr>
          <w:rFonts w:hint="eastAsia" w:ascii="宋体" w:hAnsi="宋体" w:cs="宋体"/>
          <w:b/>
          <w:bCs/>
          <w:kern w:val="0"/>
          <w:sz w:val="32"/>
          <w:szCs w:val="32"/>
        </w:rPr>
      </w:pPr>
      <w:r>
        <w:rPr>
          <w:rFonts w:hint="eastAsia" w:ascii="宋体" w:hAnsi="宋体" w:cs="宋体"/>
          <w:b/>
          <w:bCs/>
          <w:kern w:val="0"/>
          <w:sz w:val="32"/>
          <w:szCs w:val="32"/>
        </w:rPr>
        <w:t>杭州市城市轨道交通4号线三期工程公安通信系统设备</w:t>
      </w:r>
    </w:p>
    <w:p w14:paraId="55C2D2D1">
      <w:pPr>
        <w:widowControl/>
        <w:spacing w:after="0" w:line="360" w:lineRule="auto"/>
        <w:jc w:val="center"/>
      </w:pPr>
      <w:r>
        <w:rPr>
          <w:rFonts w:hint="eastAsia" w:ascii="宋体" w:hAnsi="宋体" w:cs="宋体"/>
          <w:b/>
          <w:bCs/>
          <w:kern w:val="0"/>
          <w:sz w:val="32"/>
          <w:szCs w:val="32"/>
        </w:rPr>
        <w:t>招标补充及答疑文件（一）</w:t>
      </w:r>
    </w:p>
    <w:p w14:paraId="200EAF34">
      <w:pPr>
        <w:widowControl/>
        <w:spacing w:after="0" w:line="360" w:lineRule="auto"/>
        <w:jc w:val="center"/>
        <w:rPr>
          <w:rFonts w:hint="eastAsia" w:ascii="宋体" w:hAnsi="宋体" w:cs="宋体"/>
          <w:kern w:val="0"/>
          <w:sz w:val="24"/>
          <w:szCs w:val="24"/>
        </w:rPr>
      </w:pPr>
      <w:r>
        <w:rPr>
          <w:rFonts w:hint="eastAsia" w:ascii="宋体" w:hAnsi="宋体" w:cs="宋体"/>
          <w:kern w:val="0"/>
          <w:sz w:val="24"/>
          <w:szCs w:val="24"/>
        </w:rPr>
        <w:t>（项目编号：A3301010060528083001291）</w:t>
      </w:r>
    </w:p>
    <w:p w14:paraId="79FB75EE">
      <w:pPr>
        <w:widowControl/>
        <w:spacing w:after="0" w:line="360" w:lineRule="auto"/>
        <w:jc w:val="center"/>
        <w:rPr>
          <w:rFonts w:hint="eastAsia" w:ascii="宋体" w:hAnsi="宋体" w:cs="宋体"/>
          <w:kern w:val="0"/>
          <w:sz w:val="24"/>
          <w:szCs w:val="24"/>
        </w:rPr>
      </w:pPr>
    </w:p>
    <w:p w14:paraId="514B349F">
      <w:pPr>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各投标人：本招标补充文件（一）是招标人对有关招标事宜的补充说明及对招标文件的修改澄清，请各投标人对照招标文件仔细阅读。凡招标文件与本补充文件有矛盾之处，均以本补充文件为准，招标文件中其它内容不变。</w:t>
      </w:r>
    </w:p>
    <w:p w14:paraId="5E4513B0">
      <w:pPr>
        <w:rPr>
          <w:rFonts w:hint="eastAsia" w:ascii="宋体" w:hAnsi="宋体" w:cs="宋体"/>
          <w:kern w:val="0"/>
          <w:sz w:val="30"/>
          <w:szCs w:val="30"/>
        </w:rPr>
      </w:pPr>
    </w:p>
    <w:p w14:paraId="33D6CC10">
      <w:pPr>
        <w:widowControl/>
        <w:adjustRightInd w:val="0"/>
        <w:snapToGrid w:val="0"/>
        <w:spacing w:after="0" w:line="360" w:lineRule="auto"/>
        <w:jc w:val="center"/>
        <w:rPr>
          <w:rFonts w:hint="eastAsia" w:ascii="宋体" w:hAnsi="宋体" w:cs="宋体"/>
          <w:sz w:val="28"/>
          <w:szCs w:val="28"/>
        </w:rPr>
      </w:pPr>
      <w:r>
        <w:rPr>
          <w:rFonts w:hint="eastAsia" w:ascii="宋体" w:hAnsi="宋体" w:cs="宋体"/>
          <w:b/>
          <w:bCs/>
          <w:kern w:val="0"/>
          <w:sz w:val="28"/>
          <w:szCs w:val="28"/>
        </w:rPr>
        <w:t>第一部分 提问与回复</w:t>
      </w:r>
    </w:p>
    <w:p w14:paraId="648AC6C4">
      <w:pPr>
        <w:adjustRightInd w:val="0"/>
        <w:snapToGrid w:val="0"/>
        <w:spacing w:after="0" w:line="360" w:lineRule="auto"/>
        <w:ind w:firstLine="480" w:firstLineChars="200"/>
        <w:rPr>
          <w:rFonts w:hint="eastAsia" w:ascii="宋体" w:hAnsi="宋体" w:cs="宋体"/>
          <w:sz w:val="24"/>
          <w:szCs w:val="24"/>
        </w:rPr>
      </w:pPr>
      <w:r>
        <w:rPr>
          <w:rFonts w:hint="eastAsia" w:ascii="宋体" w:hAnsi="宋体" w:cs="宋体"/>
          <w:kern w:val="0"/>
          <w:sz w:val="24"/>
          <w:szCs w:val="24"/>
        </w:rPr>
        <w:t>1、</w:t>
      </w:r>
      <w:r>
        <w:rPr>
          <w:rFonts w:hint="eastAsia" w:ascii="宋体" w:hAnsi="宋体" w:cs="宋体"/>
          <w:sz w:val="24"/>
          <w:szCs w:val="24"/>
        </w:rPr>
        <w:t>招标文件P319，五《LCD显示系统》，2.2 系统构成要求，2.2.2 在公安分局扩容 4 号线一期工程既有编播分中心线路平台（含媒体服务器、交换机、系统软件等）、编播工作站，用于信息的发布和管理，并通过公安通信传输系统接入线网中心媒体服务器。</w:t>
      </w:r>
      <w:r>
        <w:rPr>
          <w:rFonts w:hint="eastAsia" w:ascii="宋体" w:hAnsi="宋体" w:cs="宋体"/>
          <w:b/>
          <w:bCs/>
          <w:sz w:val="24"/>
          <w:szCs w:val="24"/>
        </w:rPr>
        <w:t xml:space="preserve"> 请澄清：</w:t>
      </w:r>
      <w:r>
        <w:rPr>
          <w:rFonts w:hint="eastAsia" w:ascii="宋体" w:hAnsi="宋体" w:cs="宋体"/>
          <w:sz w:val="24"/>
          <w:szCs w:val="24"/>
        </w:rPr>
        <w:t>构成描述要求扩容4号线一期的LCD显示系统，但是P409LCD显示系统清单中只列出接入线网平台，请澄清以哪边为准：本次工程是直接接入线网，还是需要接入线路后再接入线网？</w:t>
      </w:r>
    </w:p>
    <w:p w14:paraId="53F365D9">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答：以主要设备及材料数量表为准。本次工程直接接入线网。</w:t>
      </w:r>
    </w:p>
    <w:p w14:paraId="36B88CD3">
      <w:pPr>
        <w:adjustRightInd w:val="0"/>
        <w:snapToGrid w:val="0"/>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2、杭州市城市轨道交通4号线三期工程公安通信系统设备 </w:t>
      </w:r>
      <w:r>
        <w:rPr>
          <w:rFonts w:hint="eastAsia" w:ascii="宋体" w:hAnsi="宋体" w:cs="宋体"/>
          <w:b/>
          <w:bCs/>
          <w:kern w:val="0"/>
          <w:sz w:val="24"/>
          <w:szCs w:val="24"/>
        </w:rPr>
        <w:t>澄清问题</w:t>
      </w:r>
      <w:r>
        <w:rPr>
          <w:rFonts w:hint="eastAsia" w:ascii="宋体" w:hAnsi="宋体" w:cs="宋体"/>
          <w:kern w:val="0"/>
          <w:sz w:val="24"/>
          <w:szCs w:val="24"/>
        </w:rPr>
        <w:t xml:space="preserve"> 1. 招标文件 第467页，第七章 投标文件格式 投标文件商务标格式 （6）商务偏离表 问题：如果我方完全响应并满足招标文件的全部商务条款、合同条款，是否只需在表格中填写“我方完全响应并满足招标文件的全部商务条款、合同条款，无偏离”，即可，无需再逐项、逐条列明无偏离？ 2. 招标文件 第455页，第七章 投标文件格式 投标文件商务标格式 （3）投标函，品牌，产地，交货期（日历天/月），质量标准。 </w:t>
      </w:r>
      <w:r>
        <w:rPr>
          <w:rFonts w:hint="eastAsia" w:ascii="宋体" w:hAnsi="宋体" w:cs="宋体"/>
          <w:b/>
          <w:bCs/>
          <w:kern w:val="0"/>
          <w:sz w:val="24"/>
          <w:szCs w:val="24"/>
        </w:rPr>
        <w:t>问题：</w:t>
      </w:r>
      <w:r>
        <w:rPr>
          <w:rFonts w:hint="eastAsia" w:ascii="宋体" w:hAnsi="宋体" w:cs="宋体"/>
          <w:kern w:val="0"/>
          <w:sz w:val="24"/>
          <w:szCs w:val="24"/>
        </w:rPr>
        <w:t xml:space="preserve">（1）因无法列出所有设备的品牌和产地，请问投标函里的品牌和产地是否可以填写“详见报价明细表”？（2）质量标准是否填写“符合现行国家有关工程验收规范和标准以及第五章“工程技术规范和技术要求”的要求。”？ 3. 招标文件 第8页，第二章 投标人须知 投标人须知前附表 7.2.7 定标要素及具体内容 </w:t>
      </w:r>
      <w:r>
        <w:rPr>
          <w:rFonts w:hint="eastAsia" w:ascii="宋体" w:hAnsi="宋体" w:cs="宋体"/>
          <w:b/>
          <w:bCs/>
          <w:kern w:val="0"/>
          <w:sz w:val="24"/>
          <w:szCs w:val="24"/>
        </w:rPr>
        <w:t>问题：</w:t>
      </w:r>
      <w:r>
        <w:rPr>
          <w:rFonts w:hint="eastAsia" w:ascii="宋体" w:hAnsi="宋体" w:cs="宋体"/>
          <w:kern w:val="0"/>
          <w:sz w:val="24"/>
          <w:szCs w:val="24"/>
        </w:rPr>
        <w:t xml:space="preserve">投标人在投标阶段是否无需提供招标文件投标人须知前附表7.2.7定标要素及具体内容1-15条中要求的各项内容？ 4. 招标文件 第5-6页，第二章 投标人须知 投标人须知前附表 3.4.1 投标担保 </w:t>
      </w:r>
      <w:r>
        <w:rPr>
          <w:rFonts w:hint="eastAsia" w:ascii="宋体" w:hAnsi="宋体" w:cs="宋体"/>
          <w:b/>
          <w:bCs/>
          <w:kern w:val="0"/>
          <w:sz w:val="24"/>
          <w:szCs w:val="24"/>
        </w:rPr>
        <w:t>问题：</w:t>
      </w:r>
      <w:r>
        <w:rPr>
          <w:rFonts w:hint="eastAsia" w:ascii="宋体" w:hAnsi="宋体" w:cs="宋体"/>
          <w:kern w:val="0"/>
          <w:sz w:val="24"/>
          <w:szCs w:val="24"/>
        </w:rPr>
        <w:t xml:space="preserve">如我单位采用银行保函方式交纳投标保证金，投标保函原件是否单独密封，同投标文件在开标当天递交至开标现场？ 5. 招标文件 第5-6页，第二章 投标人须知 投标人须知前附表 3.4.1 投标担保 </w:t>
      </w:r>
      <w:r>
        <w:rPr>
          <w:rFonts w:hint="eastAsia" w:ascii="宋体" w:hAnsi="宋体" w:cs="宋体"/>
          <w:b/>
          <w:bCs/>
          <w:kern w:val="0"/>
          <w:sz w:val="24"/>
          <w:szCs w:val="24"/>
        </w:rPr>
        <w:t>问题：</w:t>
      </w:r>
      <w:r>
        <w:rPr>
          <w:rFonts w:hint="eastAsia" w:ascii="宋体" w:hAnsi="宋体" w:cs="宋体"/>
          <w:kern w:val="0"/>
          <w:sz w:val="24"/>
          <w:szCs w:val="24"/>
        </w:rPr>
        <w:t>如采用银行保函方式交纳投标保证金，是否不需要在杭州银行“杭银在线”系统（https://hyzx-hzbank-com-cnx2f798929219126xx.ipv6best.cn/hykx/logon.jsp），同参与投标项目关联确认为本项目的投标担保，并自行在“杭银在线”系统打印投标担保递交函？</w:t>
      </w:r>
    </w:p>
    <w:p w14:paraId="40676BE1">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答：1）可以。详见“商务偏离表”的注 b):如果未完整填写偏离表的各项内容则视作投标人已经对招标文件相关要求和内容完全理解并同意，其投标报价为在此基础上的完全价格；</w:t>
      </w:r>
    </w:p>
    <w:p w14:paraId="71A1A95A">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2）投标人根据所选产品自行选填，或表明详见报价明细表；质量标准：符合现行国家有关工程验收规范和标准以及第五章“工程技术规范和技术要求”的要求。</w:t>
      </w:r>
    </w:p>
    <w:p w14:paraId="655F0C5C">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3）投标文件的组成已基本涵盖定标要素及具体内容，如有补充，投标人可在投标文件格式“其他投标资料：投标人认为需要的其他资料”中自行补充。</w:t>
      </w:r>
    </w:p>
    <w:p w14:paraId="1D648D8C">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4）银行保函原件装订进投标文件或单独密封现场递交均可；</w:t>
      </w:r>
    </w:p>
    <w:p w14:paraId="629579AB">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5）</w:t>
      </w:r>
      <w:r>
        <w:rPr>
          <w:rFonts w:hint="eastAsia"/>
          <w:b/>
          <w:bCs/>
          <w:sz w:val="24"/>
          <w:szCs w:val="24"/>
        </w:rPr>
        <w:t>如采用银行保函方式交纳投标保证金，无需在“杭银在线”系统同参与投标项目关联确认为本项目的投标担保。须在投标文件中附投标保证金所需的证明材料（包含但不限于购买保险或办理保函、担保等保证金相关费用从投标人基本账户转出凭证及银行出具的相关基本账户证明等），具体详见投标人须知前附表 3.4.1 款、10.1 款以及投标文件格式“投标文件资格审查”的投标保证金条款。</w:t>
      </w:r>
    </w:p>
    <w:p w14:paraId="7825F749">
      <w:pPr>
        <w:adjustRightInd w:val="0"/>
        <w:snapToGrid w:val="0"/>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3、第四章 专业技术要求 2 系统技术规定 2.1.3.4 设备性能 1）正线各车站、公安分局线路侧带宽按 100Gb/s 的带宽配置，设备配置需满足 以下要求： 公安分局：分组交换能力不小于 900G，配置不少于 8 个 100G 光口，单设备业务槽位不小于 14 个，支持 10G 业务侧以太网业务接口，不同方向的群路口应分别配置在不同板卡上。 </w:t>
      </w:r>
      <w:r>
        <w:rPr>
          <w:rFonts w:hint="eastAsia" w:ascii="宋体" w:hAnsi="宋体" w:cs="宋体"/>
          <w:b/>
          <w:bCs/>
          <w:kern w:val="0"/>
          <w:sz w:val="24"/>
          <w:szCs w:val="24"/>
        </w:rPr>
        <w:t>请澄清：</w:t>
      </w:r>
      <w:r>
        <w:rPr>
          <w:rFonts w:hint="eastAsia" w:ascii="宋体" w:hAnsi="宋体" w:cs="宋体"/>
          <w:kern w:val="0"/>
          <w:sz w:val="24"/>
          <w:szCs w:val="24"/>
        </w:rPr>
        <w:t>公安分局按组网情况只需要配置4个100G光口即可，在标书中要求配置8块，建议改成“按实际需求配置4块板卡”。</w:t>
      </w:r>
    </w:p>
    <w:p w14:paraId="20F2E07A">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答：按“公安分局：分组交换能力不小于 900G，配置不少于 8 个 100G 光口”要求执行。</w:t>
      </w:r>
    </w:p>
    <w:p w14:paraId="1D41E5A2">
      <w:pPr>
        <w:adjustRightInd w:val="0"/>
        <w:snapToGrid w:val="0"/>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4、1、《杭州市城市轨道交通4号线三期工程公安通信系统设备招标文件》P400页-传输子系统主要设备及材料数量表序号11网络交换机 </w:t>
      </w:r>
      <w:r>
        <w:rPr>
          <w:rFonts w:hint="eastAsia" w:ascii="宋体" w:hAnsi="宋体" w:cs="宋体"/>
          <w:b/>
          <w:bCs/>
          <w:kern w:val="0"/>
          <w:sz w:val="24"/>
          <w:szCs w:val="24"/>
        </w:rPr>
        <w:t>请澄清：</w:t>
      </w:r>
      <w:r>
        <w:rPr>
          <w:rFonts w:hint="eastAsia" w:ascii="宋体" w:hAnsi="宋体" w:cs="宋体"/>
          <w:kern w:val="0"/>
          <w:sz w:val="24"/>
          <w:szCs w:val="24"/>
        </w:rPr>
        <w:t xml:space="preserve">传输子系统主要设备及材料数量表序号11网络交换机在标书中无对应参数，请明确具体参数。 2、《杭州市城市轨道交通4号线三期工程公安通信系统设备招标文件》P403页-3 视频监视系统-序号1网络交换机 </w:t>
      </w:r>
      <w:r>
        <w:rPr>
          <w:rFonts w:hint="eastAsia" w:ascii="宋体" w:hAnsi="宋体" w:cs="宋体"/>
          <w:b/>
          <w:bCs/>
          <w:kern w:val="0"/>
          <w:sz w:val="24"/>
          <w:szCs w:val="24"/>
        </w:rPr>
        <w:t>请澄清：</w:t>
      </w:r>
      <w:r>
        <w:rPr>
          <w:rFonts w:hint="eastAsia" w:ascii="宋体" w:hAnsi="宋体" w:cs="宋体"/>
          <w:kern w:val="0"/>
          <w:sz w:val="24"/>
          <w:szCs w:val="24"/>
        </w:rPr>
        <w:t>视频监控系统序号1网络交换机在标书中无对应参数，请明确具体参数。</w:t>
      </w:r>
    </w:p>
    <w:p w14:paraId="139C48E8">
      <w:pPr>
        <w:adjustRightInd w:val="0"/>
        <w:snapToGrid w:val="0"/>
        <w:spacing w:after="0" w:line="360" w:lineRule="auto"/>
        <w:ind w:firstLine="482" w:firstLineChars="200"/>
        <w:rPr>
          <w:rFonts w:hint="eastAsia" w:ascii="宋体" w:hAnsi="宋体" w:eastAsia="宋体" w:cs="宋体"/>
          <w:b/>
          <w:bCs/>
          <w:kern w:val="0"/>
          <w:sz w:val="24"/>
          <w:szCs w:val="24"/>
          <w:lang w:eastAsia="zh-CN"/>
        </w:rPr>
      </w:pPr>
      <w:r>
        <w:rPr>
          <w:rFonts w:hint="eastAsia" w:ascii="宋体" w:hAnsi="宋体" w:cs="宋体"/>
          <w:b/>
          <w:bCs/>
          <w:kern w:val="0"/>
          <w:sz w:val="24"/>
          <w:szCs w:val="24"/>
        </w:rPr>
        <w:t>答：1、传输</w:t>
      </w:r>
      <w:r>
        <w:rPr>
          <w:rFonts w:hint="eastAsia" w:ascii="宋体" w:hAnsi="宋体" w:cs="宋体"/>
          <w:b/>
          <w:bCs/>
          <w:kern w:val="0"/>
          <w:sz w:val="24"/>
          <w:szCs w:val="24"/>
          <w:lang w:val="en-US" w:eastAsia="zh-CN"/>
        </w:rPr>
        <w:t>子</w:t>
      </w:r>
      <w:r>
        <w:rPr>
          <w:rFonts w:hint="eastAsia" w:ascii="宋体" w:hAnsi="宋体" w:cs="宋体"/>
          <w:b/>
          <w:bCs/>
          <w:kern w:val="0"/>
          <w:sz w:val="24"/>
          <w:szCs w:val="24"/>
        </w:rPr>
        <w:t>系统主要设备及材料数量表序号11网络交换机主要参数指标参照下表</w:t>
      </w:r>
      <w:r>
        <w:rPr>
          <w:rFonts w:hint="eastAsia" w:ascii="宋体" w:hAnsi="宋体" w:cs="宋体"/>
          <w:b/>
          <w:bCs/>
          <w:kern w:val="0"/>
          <w:sz w:val="24"/>
          <w:szCs w:val="24"/>
          <w:lang w:eastAsia="zh-CN"/>
        </w:rPr>
        <w:t>：</w:t>
      </w:r>
    </w:p>
    <w:tbl>
      <w:tblPr>
        <w:tblStyle w:val="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244"/>
        <w:gridCol w:w="5940"/>
      </w:tblGrid>
      <w:tr w14:paraId="2436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top w:val="single" w:color="auto" w:sz="12" w:space="0"/>
              <w:left w:val="single" w:color="auto" w:sz="12" w:space="0"/>
            </w:tcBorders>
            <w:vAlign w:val="center"/>
          </w:tcPr>
          <w:p w14:paraId="15AA3A5E">
            <w:pPr>
              <w:pStyle w:val="4"/>
              <w:rPr>
                <w:rFonts w:hint="eastAsia"/>
              </w:rPr>
            </w:pPr>
            <w:r>
              <w:rPr>
                <w:rFonts w:hint="eastAsia"/>
              </w:rPr>
              <w:t>序号</w:t>
            </w:r>
          </w:p>
        </w:tc>
        <w:tc>
          <w:tcPr>
            <w:tcW w:w="2244" w:type="dxa"/>
            <w:tcBorders>
              <w:top w:val="single" w:color="auto" w:sz="12" w:space="0"/>
            </w:tcBorders>
            <w:vAlign w:val="center"/>
          </w:tcPr>
          <w:p w14:paraId="382D27C5">
            <w:pPr>
              <w:pStyle w:val="4"/>
              <w:rPr>
                <w:rFonts w:hint="eastAsia"/>
              </w:rPr>
            </w:pPr>
            <w:r>
              <w:rPr>
                <w:rFonts w:hint="eastAsia"/>
              </w:rPr>
              <w:t>名称</w:t>
            </w:r>
          </w:p>
        </w:tc>
        <w:tc>
          <w:tcPr>
            <w:tcW w:w="5940" w:type="dxa"/>
            <w:tcBorders>
              <w:top w:val="single" w:color="auto" w:sz="12" w:space="0"/>
              <w:right w:val="single" w:color="auto" w:sz="12" w:space="0"/>
            </w:tcBorders>
            <w:vAlign w:val="center"/>
          </w:tcPr>
          <w:p w14:paraId="51A29AB7">
            <w:pPr>
              <w:pStyle w:val="4"/>
              <w:rPr>
                <w:rFonts w:hint="eastAsia"/>
              </w:rPr>
            </w:pPr>
            <w:r>
              <w:rPr>
                <w:rFonts w:hint="eastAsia"/>
              </w:rPr>
              <w:t>主要技术指标要求</w:t>
            </w:r>
          </w:p>
        </w:tc>
      </w:tr>
      <w:tr w14:paraId="1DAF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410761A4">
            <w:pPr>
              <w:pStyle w:val="4"/>
              <w:rPr>
                <w:rFonts w:hint="eastAsia"/>
              </w:rPr>
            </w:pPr>
            <w:r>
              <w:rPr>
                <w:rFonts w:hint="eastAsia"/>
              </w:rPr>
              <w:t>1</w:t>
            </w:r>
          </w:p>
        </w:tc>
        <w:tc>
          <w:tcPr>
            <w:tcW w:w="2244" w:type="dxa"/>
            <w:vAlign w:val="center"/>
          </w:tcPr>
          <w:p w14:paraId="07F595A3">
            <w:pPr>
              <w:pStyle w:val="4"/>
              <w:rPr>
                <w:rFonts w:hint="eastAsia"/>
              </w:rPr>
            </w:pPr>
            <w:r>
              <w:rPr>
                <w:rFonts w:hint="eastAsia"/>
              </w:rPr>
              <w:t>公安分局端口配置</w:t>
            </w:r>
          </w:p>
        </w:tc>
        <w:tc>
          <w:tcPr>
            <w:tcW w:w="5940" w:type="dxa"/>
            <w:tcBorders>
              <w:right w:val="single" w:color="auto" w:sz="12" w:space="0"/>
            </w:tcBorders>
            <w:vAlign w:val="center"/>
          </w:tcPr>
          <w:p w14:paraId="3847CF75">
            <w:pPr>
              <w:pStyle w:val="4"/>
              <w:rPr>
                <w:rFonts w:hint="eastAsia"/>
              </w:rPr>
            </w:pPr>
            <w:r>
              <w:rPr>
                <w:rFonts w:hint="eastAsia"/>
              </w:rPr>
              <w:t>不少于24个GE电口，</w:t>
            </w:r>
          </w:p>
          <w:p w14:paraId="75DA5578">
            <w:pPr>
              <w:pStyle w:val="4"/>
              <w:rPr>
                <w:rFonts w:hint="eastAsia"/>
              </w:rPr>
            </w:pPr>
            <w:r>
              <w:rPr>
                <w:rFonts w:hint="eastAsia"/>
              </w:rPr>
              <w:t>24个GE光口（含光模块），8个万兆光口(含光模块)</w:t>
            </w:r>
          </w:p>
        </w:tc>
      </w:tr>
      <w:tr w14:paraId="3868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794B4092">
            <w:pPr>
              <w:pStyle w:val="4"/>
              <w:rPr>
                <w:rFonts w:hint="eastAsia"/>
              </w:rPr>
            </w:pPr>
            <w:r>
              <w:rPr>
                <w:rFonts w:hint="eastAsia"/>
              </w:rPr>
              <w:t>2</w:t>
            </w:r>
          </w:p>
        </w:tc>
        <w:tc>
          <w:tcPr>
            <w:tcW w:w="2244" w:type="dxa"/>
            <w:vAlign w:val="center"/>
          </w:tcPr>
          <w:p w14:paraId="7CCE568E">
            <w:pPr>
              <w:pStyle w:val="4"/>
              <w:rPr>
                <w:rFonts w:hint="eastAsia"/>
              </w:rPr>
            </w:pPr>
            <w:r>
              <w:rPr>
                <w:rFonts w:hint="eastAsia"/>
              </w:rPr>
              <w:t>可靠性</w:t>
            </w:r>
          </w:p>
        </w:tc>
        <w:tc>
          <w:tcPr>
            <w:tcW w:w="5940" w:type="dxa"/>
            <w:tcBorders>
              <w:right w:val="single" w:color="auto" w:sz="12" w:space="0"/>
            </w:tcBorders>
            <w:vAlign w:val="center"/>
          </w:tcPr>
          <w:p w14:paraId="7C61A9D9">
            <w:pPr>
              <w:pStyle w:val="4"/>
              <w:rPr>
                <w:rFonts w:hint="eastAsia"/>
              </w:rPr>
            </w:pPr>
            <w:r>
              <w:rPr>
                <w:rFonts w:hint="eastAsia"/>
              </w:rPr>
              <w:t>主控、电源、风扇等关键部件1+1冗余配置</w:t>
            </w:r>
          </w:p>
        </w:tc>
      </w:tr>
      <w:tr w14:paraId="5109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0E431E07">
            <w:pPr>
              <w:pStyle w:val="4"/>
              <w:rPr>
                <w:rFonts w:hint="eastAsia"/>
              </w:rPr>
            </w:pPr>
            <w:r>
              <w:rPr>
                <w:rFonts w:hint="eastAsia"/>
              </w:rPr>
              <w:t>3</w:t>
            </w:r>
          </w:p>
        </w:tc>
        <w:tc>
          <w:tcPr>
            <w:tcW w:w="2244" w:type="dxa"/>
            <w:vAlign w:val="center"/>
          </w:tcPr>
          <w:p w14:paraId="4B75F656">
            <w:pPr>
              <w:pStyle w:val="4"/>
              <w:rPr>
                <w:rFonts w:hint="eastAsia"/>
              </w:rPr>
            </w:pPr>
            <w:r>
              <w:rPr>
                <w:rFonts w:hint="eastAsia"/>
              </w:rPr>
              <w:t>交换容量</w:t>
            </w:r>
          </w:p>
        </w:tc>
        <w:tc>
          <w:tcPr>
            <w:tcW w:w="5940" w:type="dxa"/>
            <w:tcBorders>
              <w:right w:val="single" w:color="auto" w:sz="12" w:space="0"/>
            </w:tcBorders>
            <w:vAlign w:val="center"/>
          </w:tcPr>
          <w:p w14:paraId="0C82722C">
            <w:pPr>
              <w:pStyle w:val="4"/>
              <w:rPr>
                <w:rFonts w:hint="eastAsia"/>
              </w:rPr>
            </w:pPr>
            <w:r>
              <w:rPr>
                <w:rFonts w:hint="eastAsia"/>
              </w:rPr>
              <w:t>≥10Tbps</w:t>
            </w:r>
          </w:p>
        </w:tc>
      </w:tr>
      <w:tr w14:paraId="598B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3B20464B">
            <w:pPr>
              <w:pStyle w:val="4"/>
              <w:rPr>
                <w:rFonts w:hint="eastAsia"/>
              </w:rPr>
            </w:pPr>
            <w:r>
              <w:rPr>
                <w:rFonts w:hint="eastAsia"/>
              </w:rPr>
              <w:t>4</w:t>
            </w:r>
          </w:p>
        </w:tc>
        <w:tc>
          <w:tcPr>
            <w:tcW w:w="2244" w:type="dxa"/>
            <w:vAlign w:val="center"/>
          </w:tcPr>
          <w:p w14:paraId="06F76873">
            <w:pPr>
              <w:pStyle w:val="4"/>
              <w:rPr>
                <w:rFonts w:hint="eastAsia"/>
              </w:rPr>
            </w:pPr>
            <w:r>
              <w:rPr>
                <w:rFonts w:hint="eastAsia"/>
              </w:rPr>
              <w:t>包转发率</w:t>
            </w:r>
          </w:p>
        </w:tc>
        <w:tc>
          <w:tcPr>
            <w:tcW w:w="5940" w:type="dxa"/>
            <w:tcBorders>
              <w:right w:val="single" w:color="auto" w:sz="12" w:space="0"/>
            </w:tcBorders>
            <w:vAlign w:val="center"/>
          </w:tcPr>
          <w:p w14:paraId="705B36D2">
            <w:pPr>
              <w:pStyle w:val="4"/>
              <w:rPr>
                <w:rFonts w:hint="eastAsia"/>
              </w:rPr>
            </w:pPr>
            <w:r>
              <w:rPr>
                <w:rFonts w:hint="eastAsia"/>
              </w:rPr>
              <w:t>≥2000Mpps</w:t>
            </w:r>
          </w:p>
        </w:tc>
      </w:tr>
      <w:tr w14:paraId="0D0F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6D1F9AE8">
            <w:pPr>
              <w:pStyle w:val="4"/>
              <w:rPr>
                <w:rFonts w:hint="eastAsia"/>
              </w:rPr>
            </w:pPr>
            <w:r>
              <w:rPr>
                <w:rFonts w:hint="eastAsia"/>
              </w:rPr>
              <w:t>5</w:t>
            </w:r>
          </w:p>
        </w:tc>
        <w:tc>
          <w:tcPr>
            <w:tcW w:w="2244" w:type="dxa"/>
            <w:vAlign w:val="center"/>
          </w:tcPr>
          <w:p w14:paraId="0FE4615C">
            <w:pPr>
              <w:pStyle w:val="4"/>
              <w:rPr>
                <w:rFonts w:hint="eastAsia"/>
              </w:rPr>
            </w:pPr>
            <w:r>
              <w:rPr>
                <w:rFonts w:hint="eastAsia"/>
              </w:rPr>
              <w:t>IPv4路由协议</w:t>
            </w:r>
          </w:p>
        </w:tc>
        <w:tc>
          <w:tcPr>
            <w:tcW w:w="5940" w:type="dxa"/>
            <w:tcBorders>
              <w:right w:val="single" w:color="auto" w:sz="12" w:space="0"/>
            </w:tcBorders>
            <w:vAlign w:val="center"/>
          </w:tcPr>
          <w:p w14:paraId="76FD0FD8">
            <w:pPr>
              <w:pStyle w:val="4"/>
              <w:rPr>
                <w:rFonts w:hint="eastAsia"/>
              </w:rPr>
            </w:pPr>
            <w:r>
              <w:rPr>
                <w:rFonts w:hint="eastAsia"/>
              </w:rPr>
              <w:t>支持RIPv1/v2、OSPFv1/v2、IS-IS、BGP等路由协议，支持静态路由</w:t>
            </w:r>
          </w:p>
        </w:tc>
      </w:tr>
      <w:tr w14:paraId="5A01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5DE2B84F">
            <w:pPr>
              <w:pStyle w:val="4"/>
              <w:rPr>
                <w:rFonts w:hint="eastAsia"/>
              </w:rPr>
            </w:pPr>
            <w:r>
              <w:rPr>
                <w:rFonts w:hint="eastAsia"/>
              </w:rPr>
              <w:t>6</w:t>
            </w:r>
          </w:p>
        </w:tc>
        <w:tc>
          <w:tcPr>
            <w:tcW w:w="2244" w:type="dxa"/>
            <w:vAlign w:val="center"/>
          </w:tcPr>
          <w:p w14:paraId="746A23F0">
            <w:pPr>
              <w:pStyle w:val="4"/>
              <w:rPr>
                <w:rFonts w:hint="eastAsia"/>
              </w:rPr>
            </w:pPr>
            <w:r>
              <w:rPr>
                <w:rFonts w:hint="eastAsia"/>
              </w:rPr>
              <w:t>IPv6路由协议</w:t>
            </w:r>
          </w:p>
        </w:tc>
        <w:tc>
          <w:tcPr>
            <w:tcW w:w="5940" w:type="dxa"/>
            <w:tcBorders>
              <w:right w:val="single" w:color="auto" w:sz="12" w:space="0"/>
            </w:tcBorders>
            <w:vAlign w:val="center"/>
          </w:tcPr>
          <w:p w14:paraId="311C2283">
            <w:pPr>
              <w:pStyle w:val="4"/>
              <w:rPr>
                <w:rFonts w:hint="eastAsia"/>
              </w:rPr>
            </w:pPr>
            <w:r>
              <w:rPr>
                <w:rFonts w:hint="eastAsia"/>
              </w:rPr>
              <w:t>支持RIPng、OSPFv3、IS-ISv6、BGPv4等路由协议，支持6to4隧道，支持IPv6和Ipv4双栈</w:t>
            </w:r>
          </w:p>
        </w:tc>
      </w:tr>
      <w:tr w14:paraId="6A80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5DAB7146">
            <w:pPr>
              <w:pStyle w:val="4"/>
              <w:rPr>
                <w:rFonts w:hint="eastAsia"/>
              </w:rPr>
            </w:pPr>
            <w:r>
              <w:rPr>
                <w:rFonts w:hint="eastAsia"/>
              </w:rPr>
              <w:t>7</w:t>
            </w:r>
          </w:p>
        </w:tc>
        <w:tc>
          <w:tcPr>
            <w:tcW w:w="2244" w:type="dxa"/>
            <w:vAlign w:val="center"/>
          </w:tcPr>
          <w:p w14:paraId="5A91873A">
            <w:pPr>
              <w:pStyle w:val="4"/>
              <w:rPr>
                <w:rFonts w:hint="eastAsia"/>
              </w:rPr>
            </w:pPr>
            <w:r>
              <w:rPr>
                <w:rFonts w:hint="eastAsia"/>
              </w:rPr>
              <w:t>VLAN</w:t>
            </w:r>
          </w:p>
        </w:tc>
        <w:tc>
          <w:tcPr>
            <w:tcW w:w="5940" w:type="dxa"/>
            <w:tcBorders>
              <w:right w:val="single" w:color="auto" w:sz="12" w:space="0"/>
            </w:tcBorders>
            <w:vAlign w:val="center"/>
          </w:tcPr>
          <w:p w14:paraId="06FE8CBD">
            <w:pPr>
              <w:pStyle w:val="4"/>
              <w:rPr>
                <w:rFonts w:hint="eastAsia"/>
              </w:rPr>
            </w:pPr>
            <w:r>
              <w:rPr>
                <w:rFonts w:hint="eastAsia"/>
              </w:rPr>
              <w:t>支持802.1Q的VLAN数：≥4K；支持基于端口的VLAN</w:t>
            </w:r>
          </w:p>
        </w:tc>
      </w:tr>
      <w:tr w14:paraId="001E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tcBorders>
            <w:vAlign w:val="center"/>
          </w:tcPr>
          <w:p w14:paraId="16EF721B">
            <w:pPr>
              <w:pStyle w:val="4"/>
              <w:rPr>
                <w:rFonts w:hint="eastAsia"/>
              </w:rPr>
            </w:pPr>
            <w:r>
              <w:rPr>
                <w:rFonts w:hint="eastAsia"/>
              </w:rPr>
              <w:t>8</w:t>
            </w:r>
          </w:p>
        </w:tc>
        <w:tc>
          <w:tcPr>
            <w:tcW w:w="2244" w:type="dxa"/>
            <w:vAlign w:val="center"/>
          </w:tcPr>
          <w:p w14:paraId="39E7DF44">
            <w:pPr>
              <w:pStyle w:val="4"/>
              <w:rPr>
                <w:rFonts w:hint="eastAsia"/>
              </w:rPr>
            </w:pPr>
            <w:r>
              <w:rPr>
                <w:rFonts w:hint="eastAsia"/>
              </w:rPr>
              <w:t>MAC</w:t>
            </w:r>
          </w:p>
        </w:tc>
        <w:tc>
          <w:tcPr>
            <w:tcW w:w="5940" w:type="dxa"/>
            <w:tcBorders>
              <w:right w:val="single" w:color="auto" w:sz="12" w:space="0"/>
            </w:tcBorders>
            <w:vAlign w:val="center"/>
          </w:tcPr>
          <w:p w14:paraId="55DD5865">
            <w:pPr>
              <w:pStyle w:val="4"/>
              <w:rPr>
                <w:rFonts w:hint="eastAsia"/>
              </w:rPr>
            </w:pPr>
            <w:r>
              <w:rPr>
                <w:rFonts w:hint="eastAsia"/>
              </w:rPr>
              <w:t>≥8000</w:t>
            </w:r>
          </w:p>
        </w:tc>
      </w:tr>
      <w:tr w14:paraId="64B1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bottom w:val="single" w:color="auto" w:sz="4" w:space="0"/>
            </w:tcBorders>
            <w:vAlign w:val="center"/>
          </w:tcPr>
          <w:p w14:paraId="17933B2E">
            <w:pPr>
              <w:pStyle w:val="4"/>
              <w:rPr>
                <w:rFonts w:hint="eastAsia"/>
              </w:rPr>
            </w:pPr>
            <w:r>
              <w:rPr>
                <w:rFonts w:hint="eastAsia"/>
              </w:rPr>
              <w:t>9</w:t>
            </w:r>
          </w:p>
        </w:tc>
        <w:tc>
          <w:tcPr>
            <w:tcW w:w="2244" w:type="dxa"/>
            <w:tcBorders>
              <w:bottom w:val="single" w:color="auto" w:sz="4" w:space="0"/>
            </w:tcBorders>
            <w:vAlign w:val="center"/>
          </w:tcPr>
          <w:p w14:paraId="79C8112D">
            <w:pPr>
              <w:pStyle w:val="4"/>
              <w:rPr>
                <w:rFonts w:hint="eastAsia"/>
              </w:rPr>
            </w:pPr>
            <w:r>
              <w:rPr>
                <w:rFonts w:hint="eastAsia"/>
              </w:rPr>
              <w:t>QoS</w:t>
            </w:r>
          </w:p>
        </w:tc>
        <w:tc>
          <w:tcPr>
            <w:tcW w:w="5940" w:type="dxa"/>
            <w:tcBorders>
              <w:bottom w:val="single" w:color="auto" w:sz="4" w:space="0"/>
              <w:right w:val="single" w:color="auto" w:sz="12" w:space="0"/>
            </w:tcBorders>
            <w:vAlign w:val="center"/>
          </w:tcPr>
          <w:p w14:paraId="00129632">
            <w:pPr>
              <w:pStyle w:val="4"/>
              <w:rPr>
                <w:rFonts w:hint="eastAsia"/>
              </w:rPr>
            </w:pPr>
            <w:r>
              <w:rPr>
                <w:rFonts w:hint="eastAsia"/>
              </w:rPr>
              <w:t>支持802.1p/DSCP优先级；支持层次化QoS；支持队列调度机制，包括SP、WRR等；支持拥塞避免机制，包括WRED等</w:t>
            </w:r>
          </w:p>
        </w:tc>
      </w:tr>
      <w:tr w14:paraId="0868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dxa"/>
            <w:tcBorders>
              <w:left w:val="single" w:color="auto" w:sz="12" w:space="0"/>
              <w:bottom w:val="single" w:color="auto" w:sz="4" w:space="0"/>
            </w:tcBorders>
            <w:vAlign w:val="center"/>
          </w:tcPr>
          <w:p w14:paraId="1025C30B">
            <w:pPr>
              <w:pStyle w:val="4"/>
              <w:rPr>
                <w:rFonts w:hint="eastAsia"/>
              </w:rPr>
            </w:pPr>
            <w:r>
              <w:rPr>
                <w:rFonts w:hint="eastAsia"/>
              </w:rPr>
              <w:t>10</w:t>
            </w:r>
          </w:p>
        </w:tc>
        <w:tc>
          <w:tcPr>
            <w:tcW w:w="2244" w:type="dxa"/>
            <w:tcBorders>
              <w:bottom w:val="single" w:color="auto" w:sz="4" w:space="0"/>
            </w:tcBorders>
            <w:vAlign w:val="center"/>
          </w:tcPr>
          <w:p w14:paraId="1E1198CD">
            <w:pPr>
              <w:pStyle w:val="4"/>
              <w:rPr>
                <w:rFonts w:hint="eastAsia"/>
              </w:rPr>
            </w:pPr>
            <w:r>
              <w:rPr>
                <w:rFonts w:hint="eastAsia"/>
              </w:rPr>
              <w:t>管理特性</w:t>
            </w:r>
          </w:p>
        </w:tc>
        <w:tc>
          <w:tcPr>
            <w:tcW w:w="5940" w:type="dxa"/>
            <w:tcBorders>
              <w:bottom w:val="single" w:color="auto" w:sz="4" w:space="0"/>
              <w:right w:val="single" w:color="auto" w:sz="12" w:space="0"/>
            </w:tcBorders>
            <w:vAlign w:val="center"/>
          </w:tcPr>
          <w:p w14:paraId="6F611433">
            <w:pPr>
              <w:pStyle w:val="4"/>
              <w:rPr>
                <w:rFonts w:hint="eastAsia"/>
              </w:rPr>
            </w:pPr>
            <w:r>
              <w:rPr>
                <w:rFonts w:hint="eastAsia"/>
              </w:rPr>
              <w:t>统一的网管软件管理</w:t>
            </w:r>
          </w:p>
        </w:tc>
      </w:tr>
    </w:tbl>
    <w:p w14:paraId="03FA669C">
      <w:pPr>
        <w:pStyle w:val="5"/>
        <w:numPr>
          <w:ilvl w:val="0"/>
          <w:numId w:val="0"/>
        </w:numPr>
        <w:adjustRightInd w:val="0"/>
        <w:snapToGrid w:val="0"/>
        <w:spacing w:after="0" w:line="360" w:lineRule="auto"/>
        <w:ind w:firstLine="420" w:firstLineChars="0"/>
        <w:rPr>
          <w:rFonts w:hint="eastAsia" w:ascii="宋体" w:hAnsi="宋体" w:cs="宋体"/>
          <w:b/>
          <w:bCs/>
          <w:kern w:val="0"/>
          <w:sz w:val="24"/>
          <w:szCs w:val="24"/>
        </w:rPr>
      </w:pPr>
      <w:r>
        <w:rPr>
          <w:rFonts w:hint="eastAsia" w:ascii="宋体" w:hAnsi="宋体" w:eastAsia="宋体" w:cs="宋体"/>
          <w:b/>
          <w:bCs/>
          <w:kern w:val="0"/>
          <w:sz w:val="24"/>
          <w:szCs w:val="24"/>
          <w:lang w:val="en-US" w:eastAsia="zh-CN" w:bidi="ar-SA"/>
        </w:rPr>
        <w:t>2、</w:t>
      </w:r>
      <w:r>
        <w:rPr>
          <w:rFonts w:hint="eastAsia" w:ascii="宋体" w:hAnsi="宋体" w:cs="宋体"/>
          <w:b/>
          <w:bCs/>
          <w:kern w:val="0"/>
          <w:sz w:val="24"/>
          <w:szCs w:val="24"/>
        </w:rPr>
        <w:t>视频</w:t>
      </w:r>
      <w:r>
        <w:rPr>
          <w:rFonts w:hint="eastAsia" w:ascii="宋体" w:hAnsi="宋体" w:cs="宋体"/>
          <w:b/>
          <w:bCs/>
          <w:kern w:val="0"/>
          <w:sz w:val="24"/>
          <w:szCs w:val="24"/>
          <w:lang w:val="en-US" w:eastAsia="zh-CN"/>
        </w:rPr>
        <w:t>监视</w:t>
      </w:r>
      <w:r>
        <w:rPr>
          <w:rFonts w:hint="eastAsia" w:ascii="宋体" w:hAnsi="宋体" w:cs="宋体"/>
          <w:b/>
          <w:bCs/>
          <w:kern w:val="0"/>
          <w:sz w:val="24"/>
          <w:szCs w:val="24"/>
        </w:rPr>
        <w:t>系统</w:t>
      </w:r>
      <w:r>
        <w:rPr>
          <w:rFonts w:hint="eastAsia" w:ascii="宋体" w:hAnsi="宋体" w:cs="宋体"/>
          <w:b/>
          <w:bCs/>
          <w:kern w:val="0"/>
          <w:sz w:val="24"/>
          <w:szCs w:val="24"/>
          <w:lang w:val="en-US" w:eastAsia="zh-CN"/>
        </w:rPr>
        <w:t>控制中心、公安分局</w:t>
      </w:r>
      <w:r>
        <w:rPr>
          <w:rFonts w:hint="eastAsia" w:ascii="宋体" w:hAnsi="宋体" w:cs="宋体"/>
          <w:b/>
          <w:bCs/>
          <w:kern w:val="0"/>
          <w:sz w:val="24"/>
          <w:szCs w:val="24"/>
        </w:rPr>
        <w:t>序号1网络交换机主要参数指标参照下表</w:t>
      </w:r>
      <w:r>
        <w:rPr>
          <w:rFonts w:hint="eastAsia" w:ascii="宋体" w:hAnsi="宋体" w:cs="宋体"/>
          <w:b/>
          <w:bCs/>
          <w:kern w:val="0"/>
          <w:sz w:val="24"/>
          <w:szCs w:val="24"/>
          <w:lang w:eastAsia="zh-CN"/>
        </w:rPr>
        <w:t>：</w:t>
      </w:r>
    </w:p>
    <w:tbl>
      <w:tblPr>
        <w:tblStyle w:val="2"/>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121"/>
        <w:gridCol w:w="5379"/>
      </w:tblGrid>
      <w:tr w14:paraId="7C31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top w:val="single" w:color="auto" w:sz="12" w:space="0"/>
              <w:left w:val="single" w:color="auto" w:sz="12" w:space="0"/>
            </w:tcBorders>
            <w:vAlign w:val="center"/>
          </w:tcPr>
          <w:p w14:paraId="596C4305">
            <w:pPr>
              <w:pStyle w:val="4"/>
            </w:pPr>
            <w:r>
              <w:rPr>
                <w:rFonts w:hint="eastAsia"/>
              </w:rPr>
              <w:t>序号</w:t>
            </w:r>
          </w:p>
        </w:tc>
        <w:tc>
          <w:tcPr>
            <w:tcW w:w="2121" w:type="dxa"/>
            <w:tcBorders>
              <w:top w:val="single" w:color="auto" w:sz="12" w:space="0"/>
            </w:tcBorders>
            <w:vAlign w:val="center"/>
          </w:tcPr>
          <w:p w14:paraId="1B20A4B8">
            <w:pPr>
              <w:pStyle w:val="4"/>
            </w:pPr>
            <w:r>
              <w:rPr>
                <w:rFonts w:hint="eastAsia"/>
              </w:rPr>
              <w:t>名  称</w:t>
            </w:r>
          </w:p>
        </w:tc>
        <w:tc>
          <w:tcPr>
            <w:tcW w:w="5379" w:type="dxa"/>
            <w:tcBorders>
              <w:top w:val="single" w:color="auto" w:sz="12" w:space="0"/>
              <w:right w:val="single" w:color="auto" w:sz="12" w:space="0"/>
            </w:tcBorders>
            <w:vAlign w:val="center"/>
          </w:tcPr>
          <w:p w14:paraId="44276CAA">
            <w:pPr>
              <w:pStyle w:val="4"/>
            </w:pPr>
            <w:r>
              <w:rPr>
                <w:rFonts w:hint="eastAsia"/>
              </w:rPr>
              <w:t>主要技术指标要求</w:t>
            </w:r>
          </w:p>
        </w:tc>
      </w:tr>
      <w:tr w14:paraId="559B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top w:val="single" w:color="auto" w:sz="12" w:space="0"/>
              <w:left w:val="single" w:color="auto" w:sz="12" w:space="0"/>
            </w:tcBorders>
            <w:vAlign w:val="center"/>
          </w:tcPr>
          <w:p w14:paraId="374777B3">
            <w:pPr>
              <w:pStyle w:val="4"/>
            </w:pPr>
            <w:r>
              <w:rPr>
                <w:rFonts w:hint="eastAsia"/>
              </w:rPr>
              <w:t>1</w:t>
            </w:r>
          </w:p>
        </w:tc>
        <w:tc>
          <w:tcPr>
            <w:tcW w:w="2121" w:type="dxa"/>
            <w:tcBorders>
              <w:top w:val="single" w:color="auto" w:sz="12" w:space="0"/>
            </w:tcBorders>
            <w:vAlign w:val="center"/>
          </w:tcPr>
          <w:p w14:paraId="6E77DC28">
            <w:pPr>
              <w:pStyle w:val="4"/>
            </w:pPr>
            <w:r>
              <w:rPr>
                <w:rFonts w:hint="eastAsia"/>
              </w:rPr>
              <w:t>机箱结构</w:t>
            </w:r>
          </w:p>
        </w:tc>
        <w:tc>
          <w:tcPr>
            <w:tcW w:w="5379" w:type="dxa"/>
            <w:tcBorders>
              <w:top w:val="single" w:color="auto" w:sz="12" w:space="0"/>
              <w:right w:val="single" w:color="auto" w:sz="12" w:space="0"/>
            </w:tcBorders>
            <w:vAlign w:val="center"/>
          </w:tcPr>
          <w:p w14:paraId="74F9B314">
            <w:pPr>
              <w:pStyle w:val="4"/>
            </w:pPr>
            <w:r>
              <w:rPr>
                <w:rFonts w:hint="eastAsia"/>
              </w:rPr>
              <w:t>主控引擎与交换网板物理分离；主控引擎≥2；独立交换网板≥4；整机业务板槽位数≥8；冗余风扇设计，机箱散热要求满足机房环境要求，提供设备散热气流流向截图</w:t>
            </w:r>
          </w:p>
        </w:tc>
      </w:tr>
      <w:tr w14:paraId="0B8A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5E44D1F8">
            <w:pPr>
              <w:pStyle w:val="4"/>
            </w:pPr>
            <w:r>
              <w:rPr>
                <w:rFonts w:hint="eastAsia"/>
              </w:rPr>
              <w:t>2</w:t>
            </w:r>
          </w:p>
        </w:tc>
        <w:tc>
          <w:tcPr>
            <w:tcW w:w="2121" w:type="dxa"/>
            <w:vAlign w:val="center"/>
          </w:tcPr>
          <w:p w14:paraId="7E1FE380">
            <w:pPr>
              <w:pStyle w:val="4"/>
            </w:pPr>
            <w:r>
              <w:rPr>
                <w:rFonts w:hint="eastAsia"/>
              </w:rPr>
              <w:t>端口配置</w:t>
            </w:r>
          </w:p>
        </w:tc>
        <w:tc>
          <w:tcPr>
            <w:tcW w:w="5379" w:type="dxa"/>
            <w:tcBorders>
              <w:right w:val="single" w:color="auto" w:sz="12" w:space="0"/>
            </w:tcBorders>
            <w:vAlign w:val="center"/>
          </w:tcPr>
          <w:p w14:paraId="14E0A773">
            <w:pPr>
              <w:pStyle w:val="4"/>
            </w:pPr>
            <w:r>
              <w:rPr>
                <w:rFonts w:hint="eastAsia"/>
              </w:rPr>
              <w:t>24个10/100/1000M电口, 36个GE光口（含光模块），12个10GE光口（含模块）以上所配光模块数量，投标方应根据实际需求情况配置，具体在设计联络阶段确定</w:t>
            </w:r>
          </w:p>
        </w:tc>
      </w:tr>
      <w:tr w14:paraId="0C4A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2CA34028">
            <w:pPr>
              <w:pStyle w:val="4"/>
            </w:pPr>
            <w:r>
              <w:rPr>
                <w:rFonts w:hint="eastAsia"/>
              </w:rPr>
              <w:t>3</w:t>
            </w:r>
          </w:p>
        </w:tc>
        <w:tc>
          <w:tcPr>
            <w:tcW w:w="2121" w:type="dxa"/>
          </w:tcPr>
          <w:p w14:paraId="656101CF">
            <w:pPr>
              <w:pStyle w:val="4"/>
            </w:pPr>
            <w:r>
              <w:rPr>
                <w:rFonts w:hint="eastAsia"/>
              </w:rPr>
              <w:t>可靠性</w:t>
            </w:r>
          </w:p>
        </w:tc>
        <w:tc>
          <w:tcPr>
            <w:tcW w:w="5379" w:type="dxa"/>
            <w:tcBorders>
              <w:right w:val="single" w:color="auto" w:sz="12" w:space="0"/>
            </w:tcBorders>
            <w:vAlign w:val="center"/>
          </w:tcPr>
          <w:p w14:paraId="55D8B1B6">
            <w:pPr>
              <w:pStyle w:val="4"/>
            </w:pPr>
            <w:r>
              <w:rPr>
                <w:rFonts w:hint="eastAsia"/>
              </w:rPr>
              <w:t>控制、电源、风扇等关键部件1+1冗余配置，能集中监控板卡、风扇、电源、环境</w:t>
            </w:r>
          </w:p>
        </w:tc>
      </w:tr>
      <w:tr w14:paraId="7B82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5E95F020">
            <w:pPr>
              <w:pStyle w:val="4"/>
            </w:pPr>
            <w:r>
              <w:rPr>
                <w:rFonts w:hint="eastAsia"/>
              </w:rPr>
              <w:t>4</w:t>
            </w:r>
          </w:p>
        </w:tc>
        <w:tc>
          <w:tcPr>
            <w:tcW w:w="2121" w:type="dxa"/>
            <w:vAlign w:val="center"/>
          </w:tcPr>
          <w:p w14:paraId="48FDBA60">
            <w:pPr>
              <w:pStyle w:val="4"/>
            </w:pPr>
            <w:r>
              <w:rPr>
                <w:rFonts w:hint="eastAsia"/>
              </w:rPr>
              <w:t>交换容量</w:t>
            </w:r>
          </w:p>
        </w:tc>
        <w:tc>
          <w:tcPr>
            <w:tcW w:w="5379" w:type="dxa"/>
            <w:tcBorders>
              <w:right w:val="single" w:color="auto" w:sz="12" w:space="0"/>
            </w:tcBorders>
            <w:vAlign w:val="center"/>
          </w:tcPr>
          <w:p w14:paraId="302853A2">
            <w:pPr>
              <w:pStyle w:val="4"/>
            </w:pPr>
            <w:r>
              <w:rPr>
                <w:rFonts w:hint="eastAsia"/>
              </w:rPr>
              <w:t>≥30Tbps</w:t>
            </w:r>
          </w:p>
        </w:tc>
      </w:tr>
      <w:tr w14:paraId="39F8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4B96C830">
            <w:pPr>
              <w:pStyle w:val="4"/>
            </w:pPr>
            <w:r>
              <w:rPr>
                <w:rFonts w:hint="eastAsia"/>
              </w:rPr>
              <w:t>5</w:t>
            </w:r>
          </w:p>
        </w:tc>
        <w:tc>
          <w:tcPr>
            <w:tcW w:w="2121" w:type="dxa"/>
            <w:vAlign w:val="center"/>
          </w:tcPr>
          <w:p w14:paraId="7CE5668A">
            <w:pPr>
              <w:pStyle w:val="4"/>
            </w:pPr>
            <w:r>
              <w:rPr>
                <w:rFonts w:hint="eastAsia"/>
              </w:rPr>
              <w:t>包转发率</w:t>
            </w:r>
          </w:p>
        </w:tc>
        <w:tc>
          <w:tcPr>
            <w:tcW w:w="5379" w:type="dxa"/>
            <w:tcBorders>
              <w:right w:val="single" w:color="auto" w:sz="12" w:space="0"/>
            </w:tcBorders>
            <w:vAlign w:val="center"/>
          </w:tcPr>
          <w:p w14:paraId="0A4485DC">
            <w:pPr>
              <w:pStyle w:val="4"/>
            </w:pPr>
            <w:r>
              <w:rPr>
                <w:rFonts w:hint="eastAsia"/>
              </w:rPr>
              <w:t>≥5000Mpps</w:t>
            </w:r>
          </w:p>
        </w:tc>
      </w:tr>
      <w:tr w14:paraId="3102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207E8CCD">
            <w:pPr>
              <w:pStyle w:val="4"/>
            </w:pPr>
            <w:r>
              <w:rPr>
                <w:rFonts w:hint="eastAsia"/>
              </w:rPr>
              <w:t>6</w:t>
            </w:r>
          </w:p>
        </w:tc>
        <w:tc>
          <w:tcPr>
            <w:tcW w:w="2121" w:type="dxa"/>
            <w:vAlign w:val="center"/>
          </w:tcPr>
          <w:p w14:paraId="6478BEA7">
            <w:pPr>
              <w:pStyle w:val="4"/>
            </w:pPr>
            <w:r>
              <w:rPr>
                <w:rFonts w:hint="eastAsia"/>
              </w:rPr>
              <w:t>VLAN数目</w:t>
            </w:r>
          </w:p>
        </w:tc>
        <w:tc>
          <w:tcPr>
            <w:tcW w:w="5379" w:type="dxa"/>
            <w:tcBorders>
              <w:right w:val="single" w:color="auto" w:sz="12" w:space="0"/>
            </w:tcBorders>
            <w:vAlign w:val="center"/>
          </w:tcPr>
          <w:p w14:paraId="3A0DD15F">
            <w:pPr>
              <w:pStyle w:val="4"/>
            </w:pPr>
            <w:r>
              <w:rPr>
                <w:rFonts w:hint="eastAsia"/>
              </w:rPr>
              <w:t>支持802.1D、802.1s、802.1w、802.1Q、802.3ad；支持基于端口的VLAN数：≥4K；</w:t>
            </w:r>
          </w:p>
        </w:tc>
      </w:tr>
      <w:tr w14:paraId="76DD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bottom w:val="single" w:color="auto" w:sz="4" w:space="0"/>
            </w:tcBorders>
            <w:vAlign w:val="center"/>
          </w:tcPr>
          <w:p w14:paraId="56A876EF">
            <w:pPr>
              <w:pStyle w:val="4"/>
            </w:pPr>
            <w:r>
              <w:rPr>
                <w:rFonts w:hint="eastAsia"/>
              </w:rPr>
              <w:t>7</w:t>
            </w:r>
          </w:p>
        </w:tc>
        <w:tc>
          <w:tcPr>
            <w:tcW w:w="2121" w:type="dxa"/>
            <w:tcBorders>
              <w:bottom w:val="single" w:color="auto" w:sz="4" w:space="0"/>
            </w:tcBorders>
            <w:vAlign w:val="center"/>
          </w:tcPr>
          <w:p w14:paraId="500D14CF">
            <w:pPr>
              <w:pStyle w:val="4"/>
            </w:pPr>
            <w:r>
              <w:rPr>
                <w:rFonts w:hint="eastAsia"/>
              </w:rPr>
              <w:t>组播功能</w:t>
            </w:r>
          </w:p>
        </w:tc>
        <w:tc>
          <w:tcPr>
            <w:tcW w:w="5379" w:type="dxa"/>
            <w:tcBorders>
              <w:bottom w:val="single" w:color="auto" w:sz="4" w:space="0"/>
              <w:right w:val="single" w:color="auto" w:sz="12" w:space="0"/>
            </w:tcBorders>
            <w:vAlign w:val="center"/>
          </w:tcPr>
          <w:p w14:paraId="3EEE5AAE">
            <w:pPr>
              <w:pStyle w:val="4"/>
            </w:pPr>
            <w:r>
              <w:rPr>
                <w:rFonts w:hint="eastAsia"/>
              </w:rPr>
              <w:t>支持支持IGMP SNOOPING协议、PIM SM</w:t>
            </w:r>
          </w:p>
        </w:tc>
      </w:tr>
      <w:tr w14:paraId="4775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bottom w:val="single" w:color="auto" w:sz="4" w:space="0"/>
            </w:tcBorders>
            <w:vAlign w:val="center"/>
          </w:tcPr>
          <w:p w14:paraId="06A3DD8E">
            <w:pPr>
              <w:pStyle w:val="4"/>
            </w:pPr>
            <w:r>
              <w:rPr>
                <w:rFonts w:hint="eastAsia"/>
              </w:rPr>
              <w:t>8</w:t>
            </w:r>
          </w:p>
        </w:tc>
        <w:tc>
          <w:tcPr>
            <w:tcW w:w="2121" w:type="dxa"/>
            <w:tcBorders>
              <w:bottom w:val="single" w:color="auto" w:sz="4" w:space="0"/>
            </w:tcBorders>
            <w:vAlign w:val="center"/>
          </w:tcPr>
          <w:p w14:paraId="7613CADE">
            <w:pPr>
              <w:pStyle w:val="4"/>
            </w:pPr>
            <w:r>
              <w:rPr>
                <w:rFonts w:hint="eastAsia"/>
              </w:rPr>
              <w:t>路由功能</w:t>
            </w:r>
          </w:p>
        </w:tc>
        <w:tc>
          <w:tcPr>
            <w:tcW w:w="5379" w:type="dxa"/>
            <w:tcBorders>
              <w:bottom w:val="single" w:color="auto" w:sz="4" w:space="0"/>
              <w:right w:val="single" w:color="auto" w:sz="12" w:space="0"/>
            </w:tcBorders>
            <w:vAlign w:val="center"/>
          </w:tcPr>
          <w:p w14:paraId="12D19475">
            <w:pPr>
              <w:pStyle w:val="4"/>
            </w:pPr>
            <w:r>
              <w:rPr>
                <w:rFonts w:hint="eastAsia"/>
              </w:rPr>
              <w:t>支持RIP、RIP2、OSPF等</w:t>
            </w:r>
          </w:p>
        </w:tc>
      </w:tr>
      <w:tr w14:paraId="5B9F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2644BCE1">
            <w:pPr>
              <w:pStyle w:val="4"/>
            </w:pPr>
            <w:r>
              <w:rPr>
                <w:rFonts w:hint="eastAsia"/>
              </w:rPr>
              <w:t>9</w:t>
            </w:r>
          </w:p>
        </w:tc>
        <w:tc>
          <w:tcPr>
            <w:tcW w:w="2121" w:type="dxa"/>
            <w:vAlign w:val="center"/>
          </w:tcPr>
          <w:p w14:paraId="6658C66D">
            <w:pPr>
              <w:pStyle w:val="4"/>
            </w:pPr>
            <w:r>
              <w:rPr>
                <w:rFonts w:hint="eastAsia"/>
              </w:rPr>
              <w:t>镜像功能</w:t>
            </w:r>
          </w:p>
        </w:tc>
        <w:tc>
          <w:tcPr>
            <w:tcW w:w="5379" w:type="dxa"/>
            <w:tcBorders>
              <w:right w:val="single" w:color="auto" w:sz="12" w:space="0"/>
            </w:tcBorders>
            <w:vAlign w:val="center"/>
          </w:tcPr>
          <w:p w14:paraId="01D16436">
            <w:pPr>
              <w:pStyle w:val="4"/>
            </w:pPr>
            <w:r>
              <w:rPr>
                <w:rFonts w:hint="eastAsia"/>
              </w:rPr>
              <w:t>支持本交换机的流量镜像。</w:t>
            </w:r>
          </w:p>
        </w:tc>
      </w:tr>
      <w:tr w14:paraId="27B1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0D878E29">
            <w:pPr>
              <w:pStyle w:val="4"/>
            </w:pPr>
            <w:r>
              <w:rPr>
                <w:rFonts w:hint="eastAsia"/>
              </w:rPr>
              <w:t>10</w:t>
            </w:r>
          </w:p>
        </w:tc>
        <w:tc>
          <w:tcPr>
            <w:tcW w:w="2121" w:type="dxa"/>
            <w:vAlign w:val="center"/>
          </w:tcPr>
          <w:p w14:paraId="125B8823">
            <w:pPr>
              <w:pStyle w:val="4"/>
            </w:pPr>
            <w:r>
              <w:rPr>
                <w:rFonts w:hint="eastAsia"/>
              </w:rPr>
              <w:t>管理功能</w:t>
            </w:r>
          </w:p>
        </w:tc>
        <w:tc>
          <w:tcPr>
            <w:tcW w:w="5379" w:type="dxa"/>
            <w:tcBorders>
              <w:right w:val="single" w:color="auto" w:sz="12" w:space="0"/>
            </w:tcBorders>
            <w:vAlign w:val="center"/>
          </w:tcPr>
          <w:p w14:paraId="44C2A7CF">
            <w:pPr>
              <w:pStyle w:val="4"/>
            </w:pPr>
            <w:r>
              <w:rPr>
                <w:rFonts w:hint="eastAsia"/>
              </w:rPr>
              <w:t>支持SNMP、RMON，Web网管、系统日志、远程及命令配置等管理。</w:t>
            </w:r>
          </w:p>
        </w:tc>
      </w:tr>
      <w:tr w14:paraId="38C0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22D51C2C">
            <w:pPr>
              <w:pStyle w:val="4"/>
            </w:pPr>
            <w:r>
              <w:rPr>
                <w:rFonts w:hint="eastAsia"/>
              </w:rPr>
              <w:t>11</w:t>
            </w:r>
          </w:p>
        </w:tc>
        <w:tc>
          <w:tcPr>
            <w:tcW w:w="2121" w:type="dxa"/>
            <w:vAlign w:val="center"/>
          </w:tcPr>
          <w:p w14:paraId="3B178A8F">
            <w:pPr>
              <w:pStyle w:val="4"/>
            </w:pPr>
            <w:r>
              <w:rPr>
                <w:rFonts w:hint="eastAsia"/>
              </w:rPr>
              <w:t>QoS</w:t>
            </w:r>
          </w:p>
        </w:tc>
        <w:tc>
          <w:tcPr>
            <w:tcW w:w="5379" w:type="dxa"/>
            <w:tcBorders>
              <w:right w:val="single" w:color="auto" w:sz="12" w:space="0"/>
            </w:tcBorders>
            <w:vAlign w:val="center"/>
          </w:tcPr>
          <w:p w14:paraId="53391F20">
            <w:pPr>
              <w:pStyle w:val="4"/>
            </w:pPr>
            <w:r>
              <w:rPr>
                <w:rFonts w:hint="eastAsia"/>
              </w:rPr>
              <w:t>支持802.1p/DSCP优先级；支持层次化QoS；支持队列调度机制，包括SP、WRR等；支持拥塞避免机制，包括WRED等</w:t>
            </w:r>
          </w:p>
        </w:tc>
      </w:tr>
      <w:tr w14:paraId="16D8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3" w:type="dxa"/>
            <w:tcBorders>
              <w:left w:val="single" w:color="auto" w:sz="12" w:space="0"/>
            </w:tcBorders>
            <w:vAlign w:val="center"/>
          </w:tcPr>
          <w:p w14:paraId="5ADE97AD">
            <w:pPr>
              <w:pStyle w:val="4"/>
            </w:pPr>
            <w:r>
              <w:rPr>
                <w:rFonts w:hint="eastAsia"/>
              </w:rPr>
              <w:t>12</w:t>
            </w:r>
          </w:p>
        </w:tc>
        <w:tc>
          <w:tcPr>
            <w:tcW w:w="2121" w:type="dxa"/>
            <w:vAlign w:val="center"/>
          </w:tcPr>
          <w:p w14:paraId="3D99D4A8">
            <w:pPr>
              <w:pStyle w:val="4"/>
            </w:pPr>
            <w:r>
              <w:rPr>
                <w:rFonts w:hint="eastAsia"/>
              </w:rPr>
              <w:t>IP 广播、组播控制</w:t>
            </w:r>
          </w:p>
        </w:tc>
        <w:tc>
          <w:tcPr>
            <w:tcW w:w="5379" w:type="dxa"/>
            <w:tcBorders>
              <w:right w:val="single" w:color="auto" w:sz="12" w:space="0"/>
            </w:tcBorders>
            <w:vAlign w:val="center"/>
          </w:tcPr>
          <w:p w14:paraId="298CB3B8">
            <w:pPr>
              <w:pStyle w:val="4"/>
            </w:pPr>
            <w:r>
              <w:rPr>
                <w:rFonts w:hint="eastAsia"/>
              </w:rPr>
              <w:t>支持IGMPSNOOPING协议，PIM SM，DVMRP，GMRP</w:t>
            </w:r>
          </w:p>
        </w:tc>
      </w:tr>
    </w:tbl>
    <w:p w14:paraId="122C1E56">
      <w:pPr>
        <w:adjustRightInd w:val="0"/>
        <w:snapToGrid w:val="0"/>
        <w:spacing w:after="0" w:line="360" w:lineRule="auto"/>
        <w:ind w:firstLine="480" w:firstLineChars="200"/>
        <w:rPr>
          <w:rFonts w:hint="eastAsia" w:ascii="宋体" w:hAnsi="宋体" w:cs="宋体"/>
          <w:kern w:val="0"/>
          <w:sz w:val="24"/>
          <w:szCs w:val="24"/>
        </w:rPr>
      </w:pPr>
    </w:p>
    <w:p w14:paraId="622F4620">
      <w:pPr>
        <w:adjustRightInd w:val="0"/>
        <w:snapToGrid w:val="0"/>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5、技术部分： 1、《招标文件修订-4号三公安》P290页，（三.视频监视系统+2.3主要设备的技术要求，2.3.3拾音器） 招标原文：1）数字拾音器主要技术指标不得低于以下要求（不限于此）：（1）类型：室内型全向型拾音器；（15）指向特性：20 度~120 度连续可调指向性；（17）指向特性：全指向性；。 </w:t>
      </w:r>
      <w:r>
        <w:rPr>
          <w:rFonts w:hint="eastAsia" w:ascii="宋体" w:hAnsi="宋体" w:cs="宋体"/>
          <w:b/>
          <w:bCs/>
          <w:kern w:val="0"/>
          <w:sz w:val="24"/>
          <w:szCs w:val="24"/>
        </w:rPr>
        <w:t>请澄清：</w:t>
      </w:r>
      <w:r>
        <w:rPr>
          <w:rFonts w:hint="eastAsia" w:ascii="宋体" w:hAnsi="宋体" w:cs="宋体"/>
          <w:kern w:val="0"/>
          <w:sz w:val="24"/>
          <w:szCs w:val="24"/>
        </w:rPr>
        <w:t xml:space="preserve">根据“安防拾音器通用技术要求GAT 175B-2020”中对指向性的分类，满足（15）指向特性：20度~120 度连续可调指向性，则拾音器是超指向或超心形指向；那么就无法满足（17）指向特性：全指向性。 故（15）指向特性与（17）指向特性描述冲突，建议取消（15）指向特性有关描述。 2、《招标文件修订-4号三公安》P245页，2.7漏泄同轴电缆的要求 招标原文：漏泄同轴电缆在隧道区间（除圆形盾构隧道区间）沿隧道壁挂设，每隔1米安装一个由漏泄电缆供货商提供的配套固定吊夹，每隔10米应配置1个防火固定吊夹；圆形盾构隧道区间根据区间隧道专业预埋套筒（含配套螺栓）固定漏缆，需设计并提供相应卡具，预埋套筒每1.2米一处，每隔1.2米配置1个固定卡具，每9.6米设置一个防火卡具。 </w:t>
      </w:r>
      <w:r>
        <w:rPr>
          <w:rFonts w:hint="eastAsia" w:ascii="宋体" w:hAnsi="宋体" w:cs="宋体"/>
          <w:b/>
          <w:bCs/>
          <w:kern w:val="0"/>
          <w:sz w:val="24"/>
          <w:szCs w:val="24"/>
        </w:rPr>
        <w:t>请澄清：</w:t>
      </w:r>
      <w:r>
        <w:rPr>
          <w:rFonts w:hint="eastAsia" w:ascii="宋体" w:hAnsi="宋体" w:cs="宋体"/>
          <w:kern w:val="0"/>
          <w:sz w:val="24"/>
          <w:szCs w:val="24"/>
        </w:rPr>
        <w:t>圆形盾构隧道区间根据区间隧道专业预埋套筒（含配套螺栓）固定漏缆，含配套螺栓是否由投标人提供螺栓，如是请明确螺栓的规格、尺寸、材质。 3、</w:t>
      </w:r>
      <w:bookmarkStart w:id="0" w:name="_Hlk207192591"/>
      <w:r>
        <w:rPr>
          <w:rFonts w:hint="eastAsia" w:ascii="宋体" w:hAnsi="宋体" w:cs="宋体"/>
          <w:kern w:val="0"/>
          <w:sz w:val="24"/>
          <w:szCs w:val="24"/>
        </w:rPr>
        <w:t>《招标文件修订-4号三公安》P386页，1.1.1日志审计系统设备 招标原文：1）性能要求：SQL流量吞吐≥500Mb/秒；业务流量吞吐≥2Gb/秒；SQL语句吞吐≥20000条/秒；数据库实例：5-10个；入库量≥10000条/秒； 2）硬件要求：内存≥16G；硬盘≥2T；千兆光口≥4个；千兆电口≥8个，USB host接口≥2个，Console口≥1个，扩展槽≥2个； …… 16)三权分立：提供管理员权限设置和分权管理，提供三权分立功能，系统可以对使用人员的操作进行审计记录，可以由审计员进行查询，具有自身安全审计功能。</w:t>
      </w:r>
      <w:bookmarkEnd w:id="0"/>
      <w:r>
        <w:rPr>
          <w:rFonts w:hint="eastAsia" w:ascii="宋体" w:hAnsi="宋体" w:cs="宋体"/>
          <w:kern w:val="0"/>
          <w:sz w:val="24"/>
          <w:szCs w:val="24"/>
        </w:rPr>
        <w:t xml:space="preserve"> </w:t>
      </w:r>
      <w:r>
        <w:rPr>
          <w:rFonts w:hint="eastAsia" w:ascii="宋体" w:hAnsi="宋体" w:cs="宋体"/>
          <w:b/>
          <w:bCs/>
          <w:kern w:val="0"/>
          <w:sz w:val="24"/>
          <w:szCs w:val="24"/>
        </w:rPr>
        <w:t>请澄清：</w:t>
      </w:r>
      <w:r>
        <w:rPr>
          <w:rFonts w:hint="eastAsia" w:ascii="宋体" w:hAnsi="宋体" w:cs="宋体"/>
          <w:kern w:val="0"/>
          <w:sz w:val="24"/>
          <w:szCs w:val="24"/>
        </w:rPr>
        <w:t>日志审计系统设备的指标要求与“1.2.3数据库审计系统”相同，并非是日志审计系统设备的常规要求，请明确日志审计系统设备的指标要求。</w:t>
      </w:r>
    </w:p>
    <w:p w14:paraId="1A5DDE95">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答：1、删除“</w:t>
      </w:r>
      <w:r>
        <w:rPr>
          <w:rFonts w:hint="eastAsia" w:ascii="宋体" w:hAnsi="宋体" w:cs="宋体"/>
          <w:kern w:val="0"/>
          <w:sz w:val="24"/>
          <w:szCs w:val="24"/>
        </w:rPr>
        <w:t>（15）指向特性：20 度~120 度连续可调指向性；</w:t>
      </w:r>
      <w:r>
        <w:rPr>
          <w:rFonts w:hint="eastAsia" w:ascii="宋体" w:hAnsi="宋体" w:cs="宋体"/>
          <w:b/>
          <w:bCs/>
          <w:kern w:val="0"/>
          <w:sz w:val="24"/>
          <w:szCs w:val="24"/>
        </w:rPr>
        <w:t>”的要求。</w:t>
      </w:r>
    </w:p>
    <w:p w14:paraId="57F724F6">
      <w:pPr>
        <w:adjustRightInd w:val="0"/>
        <w:snapToGrid w:val="0"/>
        <w:spacing w:after="0" w:line="360" w:lineRule="auto"/>
        <w:ind w:firstLine="482" w:firstLineChars="200"/>
        <w:rPr>
          <w:rFonts w:hint="eastAsia" w:ascii="宋体" w:hAnsi="宋体" w:cs="宋体"/>
          <w:b/>
          <w:bCs/>
          <w:color w:val="000000"/>
          <w:kern w:val="0"/>
          <w:sz w:val="24"/>
          <w:lang w:bidi="ar"/>
        </w:rPr>
      </w:pPr>
      <w:r>
        <w:rPr>
          <w:rFonts w:hint="eastAsia" w:ascii="宋体" w:hAnsi="宋体" w:cs="宋体"/>
          <w:b/>
          <w:bCs/>
          <w:kern w:val="0"/>
          <w:sz w:val="24"/>
          <w:szCs w:val="24"/>
        </w:rPr>
        <w:t>2、</w:t>
      </w:r>
      <w:r>
        <w:rPr>
          <w:rFonts w:hint="eastAsia" w:ascii="宋体" w:hAnsi="宋体" w:cs="宋体"/>
          <w:b/>
          <w:bCs/>
          <w:color w:val="000000"/>
          <w:kern w:val="0"/>
          <w:sz w:val="24"/>
          <w:lang w:bidi="ar"/>
        </w:rPr>
        <w:t>预埋套筒（含配套螺栓）由施工单位提供，本项目投标人提供的漏缆卡具应能与T型螺栓结合固定。</w:t>
      </w:r>
    </w:p>
    <w:p w14:paraId="35C05FF1">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3、修改日志审计系统设备</w:t>
      </w:r>
      <w:r>
        <w:rPr>
          <w:rFonts w:hint="eastAsia" w:ascii="宋体" w:hAnsi="宋体" w:cs="宋体"/>
          <w:b/>
          <w:bCs/>
          <w:kern w:val="0"/>
          <w:sz w:val="24"/>
          <w:szCs w:val="24"/>
          <w:lang w:val="en-US" w:eastAsia="zh-CN"/>
        </w:rPr>
        <w:t>的</w:t>
      </w:r>
      <w:r>
        <w:rPr>
          <w:rFonts w:hint="eastAsia" w:ascii="宋体" w:hAnsi="宋体" w:cs="宋体"/>
          <w:b/>
          <w:bCs/>
          <w:kern w:val="0"/>
          <w:sz w:val="24"/>
          <w:szCs w:val="24"/>
        </w:rPr>
        <w:t>指标</w:t>
      </w:r>
      <w:r>
        <w:rPr>
          <w:rFonts w:hint="eastAsia" w:ascii="宋体" w:hAnsi="宋体" w:cs="宋体"/>
          <w:b/>
          <w:bCs/>
          <w:kern w:val="0"/>
          <w:sz w:val="24"/>
          <w:szCs w:val="24"/>
          <w:lang w:val="en-US" w:eastAsia="zh-CN"/>
        </w:rPr>
        <w:t>要求</w:t>
      </w:r>
      <w:r>
        <w:rPr>
          <w:rFonts w:hint="eastAsia" w:ascii="宋体" w:hAnsi="宋体" w:cs="宋体"/>
          <w:b/>
          <w:bCs/>
          <w:kern w:val="0"/>
          <w:sz w:val="24"/>
          <w:szCs w:val="24"/>
        </w:rPr>
        <w:t>，详见</w:t>
      </w:r>
      <w:r>
        <w:rPr>
          <w:rFonts w:hint="eastAsia" w:ascii="宋体" w:hAnsi="宋体" w:cs="宋体"/>
          <w:b/>
          <w:bCs/>
          <w:kern w:val="0"/>
          <w:sz w:val="24"/>
          <w:szCs w:val="24"/>
          <w:lang w:eastAsia="zh-CN"/>
        </w:rPr>
        <w:t>“</w:t>
      </w:r>
      <w:r>
        <w:rPr>
          <w:rFonts w:hint="eastAsia" w:ascii="宋体" w:hAnsi="宋体" w:cs="宋体"/>
          <w:b/>
          <w:bCs/>
          <w:kern w:val="0"/>
          <w:sz w:val="24"/>
          <w:szCs w:val="24"/>
        </w:rPr>
        <w:t>第二部分</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澄清与修改</w:t>
      </w:r>
      <w:r>
        <w:rPr>
          <w:rFonts w:hint="eastAsia" w:ascii="宋体" w:hAnsi="宋体" w:cs="宋体"/>
          <w:b/>
          <w:bCs/>
          <w:kern w:val="0"/>
          <w:sz w:val="24"/>
          <w:szCs w:val="24"/>
          <w:lang w:eastAsia="zh-CN"/>
        </w:rPr>
        <w:t>”</w:t>
      </w:r>
      <w:r>
        <w:rPr>
          <w:rFonts w:hint="eastAsia" w:ascii="宋体" w:hAnsi="宋体" w:cs="宋体"/>
          <w:b/>
          <w:bCs/>
          <w:kern w:val="0"/>
          <w:sz w:val="24"/>
          <w:szCs w:val="24"/>
        </w:rPr>
        <w:t>第5条。</w:t>
      </w:r>
    </w:p>
    <w:p w14:paraId="04A0FD95">
      <w:pPr>
        <w:adjustRightInd w:val="0"/>
        <w:snapToGrid w:val="0"/>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6、4、《招标文件修订-4号三公安》P319页， 2.2 系统构成要求 招标原文：2.2.2 在公安分局扩容 4 号线一期工程既有编播分中心线路平台（含媒体服务器、交换机、系统软件等）、编播工作站，用于信息的发布和管理，并通过公安通信传输系统接入线网中心媒体服务器。 </w:t>
      </w:r>
      <w:r>
        <w:rPr>
          <w:rFonts w:hint="eastAsia" w:ascii="宋体" w:hAnsi="宋体" w:cs="宋体"/>
          <w:b/>
          <w:bCs/>
          <w:kern w:val="0"/>
          <w:sz w:val="24"/>
          <w:szCs w:val="24"/>
        </w:rPr>
        <w:t>请澄清：</w:t>
      </w:r>
      <w:r>
        <w:rPr>
          <w:rFonts w:hint="eastAsia" w:ascii="宋体" w:hAnsi="宋体" w:cs="宋体"/>
          <w:kern w:val="0"/>
          <w:sz w:val="24"/>
          <w:szCs w:val="24"/>
        </w:rPr>
        <w:t>构成描述要求扩容4号线一期的LCD显示系统，但是P409页LCD显示系统清单中只列出接入线网平台，</w:t>
      </w:r>
      <w:r>
        <w:rPr>
          <w:rFonts w:hint="eastAsia" w:ascii="宋体" w:hAnsi="宋体" w:cs="宋体"/>
          <w:b/>
          <w:bCs/>
          <w:kern w:val="0"/>
          <w:sz w:val="24"/>
          <w:szCs w:val="24"/>
        </w:rPr>
        <w:t>请明确：</w:t>
      </w:r>
      <w:r>
        <w:rPr>
          <w:rFonts w:hint="eastAsia" w:ascii="宋体" w:hAnsi="宋体" w:cs="宋体"/>
          <w:kern w:val="0"/>
          <w:sz w:val="24"/>
          <w:szCs w:val="24"/>
        </w:rPr>
        <w:t xml:space="preserve">本次工程是直接接入线网，还是需要接入线路后再接入线网？ 5、《招标文件修订-4号三公安》P149页，6、通用要求-6.2工作站、6.3便携式维护终端；P230页，3.1.2网管终端设备要求、3.1.3便携式维护终端。 </w:t>
      </w:r>
      <w:r>
        <w:rPr>
          <w:rFonts w:hint="eastAsia" w:ascii="宋体" w:hAnsi="宋体" w:cs="宋体"/>
          <w:b/>
          <w:bCs/>
          <w:kern w:val="0"/>
          <w:sz w:val="24"/>
          <w:szCs w:val="24"/>
        </w:rPr>
        <w:t>请澄清：</w:t>
      </w:r>
      <w:r>
        <w:rPr>
          <w:rFonts w:hint="eastAsia" w:ascii="宋体" w:hAnsi="宋体" w:cs="宋体"/>
          <w:kern w:val="0"/>
          <w:sz w:val="24"/>
          <w:szCs w:val="24"/>
        </w:rPr>
        <w:t xml:space="preserve">两处都有工作站及便携是维护终端要求，请明确以何处为准。 6、《招标文件修订-4号三公安》P229页，3.1.1网管服务器配置要求 招标原文：（1）处理器类型：Intel 至强可扩展第 4 代 Gold 系列，单颗≥18 核；（3）处理器数量配置4个；（15）操作系统：配备正版 64 位中文 Windows 2022 Server 专业版及视频处理等软件，序列号等凭证要齐全对应。。 </w:t>
      </w:r>
      <w:r>
        <w:rPr>
          <w:rFonts w:hint="eastAsia" w:ascii="宋体" w:hAnsi="宋体" w:cs="宋体"/>
          <w:b/>
          <w:bCs/>
          <w:kern w:val="0"/>
          <w:sz w:val="24"/>
          <w:szCs w:val="24"/>
        </w:rPr>
        <w:t>请澄清：</w:t>
      </w:r>
      <w:r>
        <w:rPr>
          <w:rFonts w:hint="eastAsia" w:ascii="宋体" w:hAnsi="宋体" w:cs="宋体"/>
          <w:kern w:val="0"/>
          <w:sz w:val="24"/>
          <w:szCs w:val="24"/>
        </w:rPr>
        <w:t xml:space="preserve">此处网管服务器的配置要求为视频服务器/视频管理服务器配置要求，建议网管服务器配置要求同视频网管服务器保持一致。 7、《招标文件修订-4号三公安》P298页，2.3.8终端设备-2）图形工作站 招标原文：2）图形工作站设置于分局监控中心 </w:t>
      </w:r>
      <w:r>
        <w:rPr>
          <w:rFonts w:hint="eastAsia" w:ascii="宋体" w:hAnsi="宋体" w:cs="宋体"/>
          <w:b/>
          <w:bCs/>
          <w:kern w:val="0"/>
          <w:sz w:val="24"/>
          <w:szCs w:val="24"/>
        </w:rPr>
        <w:t>请澄清：</w:t>
      </w:r>
      <w:r>
        <w:rPr>
          <w:rFonts w:hint="eastAsia" w:ascii="宋体" w:hAnsi="宋体" w:cs="宋体"/>
          <w:kern w:val="0"/>
          <w:sz w:val="24"/>
          <w:szCs w:val="24"/>
        </w:rPr>
        <w:t>供货清单中公安分局无图形工作站开项，请明确是否需要提供图形工作站。</w:t>
      </w:r>
    </w:p>
    <w:p w14:paraId="1C1DA86B">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w:t>
      </w:r>
      <w:r>
        <w:rPr>
          <w:rFonts w:hint="eastAsia" w:ascii="宋体" w:hAnsi="宋体" w:cs="宋体"/>
          <w:b/>
          <w:bCs/>
          <w:kern w:val="0"/>
          <w:sz w:val="24"/>
          <w:szCs w:val="24"/>
          <w:lang w:val="en-US" w:eastAsia="zh-CN"/>
        </w:rPr>
        <w:t>问题4：</w:t>
      </w:r>
      <w:r>
        <w:rPr>
          <w:rFonts w:hint="eastAsia" w:ascii="宋体" w:hAnsi="宋体" w:cs="宋体"/>
          <w:b/>
          <w:bCs/>
          <w:kern w:val="0"/>
          <w:sz w:val="24"/>
          <w:szCs w:val="24"/>
        </w:rPr>
        <w:t>以主要设备及材料数量表为准</w:t>
      </w:r>
      <w:r>
        <w:rPr>
          <w:rFonts w:hint="eastAsia" w:ascii="宋体" w:hAnsi="宋体" w:cs="宋体"/>
          <w:b/>
          <w:bCs/>
          <w:kern w:val="0"/>
          <w:sz w:val="24"/>
          <w:szCs w:val="24"/>
          <w:lang w:eastAsia="zh-CN"/>
        </w:rPr>
        <w:t>，</w:t>
      </w:r>
      <w:r>
        <w:rPr>
          <w:rFonts w:hint="eastAsia" w:ascii="宋体" w:hAnsi="宋体" w:cs="宋体"/>
          <w:b/>
          <w:bCs/>
          <w:kern w:val="0"/>
          <w:sz w:val="24"/>
          <w:szCs w:val="24"/>
        </w:rPr>
        <w:t>本次工程直接接入线网。</w:t>
      </w:r>
    </w:p>
    <w:p w14:paraId="5943B7E8">
      <w:pPr>
        <w:adjustRightInd w:val="0"/>
        <w:snapToGrid w:val="0"/>
        <w:spacing w:after="0" w:line="360" w:lineRule="auto"/>
        <w:ind w:firstLine="482" w:firstLineChars="200"/>
        <w:rPr>
          <w:rFonts w:hint="eastAsia" w:ascii="宋体" w:hAnsi="宋体" w:cs="宋体"/>
          <w:b/>
          <w:bCs/>
          <w:sz w:val="24"/>
          <w:szCs w:val="24"/>
        </w:rPr>
      </w:pPr>
      <w:r>
        <w:rPr>
          <w:rFonts w:hint="eastAsia" w:ascii="宋体" w:hAnsi="宋体" w:cs="宋体"/>
          <w:b/>
          <w:bCs/>
          <w:sz w:val="24"/>
          <w:szCs w:val="24"/>
          <w:lang w:val="en-US" w:eastAsia="zh-CN"/>
        </w:rPr>
        <w:t>问题5：</w:t>
      </w:r>
      <w:r>
        <w:rPr>
          <w:rFonts w:hint="eastAsia" w:ascii="宋体" w:hAnsi="宋体" w:cs="宋体"/>
          <w:b/>
          <w:bCs/>
          <w:sz w:val="24"/>
          <w:szCs w:val="24"/>
        </w:rPr>
        <w:t>、招标文件各子系统内未明确参数的网管终端和便携式维护终端以P230页，3.1.2网管终端设备要求、3.1.3便携式维护终端参数指标为准，其余以各子系统内参数为准。</w:t>
      </w:r>
    </w:p>
    <w:p w14:paraId="6FC327C0">
      <w:pPr>
        <w:snapToGrid w:val="0"/>
        <w:spacing w:line="360" w:lineRule="auto"/>
        <w:ind w:firstLine="480"/>
        <w:rPr>
          <w:rFonts w:hint="eastAsia" w:ascii="宋体" w:hAnsi="宋体" w:cs="宋体"/>
          <w:b/>
          <w:bCs/>
          <w:sz w:val="24"/>
          <w:szCs w:val="24"/>
        </w:rPr>
      </w:pPr>
      <w:r>
        <w:rPr>
          <w:rFonts w:hint="eastAsia" w:ascii="宋体" w:hAnsi="宋体" w:cs="宋体"/>
          <w:b/>
          <w:bCs/>
          <w:sz w:val="24"/>
          <w:szCs w:val="24"/>
          <w:highlight w:val="none"/>
          <w:lang w:val="en-US" w:eastAsia="zh-CN"/>
        </w:rPr>
        <w:t>问题6：</w:t>
      </w:r>
      <w:r>
        <w:rPr>
          <w:rFonts w:hint="eastAsia" w:ascii="宋体" w:hAnsi="宋体" w:cs="宋体"/>
          <w:b/>
          <w:bCs/>
          <w:sz w:val="24"/>
          <w:szCs w:val="24"/>
          <w:highlight w:val="none"/>
        </w:rPr>
        <w:t>、</w:t>
      </w:r>
      <w:r>
        <w:rPr>
          <w:rFonts w:hint="eastAsia" w:ascii="宋体" w:hAnsi="宋体" w:cs="宋体"/>
          <w:b/>
          <w:bCs/>
          <w:sz w:val="24"/>
          <w:szCs w:val="24"/>
        </w:rPr>
        <w:t>3.1.1网管服务器配置要求按招标原文</w:t>
      </w:r>
      <w:r>
        <w:rPr>
          <w:rFonts w:hint="eastAsia" w:ascii="宋体" w:hAnsi="宋体" w:cs="宋体"/>
          <w:b/>
          <w:bCs/>
          <w:sz w:val="24"/>
          <w:szCs w:val="24"/>
          <w:lang w:eastAsia="zh-CN"/>
        </w:rPr>
        <w:t>“</w:t>
      </w:r>
      <w:r>
        <w:rPr>
          <w:rFonts w:hint="eastAsia" w:ascii="宋体" w:hAnsi="宋体" w:cs="宋体"/>
          <w:b/>
          <w:bCs/>
          <w:sz w:val="24"/>
          <w:szCs w:val="24"/>
        </w:rPr>
        <w:t>（1）处理器类型：Intel 至强可扩展第 4 代 Gold 系列，单颗≥18 核；（3）处理器数量配置4个；（15）操作系统：配备正版 64 位中文 Windows 2022 Server 专业版及视频处理等软件，序列号等凭证要齐全对应。”执行。</w:t>
      </w:r>
    </w:p>
    <w:p w14:paraId="5FADCBE2">
      <w:pPr>
        <w:adjustRightInd w:val="0"/>
        <w:snapToGrid w:val="0"/>
        <w:spacing w:after="0" w:line="360" w:lineRule="auto"/>
        <w:ind w:firstLine="482" w:firstLineChars="200"/>
        <w:rPr>
          <w:rFonts w:hint="eastAsia" w:ascii="宋体" w:hAnsi="宋体" w:cs="宋体"/>
          <w:b/>
          <w:bCs/>
          <w:sz w:val="24"/>
          <w:szCs w:val="24"/>
        </w:rPr>
      </w:pPr>
      <w:r>
        <w:rPr>
          <w:rFonts w:hint="eastAsia" w:ascii="宋体" w:hAnsi="宋体" w:cs="宋体"/>
          <w:b/>
          <w:bCs/>
          <w:sz w:val="24"/>
          <w:szCs w:val="24"/>
          <w:lang w:val="en-US" w:eastAsia="zh-CN"/>
        </w:rPr>
        <w:t>问题7：</w:t>
      </w:r>
      <w:r>
        <w:rPr>
          <w:rFonts w:hint="eastAsia" w:ascii="宋体" w:hAnsi="宋体" w:cs="宋体"/>
          <w:b/>
          <w:bCs/>
          <w:sz w:val="24"/>
          <w:szCs w:val="24"/>
        </w:rPr>
        <w:t>无需提供图形工作站硬件设备，软件功能在网管终端上实现</w:t>
      </w:r>
      <w:r>
        <w:rPr>
          <w:rFonts w:hint="eastAsia" w:ascii="宋体" w:hAnsi="宋体" w:cs="宋体"/>
          <w:b/>
          <w:bCs/>
          <w:kern w:val="0"/>
          <w:sz w:val="24"/>
          <w:szCs w:val="24"/>
        </w:rPr>
        <w:t>。</w:t>
      </w:r>
    </w:p>
    <w:p w14:paraId="5B040FE1">
      <w:pPr>
        <w:adjustRightInd w:val="0"/>
        <w:snapToGrid w:val="0"/>
        <w:spacing w:after="0"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7、硬件规格要求中有体现 全彩LED拼接系统（p302)，为何下面工程量清单中却没有体现？</w:t>
      </w:r>
    </w:p>
    <w:p w14:paraId="72A15736">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答:本工程不需要提供全彩LED拼接系统。</w:t>
      </w:r>
    </w:p>
    <w:p w14:paraId="7D4A8805">
      <w:pPr>
        <w:rPr>
          <w:rFonts w:hint="eastAsia" w:ascii="微软雅黑" w:hAnsi="微软雅黑" w:eastAsia="微软雅黑" w:cs="微软雅黑"/>
          <w:sz w:val="24"/>
          <w:szCs w:val="24"/>
        </w:rPr>
      </w:pPr>
      <w:r>
        <w:rPr>
          <w:rFonts w:ascii="微软雅黑" w:hAnsi="微软雅黑" w:eastAsia="微软雅黑" w:cs="微软雅黑"/>
          <w:sz w:val="24"/>
          <w:szCs w:val="24"/>
        </w:rPr>
        <w:br w:type="page"/>
      </w:r>
    </w:p>
    <w:p w14:paraId="3677F1E0">
      <w:pPr>
        <w:widowControl/>
        <w:spacing w:line="360" w:lineRule="auto"/>
        <w:jc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第二部分 澄清与修改</w:t>
      </w:r>
    </w:p>
    <w:p w14:paraId="6F6ED9E1">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 xml:space="preserve">1、提示：投标保证金要求请仔细阅读招标文件投标人须知前附表 3.4.1 款、10.1 款以及投标文件格式《投标文件资格审查》的投标保证金条款，并提供对 应的证明材料。若不满足，将根据否决投标的情形予以否决投标。 </w:t>
      </w:r>
    </w:p>
    <w:p w14:paraId="1CD0CAAC">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2、提示：质量保证期外的备品备件费（4.3备品备件费分项报价表）应不低于供货范围内的设备费（4.2设备费分项报价表）的3%</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即：表4.3</w:t>
      </w:r>
      <w:r>
        <w:rPr>
          <w:rFonts w:hint="eastAsia" w:ascii="宋体" w:hAnsi="宋体" w:cs="宋体"/>
          <w:b/>
          <w:bCs/>
          <w:kern w:val="0"/>
          <w:sz w:val="24"/>
          <w:szCs w:val="24"/>
        </w:rPr>
        <w:t>备品备件费分项报价表</w:t>
      </w:r>
      <w:r>
        <w:rPr>
          <w:rFonts w:hint="eastAsia" w:ascii="宋体" w:hAnsi="宋体" w:cs="宋体"/>
          <w:b/>
          <w:bCs/>
          <w:kern w:val="0"/>
          <w:sz w:val="24"/>
          <w:szCs w:val="24"/>
          <w:lang w:val="en-US" w:eastAsia="zh-CN"/>
        </w:rPr>
        <w:t>中投标合价小计应不低于表</w:t>
      </w:r>
      <w:r>
        <w:rPr>
          <w:rFonts w:hint="eastAsia" w:ascii="宋体" w:hAnsi="宋体" w:cs="宋体"/>
          <w:b/>
          <w:bCs/>
          <w:kern w:val="0"/>
          <w:sz w:val="24"/>
          <w:szCs w:val="24"/>
        </w:rPr>
        <w:t>4.2设备费分项报价表</w:t>
      </w:r>
      <w:r>
        <w:rPr>
          <w:rFonts w:hint="eastAsia" w:ascii="宋体" w:hAnsi="宋体" w:cs="宋体"/>
          <w:b/>
          <w:bCs/>
          <w:kern w:val="0"/>
          <w:sz w:val="24"/>
          <w:szCs w:val="24"/>
          <w:lang w:val="en-US" w:eastAsia="zh-CN"/>
        </w:rPr>
        <w:t>中投标合价小计的3%。</w:t>
      </w:r>
      <w:r>
        <w:rPr>
          <w:rFonts w:hint="eastAsia" w:ascii="宋体" w:hAnsi="宋体" w:cs="宋体"/>
          <w:b/>
          <w:bCs/>
          <w:kern w:val="0"/>
          <w:sz w:val="24"/>
          <w:szCs w:val="24"/>
        </w:rPr>
        <w:t xml:space="preserve">若不满足，将根据投标人须知前附表10.1否决投标的情形中商务标评审内容的第④点第ⅳ条予以否决投标。 </w:t>
      </w:r>
    </w:p>
    <w:p w14:paraId="31FBBC31">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3、提示：招标人提供的设备（材料）清单内容的（货物名称、单位、数量）不得修改，可根据所选产品特性在《4.2 设备费分项报价表》中的货物项下进行拆分细化，并分别报价。</w:t>
      </w:r>
    </w:p>
    <w:p w14:paraId="439C5D9C">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4、投标文件格式中表4.5《设备分项报价明细表-系统设备最小可拆卸单元价格清单》增加一列“单位”，该表为设备费的分项报价明细表,“小计”为对应设备的不含税单价，具体详见下表。</w:t>
      </w:r>
    </w:p>
    <w:tbl>
      <w:tblPr>
        <w:tblStyle w:val="2"/>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440"/>
        <w:gridCol w:w="1228"/>
        <w:gridCol w:w="1151"/>
        <w:gridCol w:w="1151"/>
        <w:gridCol w:w="1176"/>
        <w:gridCol w:w="1099"/>
        <w:gridCol w:w="1284"/>
      </w:tblGrid>
      <w:tr w14:paraId="6E24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F78C2A4">
            <w:pPr>
              <w:pStyle w:val="6"/>
              <w:jc w:val="center"/>
            </w:pPr>
            <w:r>
              <w:rPr>
                <w:rFonts w:hint="eastAsia" w:ascii="宋体" w:hAnsi="宋体" w:cs="宋体"/>
              </w:rPr>
              <w:t>货物名称</w:t>
            </w:r>
          </w:p>
        </w:tc>
        <w:tc>
          <w:tcPr>
            <w:tcW w:w="1440" w:type="dxa"/>
            <w:tcBorders>
              <w:top w:val="single" w:color="auto" w:sz="4" w:space="0"/>
              <w:left w:val="nil"/>
              <w:bottom w:val="single" w:color="auto" w:sz="4" w:space="0"/>
              <w:right w:val="single" w:color="auto" w:sz="4" w:space="0"/>
            </w:tcBorders>
            <w:vAlign w:val="center"/>
          </w:tcPr>
          <w:p w14:paraId="12C1E05F">
            <w:pPr>
              <w:pStyle w:val="6"/>
              <w:jc w:val="center"/>
            </w:pPr>
            <w:r>
              <w:rPr>
                <w:rFonts w:hint="eastAsia" w:ascii="宋体" w:hAnsi="宋体" w:cs="宋体"/>
              </w:rPr>
              <w:t>元器件及材料名称</w:t>
            </w:r>
          </w:p>
        </w:tc>
        <w:tc>
          <w:tcPr>
            <w:tcW w:w="1228" w:type="dxa"/>
            <w:tcBorders>
              <w:top w:val="single" w:color="auto" w:sz="4" w:space="0"/>
              <w:left w:val="nil"/>
              <w:bottom w:val="single" w:color="auto" w:sz="4" w:space="0"/>
              <w:right w:val="single" w:color="auto" w:sz="4" w:space="0"/>
            </w:tcBorders>
            <w:vAlign w:val="center"/>
          </w:tcPr>
          <w:p w14:paraId="16A640EE">
            <w:pPr>
              <w:pStyle w:val="6"/>
              <w:jc w:val="center"/>
            </w:pPr>
            <w:r>
              <w:rPr>
                <w:rFonts w:hint="eastAsia" w:ascii="宋体" w:hAnsi="宋体" w:cs="宋体"/>
              </w:rPr>
              <w:t>规格型号</w:t>
            </w:r>
          </w:p>
        </w:tc>
        <w:tc>
          <w:tcPr>
            <w:tcW w:w="1151" w:type="dxa"/>
            <w:tcBorders>
              <w:top w:val="single" w:color="auto" w:sz="4" w:space="0"/>
              <w:left w:val="nil"/>
              <w:bottom w:val="single" w:color="auto" w:sz="4" w:space="0"/>
              <w:right w:val="single" w:color="auto" w:sz="4" w:space="0"/>
            </w:tcBorders>
            <w:vAlign w:val="center"/>
          </w:tcPr>
          <w:p w14:paraId="4712B2DD">
            <w:pPr>
              <w:pStyle w:val="6"/>
              <w:jc w:val="center"/>
            </w:pPr>
            <w:r>
              <w:rPr>
                <w:rFonts w:hint="eastAsia" w:ascii="宋体" w:hAnsi="宋体" w:cs="宋体"/>
              </w:rPr>
              <w:t>制造商</w:t>
            </w:r>
          </w:p>
        </w:tc>
        <w:tc>
          <w:tcPr>
            <w:tcW w:w="1151" w:type="dxa"/>
            <w:tcBorders>
              <w:top w:val="single" w:color="auto" w:sz="4" w:space="0"/>
              <w:left w:val="nil"/>
              <w:bottom w:val="single" w:color="auto" w:sz="4" w:space="0"/>
              <w:right w:val="single" w:color="auto" w:sz="4" w:space="0"/>
            </w:tcBorders>
            <w:vAlign w:val="center"/>
          </w:tcPr>
          <w:p w14:paraId="2F9AE6EA">
            <w:pPr>
              <w:pStyle w:val="6"/>
              <w:jc w:val="center"/>
              <w:rPr>
                <w:rFonts w:hint="eastAsia" w:ascii="宋体" w:hAnsi="宋体" w:cs="宋体"/>
              </w:rPr>
            </w:pPr>
            <w:r>
              <w:rPr>
                <w:rFonts w:hint="eastAsia" w:ascii="宋体" w:hAnsi="宋体" w:cs="宋体"/>
                <w:b/>
                <w:bCs/>
              </w:rPr>
              <w:t>单位</w:t>
            </w:r>
          </w:p>
        </w:tc>
        <w:tc>
          <w:tcPr>
            <w:tcW w:w="1176" w:type="dxa"/>
            <w:tcBorders>
              <w:top w:val="single" w:color="auto" w:sz="4" w:space="0"/>
              <w:left w:val="nil"/>
              <w:bottom w:val="single" w:color="auto" w:sz="4" w:space="0"/>
              <w:right w:val="single" w:color="auto" w:sz="4" w:space="0"/>
            </w:tcBorders>
            <w:vAlign w:val="center"/>
          </w:tcPr>
          <w:p w14:paraId="5681F73B">
            <w:pPr>
              <w:pStyle w:val="6"/>
              <w:jc w:val="center"/>
            </w:pPr>
            <w:r>
              <w:rPr>
                <w:rFonts w:hint="eastAsia" w:ascii="宋体" w:hAnsi="宋体" w:cs="宋体"/>
              </w:rPr>
              <w:t>数量</w:t>
            </w:r>
          </w:p>
        </w:tc>
        <w:tc>
          <w:tcPr>
            <w:tcW w:w="1099" w:type="dxa"/>
            <w:tcBorders>
              <w:top w:val="single" w:color="auto" w:sz="4" w:space="0"/>
              <w:left w:val="nil"/>
              <w:bottom w:val="single" w:color="auto" w:sz="4" w:space="0"/>
              <w:right w:val="single" w:color="auto" w:sz="4" w:space="0"/>
            </w:tcBorders>
            <w:vAlign w:val="center"/>
          </w:tcPr>
          <w:p w14:paraId="6CCA447A">
            <w:pPr>
              <w:pStyle w:val="6"/>
              <w:jc w:val="center"/>
            </w:pPr>
            <w:r>
              <w:rPr>
                <w:rFonts w:hint="eastAsia" w:ascii="宋体" w:hAnsi="宋体" w:cs="宋体"/>
              </w:rPr>
              <w:t>单价（不含税）</w:t>
            </w:r>
          </w:p>
        </w:tc>
        <w:tc>
          <w:tcPr>
            <w:tcW w:w="1284" w:type="dxa"/>
            <w:tcBorders>
              <w:top w:val="single" w:color="auto" w:sz="4" w:space="0"/>
              <w:left w:val="nil"/>
              <w:bottom w:val="single" w:color="auto" w:sz="4" w:space="0"/>
              <w:right w:val="single" w:color="auto" w:sz="4" w:space="0"/>
            </w:tcBorders>
            <w:vAlign w:val="center"/>
          </w:tcPr>
          <w:p w14:paraId="41526210">
            <w:pPr>
              <w:pStyle w:val="6"/>
              <w:jc w:val="center"/>
            </w:pPr>
            <w:r>
              <w:rPr>
                <w:rFonts w:hint="eastAsia" w:ascii="宋体" w:hAnsi="宋体" w:cs="宋体"/>
              </w:rPr>
              <w:t>合价（不含税）</w:t>
            </w:r>
          </w:p>
        </w:tc>
      </w:tr>
      <w:tr w14:paraId="7207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09" w:type="dxa"/>
            <w:vMerge w:val="restart"/>
            <w:tcBorders>
              <w:top w:val="nil"/>
              <w:left w:val="single" w:color="auto" w:sz="4" w:space="0"/>
              <w:bottom w:val="single" w:color="auto" w:sz="4" w:space="0"/>
              <w:right w:val="single" w:color="auto" w:sz="4" w:space="0"/>
            </w:tcBorders>
            <w:vAlign w:val="center"/>
          </w:tcPr>
          <w:p w14:paraId="44DEA32B">
            <w:pPr>
              <w:pStyle w:val="6"/>
              <w:jc w:val="center"/>
            </w:pPr>
          </w:p>
        </w:tc>
        <w:tc>
          <w:tcPr>
            <w:tcW w:w="1440" w:type="dxa"/>
            <w:tcBorders>
              <w:top w:val="single" w:color="auto" w:sz="4" w:space="0"/>
              <w:left w:val="nil"/>
              <w:bottom w:val="single" w:color="auto" w:sz="4" w:space="0"/>
              <w:right w:val="single" w:color="auto" w:sz="4" w:space="0"/>
            </w:tcBorders>
            <w:vAlign w:val="center"/>
          </w:tcPr>
          <w:p w14:paraId="4F172306">
            <w:pPr>
              <w:pStyle w:val="6"/>
              <w:jc w:val="center"/>
            </w:pPr>
          </w:p>
        </w:tc>
        <w:tc>
          <w:tcPr>
            <w:tcW w:w="1228" w:type="dxa"/>
            <w:tcBorders>
              <w:top w:val="single" w:color="auto" w:sz="4" w:space="0"/>
              <w:left w:val="nil"/>
              <w:bottom w:val="single" w:color="auto" w:sz="4" w:space="0"/>
              <w:right w:val="single" w:color="auto" w:sz="4" w:space="0"/>
            </w:tcBorders>
            <w:vAlign w:val="center"/>
          </w:tcPr>
          <w:p w14:paraId="2F0F64FC">
            <w:pPr>
              <w:pStyle w:val="6"/>
              <w:jc w:val="center"/>
            </w:pPr>
          </w:p>
        </w:tc>
        <w:tc>
          <w:tcPr>
            <w:tcW w:w="1151" w:type="dxa"/>
            <w:tcBorders>
              <w:top w:val="single" w:color="auto" w:sz="4" w:space="0"/>
              <w:left w:val="nil"/>
              <w:bottom w:val="single" w:color="auto" w:sz="4" w:space="0"/>
              <w:right w:val="single" w:color="auto" w:sz="4" w:space="0"/>
            </w:tcBorders>
            <w:vAlign w:val="center"/>
          </w:tcPr>
          <w:p w14:paraId="732AC69D">
            <w:pPr>
              <w:pStyle w:val="6"/>
              <w:jc w:val="center"/>
            </w:pPr>
          </w:p>
        </w:tc>
        <w:tc>
          <w:tcPr>
            <w:tcW w:w="1151" w:type="dxa"/>
            <w:tcBorders>
              <w:top w:val="single" w:color="auto" w:sz="4" w:space="0"/>
              <w:left w:val="nil"/>
              <w:bottom w:val="single" w:color="auto" w:sz="4" w:space="0"/>
              <w:right w:val="single" w:color="auto" w:sz="4" w:space="0"/>
            </w:tcBorders>
            <w:vAlign w:val="center"/>
          </w:tcPr>
          <w:p w14:paraId="21130AAA">
            <w:pPr>
              <w:pStyle w:val="6"/>
              <w:jc w:val="center"/>
            </w:pPr>
          </w:p>
        </w:tc>
        <w:tc>
          <w:tcPr>
            <w:tcW w:w="1176" w:type="dxa"/>
            <w:tcBorders>
              <w:top w:val="single" w:color="auto" w:sz="4" w:space="0"/>
              <w:left w:val="nil"/>
              <w:bottom w:val="single" w:color="auto" w:sz="4" w:space="0"/>
              <w:right w:val="single" w:color="auto" w:sz="4" w:space="0"/>
            </w:tcBorders>
            <w:vAlign w:val="center"/>
          </w:tcPr>
          <w:p w14:paraId="3B38834A">
            <w:pPr>
              <w:pStyle w:val="6"/>
              <w:jc w:val="center"/>
            </w:pPr>
          </w:p>
        </w:tc>
        <w:tc>
          <w:tcPr>
            <w:tcW w:w="1099" w:type="dxa"/>
            <w:tcBorders>
              <w:top w:val="single" w:color="auto" w:sz="4" w:space="0"/>
              <w:left w:val="nil"/>
              <w:bottom w:val="single" w:color="auto" w:sz="4" w:space="0"/>
              <w:right w:val="single" w:color="auto" w:sz="4" w:space="0"/>
            </w:tcBorders>
            <w:vAlign w:val="center"/>
          </w:tcPr>
          <w:p w14:paraId="002EC74D">
            <w:pPr>
              <w:pStyle w:val="6"/>
              <w:jc w:val="center"/>
            </w:pPr>
          </w:p>
        </w:tc>
        <w:tc>
          <w:tcPr>
            <w:tcW w:w="1284" w:type="dxa"/>
            <w:tcBorders>
              <w:top w:val="single" w:color="auto" w:sz="4" w:space="0"/>
              <w:left w:val="nil"/>
              <w:bottom w:val="single" w:color="auto" w:sz="4" w:space="0"/>
              <w:right w:val="single" w:color="auto" w:sz="4" w:space="0"/>
            </w:tcBorders>
            <w:vAlign w:val="center"/>
          </w:tcPr>
          <w:p w14:paraId="7139E408">
            <w:pPr>
              <w:pStyle w:val="6"/>
              <w:jc w:val="center"/>
            </w:pPr>
          </w:p>
        </w:tc>
      </w:tr>
      <w:tr w14:paraId="6523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09" w:type="dxa"/>
            <w:vMerge w:val="continue"/>
            <w:tcBorders>
              <w:top w:val="nil"/>
              <w:left w:val="single" w:color="auto" w:sz="4" w:space="0"/>
              <w:bottom w:val="single" w:color="auto" w:sz="4" w:space="0"/>
              <w:right w:val="single" w:color="auto" w:sz="4" w:space="0"/>
            </w:tcBorders>
            <w:vAlign w:val="center"/>
          </w:tcPr>
          <w:p w14:paraId="16B2C506">
            <w:pPr>
              <w:pStyle w:val="7"/>
              <w:widowControl/>
              <w:jc w:val="left"/>
              <w:rPr>
                <w:szCs w:val="21"/>
              </w:rPr>
            </w:pPr>
          </w:p>
        </w:tc>
        <w:tc>
          <w:tcPr>
            <w:tcW w:w="1440" w:type="dxa"/>
            <w:tcBorders>
              <w:top w:val="single" w:color="auto" w:sz="4" w:space="0"/>
              <w:left w:val="nil"/>
              <w:bottom w:val="single" w:color="auto" w:sz="4" w:space="0"/>
              <w:right w:val="single" w:color="auto" w:sz="4" w:space="0"/>
            </w:tcBorders>
            <w:vAlign w:val="center"/>
          </w:tcPr>
          <w:p w14:paraId="2C8ADB42">
            <w:pPr>
              <w:pStyle w:val="6"/>
              <w:jc w:val="center"/>
            </w:pPr>
          </w:p>
        </w:tc>
        <w:tc>
          <w:tcPr>
            <w:tcW w:w="1228" w:type="dxa"/>
            <w:tcBorders>
              <w:top w:val="single" w:color="auto" w:sz="4" w:space="0"/>
              <w:left w:val="nil"/>
              <w:bottom w:val="single" w:color="auto" w:sz="4" w:space="0"/>
              <w:right w:val="single" w:color="auto" w:sz="4" w:space="0"/>
            </w:tcBorders>
            <w:vAlign w:val="center"/>
          </w:tcPr>
          <w:p w14:paraId="48B088AD">
            <w:pPr>
              <w:pStyle w:val="6"/>
              <w:jc w:val="center"/>
            </w:pPr>
          </w:p>
        </w:tc>
        <w:tc>
          <w:tcPr>
            <w:tcW w:w="1151" w:type="dxa"/>
            <w:tcBorders>
              <w:top w:val="single" w:color="auto" w:sz="4" w:space="0"/>
              <w:left w:val="nil"/>
              <w:bottom w:val="single" w:color="auto" w:sz="4" w:space="0"/>
              <w:right w:val="single" w:color="auto" w:sz="4" w:space="0"/>
            </w:tcBorders>
            <w:vAlign w:val="center"/>
          </w:tcPr>
          <w:p w14:paraId="3784FD4D">
            <w:pPr>
              <w:pStyle w:val="6"/>
              <w:jc w:val="center"/>
            </w:pPr>
          </w:p>
        </w:tc>
        <w:tc>
          <w:tcPr>
            <w:tcW w:w="1151" w:type="dxa"/>
            <w:tcBorders>
              <w:top w:val="single" w:color="auto" w:sz="4" w:space="0"/>
              <w:left w:val="nil"/>
              <w:bottom w:val="single" w:color="auto" w:sz="4" w:space="0"/>
              <w:right w:val="single" w:color="auto" w:sz="4" w:space="0"/>
            </w:tcBorders>
            <w:vAlign w:val="center"/>
          </w:tcPr>
          <w:p w14:paraId="215F3B37">
            <w:pPr>
              <w:pStyle w:val="6"/>
              <w:jc w:val="center"/>
            </w:pPr>
          </w:p>
        </w:tc>
        <w:tc>
          <w:tcPr>
            <w:tcW w:w="1176" w:type="dxa"/>
            <w:tcBorders>
              <w:top w:val="single" w:color="auto" w:sz="4" w:space="0"/>
              <w:left w:val="nil"/>
              <w:bottom w:val="single" w:color="auto" w:sz="4" w:space="0"/>
              <w:right w:val="single" w:color="auto" w:sz="4" w:space="0"/>
            </w:tcBorders>
            <w:vAlign w:val="center"/>
          </w:tcPr>
          <w:p w14:paraId="3EA40459">
            <w:pPr>
              <w:pStyle w:val="6"/>
              <w:jc w:val="center"/>
            </w:pPr>
          </w:p>
        </w:tc>
        <w:tc>
          <w:tcPr>
            <w:tcW w:w="1099" w:type="dxa"/>
            <w:tcBorders>
              <w:top w:val="single" w:color="auto" w:sz="4" w:space="0"/>
              <w:left w:val="nil"/>
              <w:bottom w:val="single" w:color="auto" w:sz="4" w:space="0"/>
              <w:right w:val="single" w:color="auto" w:sz="4" w:space="0"/>
            </w:tcBorders>
            <w:vAlign w:val="center"/>
          </w:tcPr>
          <w:p w14:paraId="360DEF89">
            <w:pPr>
              <w:pStyle w:val="6"/>
              <w:jc w:val="center"/>
            </w:pPr>
          </w:p>
        </w:tc>
        <w:tc>
          <w:tcPr>
            <w:tcW w:w="1284" w:type="dxa"/>
            <w:tcBorders>
              <w:top w:val="single" w:color="auto" w:sz="4" w:space="0"/>
              <w:left w:val="nil"/>
              <w:bottom w:val="single" w:color="auto" w:sz="4" w:space="0"/>
              <w:right w:val="single" w:color="auto" w:sz="4" w:space="0"/>
            </w:tcBorders>
            <w:vAlign w:val="center"/>
          </w:tcPr>
          <w:p w14:paraId="7616C8B8">
            <w:pPr>
              <w:pStyle w:val="6"/>
              <w:jc w:val="center"/>
            </w:pPr>
          </w:p>
        </w:tc>
      </w:tr>
      <w:tr w14:paraId="42A5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09" w:type="dxa"/>
            <w:vMerge w:val="continue"/>
            <w:tcBorders>
              <w:top w:val="nil"/>
              <w:left w:val="single" w:color="auto" w:sz="4" w:space="0"/>
              <w:bottom w:val="single" w:color="auto" w:sz="4" w:space="0"/>
              <w:right w:val="single" w:color="auto" w:sz="4" w:space="0"/>
            </w:tcBorders>
            <w:vAlign w:val="center"/>
          </w:tcPr>
          <w:p w14:paraId="5ADB9481">
            <w:pPr>
              <w:pStyle w:val="7"/>
              <w:widowControl/>
              <w:jc w:val="left"/>
              <w:rPr>
                <w:szCs w:val="21"/>
              </w:rPr>
            </w:pPr>
          </w:p>
        </w:tc>
        <w:tc>
          <w:tcPr>
            <w:tcW w:w="1440" w:type="dxa"/>
            <w:tcBorders>
              <w:top w:val="single" w:color="auto" w:sz="4" w:space="0"/>
              <w:left w:val="nil"/>
              <w:bottom w:val="single" w:color="auto" w:sz="4" w:space="0"/>
              <w:right w:val="single" w:color="auto" w:sz="4" w:space="0"/>
            </w:tcBorders>
            <w:vAlign w:val="center"/>
          </w:tcPr>
          <w:p w14:paraId="058F5C3A">
            <w:pPr>
              <w:pStyle w:val="6"/>
              <w:jc w:val="center"/>
            </w:pPr>
          </w:p>
        </w:tc>
        <w:tc>
          <w:tcPr>
            <w:tcW w:w="1228" w:type="dxa"/>
            <w:tcBorders>
              <w:top w:val="single" w:color="auto" w:sz="4" w:space="0"/>
              <w:left w:val="nil"/>
              <w:bottom w:val="single" w:color="auto" w:sz="4" w:space="0"/>
              <w:right w:val="single" w:color="auto" w:sz="4" w:space="0"/>
            </w:tcBorders>
            <w:vAlign w:val="center"/>
          </w:tcPr>
          <w:p w14:paraId="3354970B">
            <w:pPr>
              <w:pStyle w:val="6"/>
              <w:jc w:val="center"/>
            </w:pPr>
          </w:p>
        </w:tc>
        <w:tc>
          <w:tcPr>
            <w:tcW w:w="1151" w:type="dxa"/>
            <w:tcBorders>
              <w:top w:val="single" w:color="auto" w:sz="4" w:space="0"/>
              <w:left w:val="nil"/>
              <w:bottom w:val="single" w:color="auto" w:sz="4" w:space="0"/>
              <w:right w:val="single" w:color="auto" w:sz="4" w:space="0"/>
            </w:tcBorders>
            <w:vAlign w:val="center"/>
          </w:tcPr>
          <w:p w14:paraId="07335E44">
            <w:pPr>
              <w:pStyle w:val="6"/>
              <w:jc w:val="center"/>
            </w:pPr>
          </w:p>
        </w:tc>
        <w:tc>
          <w:tcPr>
            <w:tcW w:w="1151" w:type="dxa"/>
            <w:tcBorders>
              <w:top w:val="single" w:color="auto" w:sz="4" w:space="0"/>
              <w:left w:val="nil"/>
              <w:bottom w:val="single" w:color="auto" w:sz="4" w:space="0"/>
              <w:right w:val="single" w:color="auto" w:sz="4" w:space="0"/>
            </w:tcBorders>
            <w:vAlign w:val="center"/>
          </w:tcPr>
          <w:p w14:paraId="24091132">
            <w:pPr>
              <w:pStyle w:val="6"/>
              <w:jc w:val="center"/>
            </w:pPr>
          </w:p>
        </w:tc>
        <w:tc>
          <w:tcPr>
            <w:tcW w:w="1176" w:type="dxa"/>
            <w:tcBorders>
              <w:top w:val="single" w:color="auto" w:sz="4" w:space="0"/>
              <w:left w:val="nil"/>
              <w:bottom w:val="single" w:color="auto" w:sz="4" w:space="0"/>
              <w:right w:val="single" w:color="auto" w:sz="4" w:space="0"/>
            </w:tcBorders>
            <w:vAlign w:val="center"/>
          </w:tcPr>
          <w:p w14:paraId="2ABBD40C">
            <w:pPr>
              <w:pStyle w:val="6"/>
              <w:jc w:val="center"/>
            </w:pPr>
          </w:p>
        </w:tc>
        <w:tc>
          <w:tcPr>
            <w:tcW w:w="1099" w:type="dxa"/>
            <w:tcBorders>
              <w:top w:val="single" w:color="auto" w:sz="4" w:space="0"/>
              <w:left w:val="nil"/>
              <w:bottom w:val="single" w:color="auto" w:sz="4" w:space="0"/>
              <w:right w:val="single" w:color="auto" w:sz="4" w:space="0"/>
            </w:tcBorders>
            <w:vAlign w:val="center"/>
          </w:tcPr>
          <w:p w14:paraId="7A9AA259">
            <w:pPr>
              <w:pStyle w:val="6"/>
              <w:jc w:val="center"/>
            </w:pPr>
          </w:p>
        </w:tc>
        <w:tc>
          <w:tcPr>
            <w:tcW w:w="1284" w:type="dxa"/>
            <w:tcBorders>
              <w:top w:val="single" w:color="auto" w:sz="4" w:space="0"/>
              <w:left w:val="nil"/>
              <w:bottom w:val="single" w:color="auto" w:sz="4" w:space="0"/>
              <w:right w:val="single" w:color="auto" w:sz="4" w:space="0"/>
            </w:tcBorders>
            <w:vAlign w:val="center"/>
          </w:tcPr>
          <w:p w14:paraId="3F7F4C47">
            <w:pPr>
              <w:pStyle w:val="6"/>
              <w:jc w:val="center"/>
            </w:pPr>
          </w:p>
        </w:tc>
      </w:tr>
      <w:tr w14:paraId="0DE4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09" w:type="dxa"/>
            <w:vMerge w:val="continue"/>
            <w:tcBorders>
              <w:top w:val="nil"/>
              <w:left w:val="single" w:color="auto" w:sz="4" w:space="0"/>
              <w:bottom w:val="single" w:color="auto" w:sz="4" w:space="0"/>
              <w:right w:val="single" w:color="auto" w:sz="4" w:space="0"/>
            </w:tcBorders>
            <w:vAlign w:val="center"/>
          </w:tcPr>
          <w:p w14:paraId="2E9E1DEE">
            <w:pPr>
              <w:pStyle w:val="7"/>
              <w:widowControl/>
              <w:jc w:val="left"/>
              <w:rPr>
                <w:szCs w:val="21"/>
              </w:rPr>
            </w:pPr>
          </w:p>
        </w:tc>
        <w:tc>
          <w:tcPr>
            <w:tcW w:w="1440" w:type="dxa"/>
            <w:tcBorders>
              <w:top w:val="single" w:color="auto" w:sz="4" w:space="0"/>
              <w:left w:val="nil"/>
              <w:bottom w:val="single" w:color="auto" w:sz="4" w:space="0"/>
              <w:right w:val="single" w:color="auto" w:sz="4" w:space="0"/>
            </w:tcBorders>
            <w:vAlign w:val="center"/>
          </w:tcPr>
          <w:p w14:paraId="3A084D33">
            <w:pPr>
              <w:pStyle w:val="6"/>
              <w:spacing w:line="100" w:lineRule="exact"/>
              <w:jc w:val="center"/>
            </w:pPr>
          </w:p>
        </w:tc>
        <w:tc>
          <w:tcPr>
            <w:tcW w:w="1228" w:type="dxa"/>
            <w:tcBorders>
              <w:top w:val="single" w:color="auto" w:sz="4" w:space="0"/>
              <w:left w:val="nil"/>
              <w:bottom w:val="single" w:color="auto" w:sz="4" w:space="0"/>
              <w:right w:val="single" w:color="auto" w:sz="4" w:space="0"/>
            </w:tcBorders>
            <w:vAlign w:val="center"/>
          </w:tcPr>
          <w:p w14:paraId="6E98F119">
            <w:pPr>
              <w:pStyle w:val="6"/>
              <w:jc w:val="center"/>
            </w:pPr>
          </w:p>
        </w:tc>
        <w:tc>
          <w:tcPr>
            <w:tcW w:w="1151" w:type="dxa"/>
            <w:tcBorders>
              <w:top w:val="single" w:color="auto" w:sz="4" w:space="0"/>
              <w:left w:val="nil"/>
              <w:bottom w:val="single" w:color="auto" w:sz="4" w:space="0"/>
              <w:right w:val="single" w:color="auto" w:sz="4" w:space="0"/>
            </w:tcBorders>
            <w:vAlign w:val="center"/>
          </w:tcPr>
          <w:p w14:paraId="36AA23BB">
            <w:pPr>
              <w:pStyle w:val="6"/>
              <w:jc w:val="center"/>
            </w:pPr>
          </w:p>
        </w:tc>
        <w:tc>
          <w:tcPr>
            <w:tcW w:w="1151" w:type="dxa"/>
            <w:tcBorders>
              <w:top w:val="single" w:color="auto" w:sz="4" w:space="0"/>
              <w:left w:val="nil"/>
              <w:bottom w:val="single" w:color="auto" w:sz="4" w:space="0"/>
              <w:right w:val="single" w:color="auto" w:sz="4" w:space="0"/>
            </w:tcBorders>
            <w:vAlign w:val="center"/>
          </w:tcPr>
          <w:p w14:paraId="4E80949C">
            <w:pPr>
              <w:pStyle w:val="6"/>
              <w:jc w:val="center"/>
            </w:pPr>
          </w:p>
        </w:tc>
        <w:tc>
          <w:tcPr>
            <w:tcW w:w="1176" w:type="dxa"/>
            <w:tcBorders>
              <w:top w:val="single" w:color="auto" w:sz="4" w:space="0"/>
              <w:left w:val="nil"/>
              <w:bottom w:val="single" w:color="auto" w:sz="4" w:space="0"/>
              <w:right w:val="single" w:color="auto" w:sz="4" w:space="0"/>
            </w:tcBorders>
            <w:vAlign w:val="center"/>
          </w:tcPr>
          <w:p w14:paraId="6D5A6942">
            <w:pPr>
              <w:pStyle w:val="6"/>
              <w:jc w:val="center"/>
            </w:pPr>
          </w:p>
        </w:tc>
        <w:tc>
          <w:tcPr>
            <w:tcW w:w="1099" w:type="dxa"/>
            <w:tcBorders>
              <w:top w:val="single" w:color="auto" w:sz="4" w:space="0"/>
              <w:left w:val="nil"/>
              <w:bottom w:val="single" w:color="auto" w:sz="4" w:space="0"/>
              <w:right w:val="single" w:color="auto" w:sz="4" w:space="0"/>
            </w:tcBorders>
            <w:vAlign w:val="center"/>
          </w:tcPr>
          <w:p w14:paraId="3D3E07F9">
            <w:pPr>
              <w:pStyle w:val="6"/>
              <w:jc w:val="center"/>
            </w:pPr>
          </w:p>
        </w:tc>
        <w:tc>
          <w:tcPr>
            <w:tcW w:w="1284" w:type="dxa"/>
            <w:tcBorders>
              <w:top w:val="single" w:color="auto" w:sz="4" w:space="0"/>
              <w:left w:val="nil"/>
              <w:bottom w:val="single" w:color="auto" w:sz="4" w:space="0"/>
              <w:right w:val="single" w:color="auto" w:sz="4" w:space="0"/>
            </w:tcBorders>
            <w:vAlign w:val="center"/>
          </w:tcPr>
          <w:p w14:paraId="5D4373BD">
            <w:pPr>
              <w:pStyle w:val="6"/>
              <w:jc w:val="center"/>
            </w:pPr>
          </w:p>
        </w:tc>
      </w:tr>
      <w:tr w14:paraId="369F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09" w:type="dxa"/>
            <w:vMerge w:val="continue"/>
            <w:tcBorders>
              <w:top w:val="nil"/>
              <w:left w:val="single" w:color="auto" w:sz="4" w:space="0"/>
              <w:bottom w:val="single" w:color="auto" w:sz="4" w:space="0"/>
              <w:right w:val="single" w:color="auto" w:sz="4" w:space="0"/>
            </w:tcBorders>
            <w:vAlign w:val="center"/>
          </w:tcPr>
          <w:p w14:paraId="63A76771">
            <w:pPr>
              <w:pStyle w:val="7"/>
              <w:widowControl/>
              <w:jc w:val="left"/>
              <w:rPr>
                <w:szCs w:val="21"/>
              </w:rPr>
            </w:pPr>
          </w:p>
        </w:tc>
        <w:tc>
          <w:tcPr>
            <w:tcW w:w="7245" w:type="dxa"/>
            <w:gridSpan w:val="6"/>
            <w:tcBorders>
              <w:top w:val="single" w:color="auto" w:sz="4" w:space="0"/>
              <w:left w:val="nil"/>
              <w:bottom w:val="single" w:color="auto" w:sz="4" w:space="0"/>
              <w:right w:val="single" w:color="auto" w:sz="4" w:space="0"/>
            </w:tcBorders>
            <w:vAlign w:val="center"/>
          </w:tcPr>
          <w:p w14:paraId="0BE7D9AF">
            <w:pPr>
              <w:pStyle w:val="6"/>
              <w:jc w:val="center"/>
            </w:pPr>
            <w:r>
              <w:rPr>
                <w:rFonts w:hint="eastAsia"/>
              </w:rPr>
              <w:t>小计（</w:t>
            </w:r>
            <w:r>
              <w:rPr>
                <w:rFonts w:hint="eastAsia" w:ascii="宋体" w:hAnsi="宋体" w:cs="宋体"/>
              </w:rPr>
              <w:t>不含税）</w:t>
            </w:r>
          </w:p>
        </w:tc>
        <w:tc>
          <w:tcPr>
            <w:tcW w:w="1284" w:type="dxa"/>
            <w:tcBorders>
              <w:top w:val="single" w:color="auto" w:sz="4" w:space="0"/>
              <w:left w:val="nil"/>
              <w:bottom w:val="single" w:color="auto" w:sz="4" w:space="0"/>
              <w:right w:val="single" w:color="auto" w:sz="4" w:space="0"/>
            </w:tcBorders>
            <w:vAlign w:val="center"/>
          </w:tcPr>
          <w:p w14:paraId="533B26AD">
            <w:pPr>
              <w:pStyle w:val="6"/>
              <w:jc w:val="center"/>
            </w:pPr>
          </w:p>
        </w:tc>
      </w:tr>
    </w:tbl>
    <w:p w14:paraId="45B0A8AB">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5、</w:t>
      </w:r>
      <w:bookmarkStart w:id="1" w:name="_Hlk207195900"/>
      <w:r>
        <w:rPr>
          <w:rFonts w:hint="eastAsia" w:ascii="宋体" w:hAnsi="宋体" w:cs="宋体"/>
          <w:b/>
          <w:bCs/>
          <w:kern w:val="0"/>
          <w:sz w:val="24"/>
          <w:szCs w:val="24"/>
        </w:rPr>
        <w:t>《招标文件修订-4号三公安》P386页，1.1.1日志审计系统设备 招标原文：</w:t>
      </w:r>
      <w:bookmarkEnd w:id="1"/>
      <w:r>
        <w:rPr>
          <w:rFonts w:hint="eastAsia" w:ascii="宋体" w:hAnsi="宋体" w:cs="宋体"/>
          <w:b/>
          <w:bCs/>
          <w:kern w:val="0"/>
          <w:sz w:val="24"/>
          <w:szCs w:val="24"/>
        </w:rPr>
        <w:t>1）性能要求：SQL流量吞吐≥500Mb/秒；业务流量吞吐≥2Gb/秒；SQL语句吞吐≥20000条/秒；数据库实例：5-10个；入库量≥10000条/秒； 2）硬件要求：内存≥16G；硬盘≥2T；千兆光口≥4个；千兆电口≥8个，USB host接口≥2个，Console口≥1个，扩展槽≥2个； …… 16)三权分立：提供管理员权限设置和分权管理，提供三权分立功能，系统可以对使用人员的操作进行审计记录，可以由审计员进行查询，具有自身安全审计功能。</w:t>
      </w:r>
    </w:p>
    <w:p w14:paraId="1451B72A">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修改为：1）高度≤2U，千兆电口≥8个，千兆光口≥4个，USB接口≥2个，Console口≥1个，扩展槽≥2个；硬盘≥4T；内存≥32G；冗余电源。</w:t>
      </w:r>
    </w:p>
    <w:p w14:paraId="7CD02523">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2）日志处理能力≥3000条/秒，日志存储能力≥2.5亿条/天。</w:t>
      </w:r>
    </w:p>
    <w:p w14:paraId="1BE2F7C3">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3）采用国产化CPU。</w:t>
      </w:r>
    </w:p>
    <w:p w14:paraId="26E960EE">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4）审计授权≥100；</w:t>
      </w:r>
    </w:p>
    <w:p w14:paraId="21F0FE2B">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5）实时监控：支持实时监控功能，可实时展示接收的日志信息，并且可以根据日志名称、ip、类型等条件进行筛选展示；</w:t>
      </w:r>
    </w:p>
    <w:p w14:paraId="0015DAAD">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6）告警监控：支持列表化告警信息展示且可以对告警进行处置；</w:t>
      </w:r>
    </w:p>
    <w:p w14:paraId="2A03CA46">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7）日志检索：支持日志查询，可根据接收时间、源目IP、严重级别等信息进行查询，可针对查询到的日志结果进行导出；支持普通模式查询，并且可以根据查询的条件进行模板保存，以便于后续使用；支持专家模式查询，可通过编写表达式进行对日志信息进行更加全面的查询，并且可以根据查询的条件进行模板保存，以便于后续使用；</w:t>
      </w:r>
    </w:p>
    <w:p w14:paraId="2462DDC4">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8）审计策略：内置65种审计分析策略，包含：DDoS攻击、Webshell攻击、XSS跨站脚本攻击、欺骗攻击、网络蠕虫、数据库高危操作、切换root用户、系统重启、硬件故障等，此项功能需提供产品功能截图。</w:t>
      </w:r>
    </w:p>
    <w:p w14:paraId="13D8E451">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9）采集对象：支持华为、华三、迪普、奇安信、安恒、绿盟、深信服、启明星辰、天融信、Juniper等国内外主流厂商的安全设备；支持主流的路由器、交换机、负载均衡等网络设备，如迪普、华为、中兴、锐捷、Cisco、Juniper等；支持Windows、Window server、Linux、Unix等操作系统；支持MySQL、Oracle、SQLServer等数据库；支持Apache、Tomcat等应用系统；</w:t>
      </w:r>
    </w:p>
    <w:p w14:paraId="10BB5201">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10）采集策略：支持被采设备无需安装代理；支持同一资产多种采集策略；支持多网卡同时采集日志，对应不同解析策略；</w:t>
      </w:r>
    </w:p>
    <w:p w14:paraId="26A84E24">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11）支持标准化分析原始日志，且保留原始日志信息；支持从不同类型系统采集到的日志进行标准化分析，将不同格式日志映射到固定的解析字段中，标准化处理后的字段细粒度≥90。</w:t>
      </w:r>
    </w:p>
    <w:p w14:paraId="66F54C1F">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12）资产管理：支持添加、修改、删除资产；支持资产自动识别，可一键将资产加入列表并查看详情信息；支持资产列表查看并支持点击查看具体信息，包括资产详情以及告警信息；</w:t>
      </w:r>
    </w:p>
    <w:p w14:paraId="14519D9C">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13）用户管理：支持三权分立原则，可设置安全管理员、安全审计员、系统管理员等角色。通过赋予不同角色不同的权限，以达到配置权力、审计权力、运维权力的相互制约；</w:t>
      </w:r>
    </w:p>
    <w:p w14:paraId="6F7A30DC">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14）日志外发：支持日志外发，可选择不同类型的日志，如系统日志、服务器日志、标准化日志、告警日志、审计事件、关联事件等；</w:t>
      </w:r>
    </w:p>
    <w:p w14:paraId="3A484F85">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15）知识库：支持内置知识库，日志接入配置指导、标准文档等。</w:t>
      </w:r>
    </w:p>
    <w:p w14:paraId="0FDDA7AB">
      <w:pPr>
        <w:adjustRightInd w:val="0"/>
        <w:snapToGrid w:val="0"/>
        <w:spacing w:after="0" w:line="360" w:lineRule="auto"/>
        <w:ind w:firstLine="482" w:firstLineChars="200"/>
        <w:rPr>
          <w:rFonts w:hint="eastAsia" w:ascii="宋体" w:hAnsi="宋体" w:eastAsia="宋体" w:cs="宋体"/>
          <w:b/>
          <w:bCs/>
          <w:kern w:val="0"/>
          <w:sz w:val="24"/>
          <w:szCs w:val="24"/>
          <w:lang w:eastAsia="zh-CN"/>
        </w:rPr>
      </w:pPr>
      <w:r>
        <w:rPr>
          <w:rFonts w:hint="eastAsia" w:ascii="宋体" w:hAnsi="宋体" w:cs="宋体"/>
          <w:b/>
          <w:bCs/>
          <w:kern w:val="0"/>
          <w:sz w:val="24"/>
          <w:szCs w:val="24"/>
        </w:rPr>
        <w:t>6、《招标文件修订》P385页 招标原文：</w:t>
      </w:r>
      <w:r>
        <w:rPr>
          <w:rFonts w:hint="eastAsia" w:ascii="宋体" w:hAnsi="宋体" w:cs="宋体"/>
          <w:b/>
          <w:bCs/>
          <w:kern w:val="0"/>
          <w:sz w:val="24"/>
          <w:szCs w:val="24"/>
          <w:lang w:eastAsia="zh-CN"/>
        </w:rPr>
        <w:t>“</w:t>
      </w:r>
      <w:r>
        <w:rPr>
          <w:rFonts w:hint="eastAsia" w:ascii="宋体" w:hAnsi="宋体" w:cs="宋体"/>
          <w:b/>
          <w:bCs/>
          <w:kern w:val="0"/>
          <w:sz w:val="24"/>
          <w:szCs w:val="24"/>
        </w:rPr>
        <w:t>为保障本系统等保安全顺利集成实施交付,信息安全生产商应具有信息安全服务安全集成一级认证、安全风险评估一级认证。</w:t>
      </w:r>
      <w:r>
        <w:rPr>
          <w:rFonts w:hint="eastAsia" w:ascii="宋体" w:hAnsi="宋体" w:cs="宋体"/>
          <w:b/>
          <w:bCs/>
          <w:kern w:val="0"/>
          <w:sz w:val="24"/>
          <w:szCs w:val="24"/>
          <w:lang w:eastAsia="zh-CN"/>
        </w:rPr>
        <w:t>”</w:t>
      </w:r>
    </w:p>
    <w:p w14:paraId="0483383D">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修改为“为保障本系统等保安全顺利集成实施交付,信息安全生产商应具有信息安全服务安全集成一级认证、安全风险评估一级认证或具有信息安全管理体系认证证书。”</w:t>
      </w:r>
    </w:p>
    <w:p w14:paraId="6AFC13D7">
      <w:pPr>
        <w:adjustRightInd w:val="0"/>
        <w:snapToGrid w:val="0"/>
        <w:spacing w:after="0" w:line="360" w:lineRule="auto"/>
        <w:ind w:firstLine="482" w:firstLineChars="200"/>
        <w:rPr>
          <w:rFonts w:hint="eastAsia" w:ascii="宋体" w:hAnsi="宋体" w:eastAsia="宋体" w:cs="宋体"/>
          <w:b/>
          <w:bCs/>
          <w:kern w:val="0"/>
          <w:sz w:val="24"/>
          <w:szCs w:val="24"/>
          <w:lang w:eastAsia="zh-CN"/>
        </w:rPr>
      </w:pPr>
      <w:r>
        <w:rPr>
          <w:rFonts w:hint="eastAsia" w:ascii="宋体" w:hAnsi="宋体" w:cs="宋体"/>
          <w:b/>
          <w:bCs/>
          <w:kern w:val="0"/>
          <w:sz w:val="24"/>
          <w:szCs w:val="24"/>
        </w:rPr>
        <w:t>7、《招标文件修订》P227页 招标原文：</w:t>
      </w:r>
      <w:r>
        <w:rPr>
          <w:rFonts w:hint="eastAsia" w:ascii="宋体" w:hAnsi="宋体" w:cs="宋体"/>
          <w:b/>
          <w:bCs/>
          <w:kern w:val="0"/>
          <w:sz w:val="24"/>
          <w:szCs w:val="24"/>
          <w:lang w:eastAsia="zh-CN"/>
        </w:rPr>
        <w:t>“</w:t>
      </w:r>
      <w:r>
        <w:rPr>
          <w:rFonts w:hint="eastAsia" w:ascii="宋体" w:hAnsi="宋体" w:cs="宋体"/>
          <w:b/>
          <w:bCs/>
          <w:kern w:val="0"/>
          <w:sz w:val="24"/>
          <w:szCs w:val="24"/>
        </w:rPr>
        <w:t>5）为保证线路侧的安全，100G线路接口板不同光方向的光接口须配置在不同板卡上。线路接口不可与业务接口共用光接口板。</w:t>
      </w:r>
      <w:r>
        <w:rPr>
          <w:rFonts w:hint="eastAsia" w:ascii="宋体" w:hAnsi="宋体" w:cs="宋体"/>
          <w:b/>
          <w:bCs/>
          <w:kern w:val="0"/>
          <w:sz w:val="24"/>
          <w:szCs w:val="24"/>
          <w:lang w:eastAsia="zh-CN"/>
        </w:rPr>
        <w:t>”</w:t>
      </w:r>
    </w:p>
    <w:p w14:paraId="03EC68AA">
      <w:pPr>
        <w:adjustRightInd w:val="0"/>
        <w:snapToGrid w:val="0"/>
        <w:spacing w:after="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修改为：“ 5）为保证线路侧的安全，100G线路接口板不同光方向的光接口须配置在不同板卡上。线路接口不可与业务接口、主控板等共用光接口板。”</w:t>
      </w:r>
    </w:p>
    <w:p w14:paraId="63D73EC9">
      <w:pPr>
        <w:adjustRightInd w:val="0"/>
        <w:snapToGrid w:val="0"/>
        <w:spacing w:after="0" w:line="360" w:lineRule="auto"/>
        <w:ind w:firstLine="482" w:firstLineChars="200"/>
        <w:rPr>
          <w:rFonts w:hint="eastAsia" w:ascii="宋体" w:hAnsi="宋体" w:cs="宋体"/>
          <w:b/>
          <w:bCs/>
          <w:kern w:val="0"/>
          <w:sz w:val="24"/>
          <w:szCs w:val="24"/>
        </w:rPr>
      </w:pPr>
    </w:p>
    <w:p w14:paraId="49F7961F">
      <w:pPr>
        <w:adjustRightInd w:val="0"/>
        <w:snapToGrid w:val="0"/>
        <w:spacing w:after="0" w:line="360" w:lineRule="auto"/>
        <w:ind w:firstLine="482" w:firstLineChars="200"/>
        <w:rPr>
          <w:rFonts w:hint="eastAsia" w:ascii="宋体" w:hAnsi="宋体" w:cs="宋体"/>
          <w:b/>
          <w:bCs/>
          <w:kern w:val="0"/>
          <w:sz w:val="24"/>
          <w:szCs w:val="24"/>
        </w:rPr>
      </w:pPr>
    </w:p>
    <w:p w14:paraId="260D1568">
      <w:pPr>
        <w:adjustRightInd w:val="0"/>
        <w:snapToGrid w:val="0"/>
        <w:spacing w:after="0" w:line="360" w:lineRule="auto"/>
        <w:ind w:firstLine="482" w:firstLineChars="200"/>
        <w:rPr>
          <w:rFonts w:hint="eastAsia" w:ascii="宋体" w:hAnsi="宋体" w:cs="宋体"/>
          <w:b/>
          <w:bCs/>
          <w:kern w:val="0"/>
          <w:sz w:val="24"/>
          <w:szCs w:val="24"/>
        </w:rPr>
      </w:pPr>
    </w:p>
    <w:p w14:paraId="4927A324">
      <w:pPr>
        <w:adjustRightInd w:val="0"/>
        <w:snapToGrid w:val="0"/>
        <w:spacing w:after="0" w:line="360" w:lineRule="auto"/>
        <w:ind w:firstLine="482" w:firstLineChars="200"/>
        <w:rPr>
          <w:rFonts w:hint="eastAsia" w:ascii="宋体" w:hAnsi="宋体" w:cs="宋体"/>
          <w:b/>
          <w:bCs/>
          <w:kern w:val="0"/>
          <w:sz w:val="24"/>
          <w:szCs w:val="24"/>
        </w:rPr>
      </w:pPr>
    </w:p>
    <w:p w14:paraId="0582581F">
      <w:pPr>
        <w:adjustRightInd w:val="0"/>
        <w:snapToGrid w:val="0"/>
        <w:spacing w:after="0" w:line="360" w:lineRule="auto"/>
        <w:ind w:firstLine="482" w:firstLineChars="200"/>
        <w:rPr>
          <w:rFonts w:hint="eastAsia" w:ascii="宋体" w:hAnsi="宋体" w:cs="宋体"/>
          <w:b/>
          <w:bCs/>
          <w:kern w:val="0"/>
          <w:sz w:val="24"/>
          <w:szCs w:val="24"/>
        </w:rPr>
      </w:pPr>
    </w:p>
    <w:p w14:paraId="01912DB0">
      <w:pPr>
        <w:spacing w:line="360" w:lineRule="auto"/>
        <w:ind w:firstLine="480" w:firstLineChars="200"/>
        <w:jc w:val="right"/>
        <w:rPr>
          <w:rFonts w:hint="eastAsia" w:ascii="宋体" w:hAnsi="宋体" w:eastAsia="宋体" w:cs="宋体"/>
          <w:color w:val="000000"/>
          <w:kern w:val="0"/>
          <w:sz w:val="24"/>
          <w:lang w:bidi="ar"/>
        </w:rPr>
      </w:pPr>
      <w:r>
        <w:rPr>
          <w:rFonts w:ascii="宋体" w:hAnsi="宋体" w:eastAsia="宋体" w:cs="宋体"/>
          <w:color w:val="000000"/>
          <w:kern w:val="0"/>
          <w:sz w:val="24"/>
          <w:lang w:bidi="ar"/>
        </w:rPr>
        <w:t>杭州市地铁集团有限责任公司</w:t>
      </w:r>
    </w:p>
    <w:p w14:paraId="5386C5F8">
      <w:pPr>
        <w:spacing w:line="360" w:lineRule="auto"/>
        <w:ind w:firstLine="480" w:firstLineChars="200"/>
        <w:jc w:val="righ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国义招标股份有限公司</w:t>
      </w:r>
    </w:p>
    <w:p w14:paraId="605F5AAE">
      <w:pPr>
        <w:spacing w:line="360" w:lineRule="auto"/>
        <w:ind w:firstLine="480" w:firstLineChars="200"/>
        <w:jc w:val="righ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2025年</w:t>
      </w:r>
      <w:r>
        <w:rPr>
          <w:rFonts w:hint="eastAsia" w:ascii="宋体" w:hAnsi="宋体" w:cs="宋体"/>
          <w:color w:val="000000"/>
          <w:kern w:val="0"/>
          <w:sz w:val="24"/>
          <w:lang w:val="en-US" w:eastAsia="zh-CN" w:bidi="ar"/>
        </w:rPr>
        <w:t>9</w:t>
      </w:r>
      <w:r>
        <w:rPr>
          <w:rFonts w:hint="eastAsia" w:ascii="宋体" w:hAnsi="宋体" w:eastAsia="宋体" w:cs="宋体"/>
          <w:color w:val="000000"/>
          <w:kern w:val="0"/>
          <w:sz w:val="24"/>
          <w:lang w:bidi="ar"/>
        </w:rPr>
        <w:t>月3日</w:t>
      </w:r>
    </w:p>
    <w:p w14:paraId="07F26D38">
      <w:pPr>
        <w:adjustRightInd w:val="0"/>
        <w:snapToGrid w:val="0"/>
        <w:spacing w:after="0" w:line="360" w:lineRule="auto"/>
        <w:ind w:firstLine="482" w:firstLineChars="200"/>
        <w:rPr>
          <w:rFonts w:hint="eastAsia" w:ascii="宋体" w:hAnsi="宋体" w:cs="宋体"/>
          <w:b/>
          <w:bCs/>
          <w:kern w:val="0"/>
          <w:sz w:val="24"/>
          <w:szCs w:val="24"/>
        </w:rPr>
      </w:pPr>
    </w:p>
    <w:p w14:paraId="1D2C903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42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图片、表格"/>
    <w:basedOn w:val="1"/>
    <w:qFormat/>
    <w:uiPriority w:val="0"/>
    <w:pPr>
      <w:snapToGrid w:val="0"/>
      <w:spacing w:after="0" w:line="240" w:lineRule="auto"/>
      <w:jc w:val="center"/>
    </w:pPr>
    <w:rPr>
      <w:rFonts w:ascii="Times New Roman" w:hAnsi="Times New Roman" w:cs="宋体"/>
      <w:szCs w:val="20"/>
    </w:rPr>
  </w:style>
  <w:style w:type="paragraph" w:customStyle="1" w:styleId="5">
    <w:name w:val="List Paragraph"/>
    <w:basedOn w:val="1"/>
    <w:unhideWhenUsed/>
    <w:qFormat/>
    <w:uiPriority w:val="99"/>
    <w:pPr>
      <w:ind w:firstLine="420" w:firstLineChars="200"/>
    </w:pPr>
  </w:style>
  <w:style w:type="paragraph" w:customStyle="1" w:styleId="6">
    <w:name w:val="正文_1_1_0"/>
    <w:basedOn w:val="7"/>
    <w:qFormat/>
    <w:uiPriority w:val="0"/>
    <w:rPr>
      <w:szCs w:val="21"/>
    </w:rPr>
  </w:style>
  <w:style w:type="paragraph" w:customStyle="1" w:styleId="7">
    <w:name w:val="正文_2_1"/>
    <w:basedOn w:val="8"/>
    <w:qFormat/>
    <w:uiPriority w:val="0"/>
  </w:style>
  <w:style w:type="paragraph" w:customStyle="1" w:styleId="8">
    <w:name w:val="正文_2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2025-09-01T07:12:31Z</dcterms:created>
  <dc:creator>1</dc:creator>
  <cp:lastModifiedBy>屠诗琪</cp:lastModifiedBy>
  <dcterms:modified xsi:type="dcterms:W3CDTF">2025-09-01T07:12:49Z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eyJoZGlkIjoiODViY2JkMjU3NGYzZTEwMzZmMGFkZWViYmNkYWU3NDIiLCJ1c2VySWQiOiIyNDYyMzU0ODcifQ==</vt:lpwstr>
  </property>
  <property fmtid="{D5CDD505-2E9C-101B-9397-08002B2CF9AE}" pid="4" name="ICV">
    <vt:lpwstr>380C5BAA99BC4E649CE06652B4925715_12</vt:lpwstr>
  </property>
</Properties>
</file>