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440101-2025-08718</w:t>
      </w:r>
    </w:p>
    <w:p>
      <w:pPr>
        <w:pStyle w:val="null3"/>
        <w:jc w:val="center"/>
        <w:outlineLvl w:val="3"/>
      </w:pPr>
      <w:r>
        <w:rPr>
          <w:sz w:val="24"/>
          <w:b/>
        </w:rPr>
        <w:t>采购项目编号：</w:t>
      </w:r>
      <w:r>
        <w:rPr>
          <w:sz w:val="24"/>
          <w:b/>
        </w:rPr>
        <w:t>0724-2531Z2892911</w:t>
      </w:r>
    </w:p>
    <w:p>
      <w:pPr>
        <w:pStyle w:val="null3"/>
        <w:jc w:val="center"/>
        <w:outlineLvl w:val="3"/>
      </w:pPr>
      <w:r>
        <w:rPr>
          <w:sz w:val="24"/>
          <w:b/>
        </w:rPr>
        <w:t>项目名称：</w:t>
      </w:r>
      <w:r>
        <w:rPr>
          <w:sz w:val="24"/>
          <w:b/>
        </w:rPr>
        <w:t>广州市第十二人民医院2025年度科研教学设备-斑马鱼实验研究平台采购项目</w:t>
      </w:r>
    </w:p>
    <w:p>
      <w:pPr>
        <w:pStyle w:val="null3"/>
        <w:jc w:val="center"/>
        <w:outlineLvl w:val="3"/>
      </w:pPr>
      <w:r>
        <w:rPr>
          <w:sz w:val="24"/>
          <w:b/>
        </w:rPr>
        <w:t>采购人：</w:t>
      </w:r>
      <w:r>
        <w:rPr>
          <w:sz w:val="24"/>
          <w:b/>
        </w:rPr>
        <w:t>广州市第十二人民医院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广州市第十二人民医院</w:t>
      </w:r>
      <w:r>
        <w:rPr/>
        <w:t>的委托，采用</w:t>
      </w:r>
      <w:r>
        <w:rPr/>
        <w:t>公开招标</w:t>
      </w:r>
      <w:r>
        <w:rPr/>
        <w:t>方式组织采购</w:t>
      </w:r>
      <w:r>
        <w:rPr/>
        <w:t>广州市第十二人民医院2025年度科研教学设备-斑马鱼实验研究平台采购项目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广州市第十二人民医院2025年度科研教学设备-斑马鱼实验研究平台采购项目</w:t>
      </w:r>
    </w:p>
    <w:p>
      <w:pPr>
        <w:pStyle w:val="null3"/>
        <w:ind w:firstLine="480"/>
      </w:pPr>
      <w:r>
        <w:rPr/>
        <w:t>采购计划编号：</w:t>
      </w:r>
      <w:r>
        <w:rPr/>
        <w:t>440101-2025-08718</w:t>
      </w:r>
    </w:p>
    <w:p>
      <w:pPr>
        <w:pStyle w:val="null3"/>
        <w:ind w:firstLine="480"/>
      </w:pPr>
      <w:r>
        <w:rPr/>
        <w:t>采购项目编号：</w:t>
      </w:r>
      <w:r>
        <w:rPr/>
        <w:t>0724-2531Z2892911</w:t>
      </w:r>
    </w:p>
    <w:p>
      <w:pPr>
        <w:pStyle w:val="null3"/>
        <w:ind w:firstLine="480"/>
      </w:pPr>
      <w:r>
        <w:rPr/>
        <w:t>采购方式：</w:t>
      </w:r>
      <w:r>
        <w:rPr/>
        <w:t>公开招标</w:t>
      </w:r>
    </w:p>
    <w:p>
      <w:pPr>
        <w:pStyle w:val="null3"/>
        <w:ind w:firstLine="480"/>
      </w:pPr>
      <w:r>
        <w:rPr/>
        <w:t>预算金额：</w:t>
      </w:r>
      <w:r>
        <w:rPr/>
        <w:t>421,000.00</w:t>
      </w:r>
      <w:r>
        <w:rPr/>
        <w:t>元</w:t>
      </w:r>
    </w:p>
    <w:p>
      <w:pPr>
        <w:pStyle w:val="null3"/>
        <w:outlineLvl w:val="3"/>
      </w:pPr>
      <w:r>
        <w:rPr>
          <w:sz w:val="24"/>
          <w:b/>
        </w:rPr>
        <w:t>2.项目内容及需求情况（采购项目技术规格、参数及要求）</w:t>
      </w:r>
    </w:p>
    <w:p>
      <w:pPr>
        <w:pStyle w:val="null3"/>
      </w:pPr>
      <w:r>
        <w:rPr/>
        <w:t>采购包1(斑马鱼实验研究平台):</w:t>
      </w:r>
    </w:p>
    <w:p>
      <w:pPr>
        <w:pStyle w:val="null3"/>
      </w:pPr>
      <w:r>
        <w:rPr/>
        <w:t>采购包预算金额：421,000.00元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水产养殖机械</w:t>
            </w:r>
          </w:p>
        </w:tc>
        <w:tc>
          <w:tcPr>
            <w:tcW w:type="dxa" w:w="2136"/>
          </w:tcPr>
          <w:p>
            <w:pPr>
              <w:pStyle w:val="null3"/>
            </w:pPr>
            <w:r>
              <w:rPr/>
              <w:t>斑马鱼实验研究平台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采购包1（斑马鱼实验研究平台）：</w:t>
      </w:r>
      <w:r>
        <w:rPr/>
        <w:t>本项目专门面向中小企业采购的项目（本项目采购标的所属行业：工业），投标人按照格式提供中小企业声明函。</w:t>
      </w:r>
    </w:p>
    <w:p>
      <w:pPr>
        <w:pStyle w:val="null3"/>
        <w:outlineLvl w:val="3"/>
      </w:pPr>
      <w:r>
        <w:rPr>
          <w:sz w:val="24"/>
          <w:b/>
        </w:rPr>
        <w:t>3.本项目特定的资格要求：</w:t>
      </w:r>
    </w:p>
    <w:p>
      <w:pPr>
        <w:pStyle w:val="null3"/>
      </w:pPr>
      <w:r>
        <w:rPr/>
        <w:t>采购包1（斑马鱼实验研究平台）：</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广州市第十二人民医院</w:t>
      </w:r>
    </w:p>
    <w:p>
      <w:pPr>
        <w:pStyle w:val="null3"/>
        <w:ind w:firstLine="480"/>
      </w:pPr>
      <w:r>
        <w:rPr/>
        <w:t xml:space="preserve"> 地址：</w:t>
      </w:r>
      <w:r>
        <w:rPr/>
        <w:t>广州市天河区黄埔大道西天强路1号</w:t>
      </w:r>
    </w:p>
    <w:p>
      <w:pPr>
        <w:pStyle w:val="null3"/>
        <w:ind w:firstLine="480"/>
      </w:pPr>
      <w:r>
        <w:rPr/>
        <w:t xml:space="preserve"> 联系方式：</w:t>
      </w:r>
      <w:r>
        <w:rPr/>
        <w:t>38665704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1．项目标的及采购限价：</w:t>
      </w:r>
    </w:p>
    <w:tbl>
      <w:tblPr>
        <w:tblW w:w="0" w:type="auto"/>
        <w:tblInd w:type="dxa" w:w="375"/>
        <w:tblBorders>
          <w:top w:val="none" w:color="000000" w:sz="4"/>
          <w:left w:val="none" w:color="000000" w:sz="4"/>
          <w:bottom w:val="none" w:color="000000" w:sz="4"/>
          <w:right w:val="none" w:color="000000" w:sz="4"/>
          <w:insideH w:val="none"/>
          <w:insideV w:val="none"/>
        </w:tblBorders>
      </w:tblPr>
      <w:tblGrid>
        <w:gridCol w:w="3416"/>
        <w:gridCol w:w="1356"/>
        <w:gridCol w:w="3533"/>
      </w:tblGrid>
      <w:tr>
        <w:tc>
          <w:tcPr>
            <w:tcW w:type="dxa" w:w="341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标的名称</w:t>
            </w:r>
          </w:p>
        </w:tc>
        <w:tc>
          <w:tcPr>
            <w:tcW w:type="dxa" w:w="135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数量</w:t>
            </w:r>
          </w:p>
        </w:tc>
        <w:tc>
          <w:tcPr>
            <w:tcW w:type="dxa" w:w="353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最高限价</w:t>
            </w:r>
            <w:r>
              <w:rPr>
                <w:sz w:val="21"/>
                <w:b/>
              </w:rPr>
              <w:t>(人民币)</w:t>
            </w:r>
          </w:p>
        </w:tc>
      </w:tr>
      <w:tr>
        <w:tc>
          <w:tcPr>
            <w:tcW w:type="dxa" w:w="34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斑马鱼实验研究平台</w:t>
            </w:r>
          </w:p>
        </w:tc>
        <w:tc>
          <w:tcPr>
            <w:tcW w:type="dxa" w:w="135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1套</w:t>
            </w:r>
          </w:p>
        </w:tc>
        <w:tc>
          <w:tcPr>
            <w:tcW w:type="dxa" w:w="353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人民币</w:t>
            </w:r>
            <w:r>
              <w:rPr>
                <w:sz w:val="21"/>
              </w:rPr>
              <w:t>42.1万元</w:t>
            </w:r>
          </w:p>
        </w:tc>
      </w:tr>
    </w:tbl>
    <w:p>
      <w:pPr>
        <w:pStyle w:val="null3"/>
        <w:ind w:firstLine="360"/>
        <w:jc w:val="both"/>
      </w:pPr>
      <w:r>
        <w:rPr>
          <w:sz w:val="21"/>
          <w:color w:val="000000"/>
        </w:rPr>
        <w:t>详细技术规范请参阅招标文件中的用户需求书。</w:t>
      </w:r>
      <w:r>
        <w:rPr>
          <w:sz w:val="21"/>
        </w:rPr>
        <w:t>投标人必须对所的全部招标内容进行投标报价，如有缺漏，将导致投标无效。如投标报价超出最高限价，将导致投标无效。</w:t>
      </w:r>
    </w:p>
    <w:p>
      <w:pPr>
        <w:pStyle w:val="null3"/>
        <w:ind w:firstLine="360"/>
        <w:jc w:val="both"/>
      </w:pPr>
      <w:r>
        <w:rPr>
          <w:sz w:val="21"/>
          <w:u w:val="single"/>
        </w:rPr>
        <w:t>本项目采购本国产品</w:t>
      </w:r>
    </w:p>
    <w:p>
      <w:pPr>
        <w:pStyle w:val="null3"/>
        <w:jc w:val="both"/>
      </w:pPr>
      <w:r>
        <w:rPr>
          <w:sz w:val="21"/>
        </w:rPr>
        <w:t>（二）、总体要求：</w:t>
      </w:r>
    </w:p>
    <w:p>
      <w:pPr>
        <w:pStyle w:val="null3"/>
        <w:jc w:val="both"/>
      </w:pPr>
      <w:r>
        <w:rPr>
          <w:sz w:val="21"/>
        </w:rPr>
        <w:t>1.投标人必须对本项目的所有内容进行投标并对每项货物进行明细报价。</w:t>
      </w:r>
    </w:p>
    <w:p>
      <w:pPr>
        <w:pStyle w:val="null3"/>
        <w:jc w:val="both"/>
      </w:pPr>
      <w:r>
        <w:rPr>
          <w:sz w:val="21"/>
        </w:rPr>
        <w:t>2.投标人漏报的单价或每单价投标中漏报、少报的费用，视为此项费用已包含在投标中，中标后不得再向采购人收取任何费用。</w:t>
      </w:r>
    </w:p>
    <w:p>
      <w:pPr>
        <w:pStyle w:val="null3"/>
      </w:pPr>
      <w:r>
        <w:rPr/>
        <w:t>采购包1（斑马鱼实验研究平台）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自合同签订之日起30日内完成交货、安装调试。</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第1期为(1期)：支付比例30%，（1）合同生效后，中标人向采购人提供中标通知书、合同书、并开具的正规、合法、有效、等额发票，经审核无误后，采购人在具备支付条件的5个工作日内支付合同金额的30%。。</w:t>
            </w:r>
          </w:p>
          <w:p>
            <w:pPr>
              <w:pStyle w:val="null3"/>
            </w:pPr>
            <w:r>
              <w:rPr/>
              <w:t>第2期为(2期)：支付比例70%，（2）设备到货、安装、调试完毕，双方对设备数量、性能验收，验收合格后，双方在验收报告上签字盖章，中标人提供中标通知书、合同书、并开具的正规、合法、有效、等额发票及验收报告，经审核无误后，采购人在具备支付条件的5个工作日内支付剩余70%合同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产品（设备）若有国家标准按照国家标准验收，若无国家标准按行业标准验收。中标人保证产品为原制造商制造的全新产品，整机无污染，无侵害第三方权利、表面无划损、无任何缺陷隐患，在中国境内可依常规安全合法使用。2.货物为原厂商未启封全新包装，具出厂合格证，序列号、包装箱号与出厂批号一致，并可追索查阅。所有随设备的附件必须齐全。3.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4．中标人应在项目验收前将系统的全部有关产品说明书、原厂家安装及使用手册、技术文件、资料、及安装、调试、验收报告等文档汇集成册交付采购人。5.验收不能通过的，中标人应负责及时整改。若整改后，产品仍未能达标的，采购人有权依本合同约定和法律规定追究其经济及法律责任。6.中标人保证合同项下提供的产品不侵犯任何第三方的专利、商标或版权。否则，中标人须承担对第三方的专利、商标或版权的侵权责任并承担因此而发生的所有费用。如采购人因此承担相关责任，有权向中标人追偿。合同货物在出厂前应进行验收，货物到采购人指定地点后应在双方共同参加下进行验收，双方在相关的单据上签字确认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tc>
        <w:tc>
          <w:tcPr>
            <w:tcW w:type="dxa" w:w="2076"/>
          </w:tcPr>
          <w:p>
            <w:pPr>
              <w:pStyle w:val="null3"/>
              <w:jc w:val="center"/>
            </w:pPr>
            <w:r>
              <w:rPr/>
              <w:t>2</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设备的包装均应有良好的防湿、防锈、防潮、防雨、防腐及防碰撞的措施。凡由于包装不良造成的损失和由此产生的费用均由乙方承担。</w:t>
            </w:r>
          </w:p>
        </w:tc>
      </w:tr>
      <w:tr>
        <w:tc>
          <w:tcPr>
            <w:tcW w:type="dxa" w:w="2076"/>
          </w:tcPr>
          <w:p/>
        </w:tc>
        <w:tc>
          <w:tcPr>
            <w:tcW w:type="dxa" w:w="2076"/>
          </w:tcPr>
          <w:p>
            <w:pPr>
              <w:pStyle w:val="null3"/>
              <w:jc w:val="center"/>
            </w:pPr>
            <w:r>
              <w:rPr/>
              <w:t>3</w:t>
            </w:r>
          </w:p>
        </w:tc>
        <w:tc>
          <w:tcPr>
            <w:tcW w:type="dxa" w:w="2076"/>
          </w:tcPr>
          <w:p>
            <w:pPr>
              <w:pStyle w:val="null3"/>
              <w:jc w:val="left"/>
            </w:pPr>
            <w:r>
              <w:rPr/>
              <w:t>维保期</w:t>
            </w:r>
          </w:p>
        </w:tc>
        <w:tc>
          <w:tcPr>
            <w:tcW w:type="dxa" w:w="2076"/>
          </w:tcPr>
          <w:p>
            <w:pPr>
              <w:pStyle w:val="null3"/>
              <w:jc w:val="left"/>
            </w:pPr>
            <w:r>
              <w:rPr/>
              <w:t>验收合格后，整机免费保修期≥3年，终身维护，为仪器提供完善的售后服务，提供7x24小时维修服务，且服务响应时间不超过2小时</w:t>
            </w:r>
          </w:p>
        </w:tc>
      </w:tr>
      <w:tr>
        <w:tc>
          <w:tcPr>
            <w:tcW w:type="dxa" w:w="2076"/>
          </w:tcPr>
          <w:p/>
        </w:tc>
        <w:tc>
          <w:tcPr>
            <w:tcW w:type="dxa" w:w="2076"/>
          </w:tcPr>
          <w:p>
            <w:pPr>
              <w:pStyle w:val="null3"/>
              <w:jc w:val="center"/>
            </w:pPr>
            <w:r>
              <w:rPr/>
              <w:t>4</w:t>
            </w:r>
          </w:p>
        </w:tc>
        <w:tc>
          <w:tcPr>
            <w:tcW w:type="dxa" w:w="2076"/>
          </w:tcPr>
          <w:p>
            <w:pPr>
              <w:pStyle w:val="null3"/>
              <w:jc w:val="left"/>
            </w:pPr>
            <w:r>
              <w:rPr/>
              <w:t>售后要求</w:t>
            </w:r>
          </w:p>
        </w:tc>
        <w:tc>
          <w:tcPr>
            <w:tcW w:type="dxa" w:w="2076"/>
          </w:tcPr>
          <w:p>
            <w:pPr>
              <w:pStyle w:val="null3"/>
              <w:jc w:val="left"/>
            </w:pPr>
            <w:r>
              <w:rPr/>
              <w:t>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安装、调试与测试</w:t>
            </w:r>
          </w:p>
        </w:tc>
        <w:tc>
          <w:tcPr>
            <w:tcW w:type="dxa" w:w="2076"/>
          </w:tcPr>
          <w:p>
            <w:pPr>
              <w:pStyle w:val="null3"/>
              <w:jc w:val="left"/>
            </w:pPr>
            <w:r>
              <w:rPr/>
              <w:t>1、中标人必须依照采购文件的要求和投标文件的承诺，将设备、系统安装并调试至正常运行的最佳状态，测试无故障。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投标人应为采购人提供专人指导和设备操作培训课程安排，培训内容应包含对设备的操作过程中的注意事项、对特殊情况（如设备反复重启，操作失灵，错误操作等情况）的应对措施。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水产养殖机械</w:t>
            </w:r>
          </w:p>
        </w:tc>
        <w:tc>
          <w:tcPr>
            <w:tcW w:type="dxa" w:w="831"/>
          </w:tcPr>
          <w:p>
            <w:pPr>
              <w:pStyle w:val="null3"/>
              <w:jc w:val="left"/>
            </w:pPr>
            <w:r>
              <w:rPr/>
              <w:t>斑马鱼实验研究平台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421,000.00</w:t>
            </w:r>
          </w:p>
        </w:tc>
        <w:tc>
          <w:tcPr>
            <w:tcW w:type="dxa" w:w="831"/>
          </w:tcPr>
          <w:p>
            <w:pPr>
              <w:pStyle w:val="null3"/>
              <w:jc w:val="right"/>
            </w:pPr>
            <w:r>
              <w:rPr/>
              <w:t>421,000.00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斑马鱼实验研究平台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一、为保证货物来源渠道合法，如投标人为所投产品的代理经销商，需提有效的授权证明材料（提供证明材料）</w:t>
            </w:r>
          </w:p>
        </w:tc>
      </w:tr>
      <w:tr>
        <w:tc>
          <w:tcPr>
            <w:tcW w:type="dxa" w:w="2076"/>
          </w:tcPr>
          <w:p/>
        </w:tc>
        <w:tc>
          <w:tcPr>
            <w:tcW w:type="dxa" w:w="415"/>
          </w:tcPr>
          <w:p>
            <w:pPr>
              <w:pStyle w:val="null3"/>
            </w:pPr>
            <w:r>
              <w:rPr/>
              <w:t>2</w:t>
            </w:r>
          </w:p>
        </w:tc>
        <w:tc>
          <w:tcPr>
            <w:tcW w:type="dxa" w:w="5814"/>
          </w:tcPr>
          <w:p>
            <w:pPr>
              <w:pStyle w:val="null3"/>
              <w:jc w:val="both"/>
            </w:pPr>
            <w:r>
              <w:rPr>
                <w:sz w:val="21"/>
              </w:rPr>
              <w:t>（一）斑马鱼三层单排循环养殖系统</w:t>
            </w:r>
          </w:p>
          <w:p>
            <w:pPr>
              <w:pStyle w:val="null3"/>
              <w:jc w:val="both"/>
            </w:pPr>
            <w:r>
              <w:rPr>
                <w:sz w:val="21"/>
              </w:rPr>
              <w:t>1.</w:t>
            </w:r>
            <w:r>
              <w:rPr>
                <w:sz w:val="21"/>
              </w:rPr>
              <w:t>配置≥</w:t>
            </w:r>
            <w:r>
              <w:rPr>
                <w:sz w:val="21"/>
              </w:rPr>
              <w:t>316L</w:t>
            </w:r>
            <w:r>
              <w:rPr>
                <w:sz w:val="21"/>
              </w:rPr>
              <w:t>材质不锈钢架≤</w:t>
            </w:r>
            <w:r>
              <w:rPr>
                <w:sz w:val="21"/>
              </w:rPr>
              <w:t>350</w:t>
            </w:r>
            <w:r>
              <w:rPr>
                <w:sz w:val="21"/>
              </w:rPr>
              <w:t>×</w:t>
            </w:r>
            <w:r>
              <w:rPr>
                <w:sz w:val="21"/>
              </w:rPr>
              <w:t>450</w:t>
            </w:r>
            <w:r>
              <w:rPr>
                <w:sz w:val="21"/>
              </w:rPr>
              <w:t>×</w:t>
            </w:r>
            <w:r>
              <w:rPr>
                <w:sz w:val="21"/>
              </w:rPr>
              <w:t>1650</w:t>
            </w:r>
            <w:r>
              <w:rPr>
                <w:sz w:val="21"/>
              </w:rPr>
              <w:t xml:space="preserve">㎜，≤ </w:t>
            </w:r>
            <w:r>
              <w:rPr>
                <w:sz w:val="21"/>
              </w:rPr>
              <w:t>25</w:t>
            </w:r>
            <w:r>
              <w:rPr>
                <w:sz w:val="21"/>
              </w:rPr>
              <w:t>×</w:t>
            </w:r>
            <w:r>
              <w:rPr>
                <w:sz w:val="21"/>
              </w:rPr>
              <w:t>25</w:t>
            </w:r>
            <w:r>
              <w:rPr>
                <w:sz w:val="21"/>
              </w:rPr>
              <w:t>×</w:t>
            </w:r>
            <w:r>
              <w:rPr>
                <w:sz w:val="21"/>
              </w:rPr>
              <w:t>2.0mm</w:t>
            </w:r>
            <w:r>
              <w:rPr>
                <w:sz w:val="21"/>
              </w:rPr>
              <w:t>，带底脚调节螺丝；</w:t>
            </w:r>
          </w:p>
          <w:p>
            <w:pPr>
              <w:pStyle w:val="null3"/>
              <w:jc w:val="both"/>
            </w:pPr>
            <w:r>
              <w:rPr>
                <w:sz w:val="21"/>
              </w:rPr>
              <w:t>▲</w:t>
            </w:r>
            <w:r>
              <w:rPr>
                <w:sz w:val="21"/>
              </w:rPr>
              <w:t>2.</w:t>
            </w:r>
            <w:r>
              <w:rPr>
                <w:sz w:val="21"/>
              </w:rPr>
              <w:t>三层单排循环养殖系统配置如下：第一层放置</w:t>
            </w:r>
            <w:r>
              <w:rPr>
                <w:sz w:val="21"/>
              </w:rPr>
              <w:t>1.5L</w:t>
            </w:r>
            <w:r>
              <w:rPr>
                <w:sz w:val="21"/>
              </w:rPr>
              <w:t>养殖缸，第二层放置</w:t>
            </w:r>
            <w:r>
              <w:rPr>
                <w:sz w:val="21"/>
              </w:rPr>
              <w:t>3L</w:t>
            </w:r>
            <w:r>
              <w:rPr>
                <w:sz w:val="21"/>
              </w:rPr>
              <w:t>养殖缸，第三层放置</w:t>
            </w:r>
            <w:r>
              <w:rPr>
                <w:sz w:val="21"/>
              </w:rPr>
              <w:t>3L</w:t>
            </w:r>
            <w:r>
              <w:rPr>
                <w:sz w:val="21"/>
              </w:rPr>
              <w:t>养殖缸，养殖缸</w:t>
            </w:r>
            <w:r>
              <w:rPr>
                <w:sz w:val="21"/>
              </w:rPr>
              <w:t>PC</w:t>
            </w:r>
            <w:r>
              <w:rPr>
                <w:sz w:val="21"/>
              </w:rPr>
              <w:t>材质，食品级，耐高温消毒，抗摔性强；能排除残饵及鱼类排泄物；配备幼鱼专用插板。</w:t>
            </w:r>
          </w:p>
          <w:p>
            <w:pPr>
              <w:pStyle w:val="null3"/>
              <w:jc w:val="both"/>
            </w:pPr>
            <w:r>
              <w:rPr>
                <w:sz w:val="21"/>
              </w:rPr>
              <w:t>▲</w:t>
            </w:r>
            <w:r>
              <w:rPr>
                <w:sz w:val="21"/>
              </w:rPr>
              <w:t>3.</w:t>
            </w:r>
            <w:r>
              <w:rPr>
                <w:sz w:val="21"/>
              </w:rPr>
              <w:t>配备可替换</w:t>
            </w:r>
            <w:r>
              <w:rPr>
                <w:sz w:val="21"/>
              </w:rPr>
              <w:t>PC</w:t>
            </w:r>
            <w:r>
              <w:rPr>
                <w:sz w:val="21"/>
              </w:rPr>
              <w:t>鱼缸；离地≥</w:t>
            </w:r>
            <w:r>
              <w:rPr>
                <w:sz w:val="21"/>
              </w:rPr>
              <w:t>2</w:t>
            </w:r>
            <w:r>
              <w:rPr>
                <w:sz w:val="21"/>
              </w:rPr>
              <w:t>米掉落至水泥地面不可破裂；环采溢流方式，具有自动清洁设计；蓝色透明隔板及盖板。</w:t>
            </w:r>
            <w:r>
              <w:rPr>
                <w:sz w:val="21"/>
              </w:rPr>
              <w:t>3L</w:t>
            </w:r>
            <w:r>
              <w:rPr>
                <w:sz w:val="21"/>
              </w:rPr>
              <w:t>缸一分为二，实现一缸同时饲养雌鱼和雄鱼，增加信息素交流，提高低产卵转基因斑马鱼产卵量。养殖缸配备流水盖板，减少气泡病的发生。</w:t>
            </w:r>
          </w:p>
          <w:p>
            <w:pPr>
              <w:pStyle w:val="null3"/>
              <w:jc w:val="both"/>
            </w:pPr>
            <w:r>
              <w:rPr>
                <w:sz w:val="21"/>
              </w:rPr>
              <w:t>▲</w:t>
            </w:r>
            <w:r>
              <w:rPr>
                <w:sz w:val="21"/>
              </w:rPr>
              <w:t>4.</w:t>
            </w:r>
            <w:r>
              <w:rPr>
                <w:sz w:val="21"/>
              </w:rPr>
              <w:t>每个养殖缸的供水单独可控；每排养殖缸的供水单独可控；配备独立的供氧装置，提高鱼缸水体的溶氧量，养殖系统配备独立光照系统，自动控制灯光开关，可设置开灯关灯时间，可设置≥</w:t>
            </w:r>
            <w:r>
              <w:rPr>
                <w:sz w:val="21"/>
              </w:rPr>
              <w:t>20</w:t>
            </w:r>
            <w:r>
              <w:rPr>
                <w:sz w:val="21"/>
              </w:rPr>
              <w:t>组时间模块，进行光照周期实验，带定时功能自动控制</w:t>
            </w:r>
            <w:r>
              <w:rPr>
                <w:sz w:val="21"/>
              </w:rPr>
              <w:t>14</w:t>
            </w:r>
            <w:r>
              <w:rPr>
                <w:sz w:val="21"/>
              </w:rPr>
              <w:t>小时光照，</w:t>
            </w:r>
            <w:r>
              <w:rPr>
                <w:sz w:val="21"/>
              </w:rPr>
              <w:t>10</w:t>
            </w:r>
            <w:r>
              <w:rPr>
                <w:sz w:val="21"/>
              </w:rPr>
              <w:t>小时黑暗；可调式水流，每一层具有独立的控制阀，其水流每一层可单独控制；每一缸有独立的出水调节阀，其水流可每缸单独调整；每个饲育缸调节阀应为可拆式。</w:t>
            </w:r>
          </w:p>
          <w:p>
            <w:pPr>
              <w:pStyle w:val="null3"/>
              <w:jc w:val="both"/>
            </w:pPr>
            <w:r>
              <w:rPr>
                <w:sz w:val="21"/>
              </w:rPr>
              <w:t>5.</w:t>
            </w:r>
            <w:r>
              <w:rPr>
                <w:sz w:val="21"/>
              </w:rPr>
              <w:t>配生物除氨水槽，定期清洗便可长期使用，自清洁过滤网，不需要使用过滤棉，可节省耗材费用；</w:t>
            </w:r>
          </w:p>
          <w:p>
            <w:pPr>
              <w:pStyle w:val="null3"/>
              <w:jc w:val="both"/>
            </w:pPr>
            <w:r>
              <w:rPr>
                <w:sz w:val="21"/>
              </w:rPr>
              <w:t>6.</w:t>
            </w:r>
            <w:r>
              <w:rPr>
                <w:sz w:val="21"/>
              </w:rPr>
              <w:t>回水槽采用底部圆弧设计，无死角，不留水珠，不留垢。</w:t>
            </w:r>
          </w:p>
          <w:p>
            <w:pPr>
              <w:pStyle w:val="null3"/>
              <w:jc w:val="both"/>
            </w:pPr>
            <w:r>
              <w:rPr>
                <w:sz w:val="21"/>
              </w:rPr>
              <w:t>7.</w:t>
            </w:r>
            <w:r>
              <w:rPr>
                <w:sz w:val="21"/>
              </w:rPr>
              <w:t>提供≥</w:t>
            </w:r>
            <w:r>
              <w:rPr>
                <w:sz w:val="21"/>
              </w:rPr>
              <w:t>1.5L</w:t>
            </w:r>
            <w:r>
              <w:rPr>
                <w:sz w:val="21"/>
              </w:rPr>
              <w:t>水槽幼鱼专用插板</w:t>
            </w:r>
            <w:r>
              <w:rPr>
                <w:sz w:val="21"/>
              </w:rPr>
              <w:t>12</w:t>
            </w:r>
            <w:r>
              <w:rPr>
                <w:sz w:val="21"/>
              </w:rPr>
              <w:t>块，≥</w:t>
            </w:r>
            <w:r>
              <w:rPr>
                <w:sz w:val="21"/>
              </w:rPr>
              <w:t>3L</w:t>
            </w:r>
            <w:r>
              <w:rPr>
                <w:sz w:val="21"/>
              </w:rPr>
              <w:t>水槽幼鱼专用插板</w:t>
            </w:r>
            <w:r>
              <w:rPr>
                <w:sz w:val="21"/>
              </w:rPr>
              <w:t>8</w:t>
            </w:r>
            <w:r>
              <w:rPr>
                <w:sz w:val="21"/>
              </w:rPr>
              <w:t>块。</w:t>
            </w:r>
          </w:p>
          <w:p>
            <w:pPr>
              <w:pStyle w:val="null3"/>
              <w:jc w:val="both"/>
            </w:pPr>
            <w:r>
              <w:rPr>
                <w:sz w:val="21"/>
              </w:rPr>
              <w:t>8.</w:t>
            </w:r>
            <w:r>
              <w:rPr>
                <w:sz w:val="21"/>
              </w:rPr>
              <w:t>系统自带循环，五级过滤，杀菌，独立使用，保证单元内养殖缸内的水循环更新量大于</w:t>
            </w:r>
            <w:r>
              <w:rPr>
                <w:sz w:val="21"/>
              </w:rPr>
              <w:t>5</w:t>
            </w:r>
            <w:r>
              <w:rPr>
                <w:sz w:val="21"/>
              </w:rPr>
              <w:t>次</w:t>
            </w:r>
            <w:r>
              <w:rPr>
                <w:sz w:val="21"/>
              </w:rPr>
              <w:t>/</w:t>
            </w:r>
            <w:r>
              <w:rPr>
                <w:sz w:val="21"/>
              </w:rPr>
              <w:t>小时；底部为水处理培菌过滤槽；管材颜色为白色</w:t>
            </w:r>
            <w:r>
              <w:rPr>
                <w:sz w:val="21"/>
              </w:rPr>
              <w:t>PVCU</w:t>
            </w:r>
            <w:r>
              <w:rPr>
                <w:sz w:val="21"/>
              </w:rPr>
              <w:t>材质；</w:t>
            </w:r>
            <w:r>
              <w:rPr>
                <w:sz w:val="21"/>
              </w:rPr>
              <w:t>PVCU</w:t>
            </w:r>
            <w:r>
              <w:rPr>
                <w:sz w:val="21"/>
              </w:rPr>
              <w:t>材质特性：内壁平滑光亮可减低压力损失，减少细菌产生；管材具耐化性不易被腐蚀；非导电性材质，不会受到电解腐蚀；工作温度范围广，约</w:t>
            </w:r>
            <w:r>
              <w:rPr>
                <w:sz w:val="21"/>
              </w:rPr>
              <w:t>-30~100</w:t>
            </w:r>
            <w:r>
              <w:rPr>
                <w:sz w:val="21"/>
              </w:rPr>
              <w:t>℃。具监测水位过低保护装置。当系统侦测水位过低时，停止循环泵工作，防止水泵干烧；含自动补水功能，液位自动保护功能。</w:t>
            </w:r>
          </w:p>
        </w:tc>
      </w:tr>
      <w:tr>
        <w:tc>
          <w:tcPr>
            <w:tcW w:type="dxa" w:w="2076"/>
          </w:tcPr>
          <w:p/>
        </w:tc>
        <w:tc>
          <w:tcPr>
            <w:tcW w:type="dxa" w:w="415"/>
          </w:tcPr>
          <w:p>
            <w:pPr>
              <w:pStyle w:val="null3"/>
            </w:pPr>
            <w:r>
              <w:rPr/>
              <w:t>3</w:t>
            </w:r>
          </w:p>
        </w:tc>
        <w:tc>
          <w:tcPr>
            <w:tcW w:type="dxa" w:w="5814"/>
          </w:tcPr>
          <w:p>
            <w:pPr>
              <w:pStyle w:val="null3"/>
              <w:jc w:val="both"/>
            </w:pPr>
            <w:r>
              <w:rPr>
                <w:sz w:val="21"/>
              </w:rPr>
              <w:t>（二）斑马鱼水质调节系统（</w:t>
            </w:r>
            <w:r>
              <w:rPr>
                <w:sz w:val="21"/>
              </w:rPr>
              <w:t>pH</w:t>
            </w:r>
            <w:r>
              <w:rPr>
                <w:sz w:val="21"/>
              </w:rPr>
              <w:t>及电导率调节仪）</w:t>
            </w:r>
          </w:p>
          <w:p>
            <w:pPr>
              <w:pStyle w:val="null3"/>
              <w:jc w:val="both"/>
            </w:pPr>
            <w:r>
              <w:rPr>
                <w:sz w:val="21"/>
              </w:rPr>
              <w:t>快开微滤器；快开活性炭过滤器；紫外线消毒器；自动电导率、</w:t>
            </w:r>
            <w:r>
              <w:rPr>
                <w:sz w:val="21"/>
              </w:rPr>
              <w:t>PH</w:t>
            </w:r>
            <w:r>
              <w:rPr>
                <w:sz w:val="21"/>
              </w:rPr>
              <w:t>监测及调整；温度传感器；压力传感器；触摸装置，可编程逻辑控制器程序化控制单元</w:t>
            </w:r>
            <w:r>
              <w:rPr>
                <w:sz w:val="21"/>
              </w:rPr>
              <w:t>,</w:t>
            </w:r>
            <w:r>
              <w:rPr>
                <w:sz w:val="21"/>
              </w:rPr>
              <w:t>指示设备运行状态及故障，设备全自动运行，故障保护；不锈钢机架；温控系统。养殖缸内循环量大于</w:t>
            </w:r>
            <w:r>
              <w:rPr>
                <w:sz w:val="21"/>
              </w:rPr>
              <w:t>5</w:t>
            </w:r>
            <w:r>
              <w:rPr>
                <w:sz w:val="21"/>
              </w:rPr>
              <w:t>次</w:t>
            </w:r>
            <w:r>
              <w:rPr>
                <w:sz w:val="21"/>
              </w:rPr>
              <w:t>/</w:t>
            </w:r>
            <w:r>
              <w:rPr>
                <w:sz w:val="21"/>
              </w:rPr>
              <w:t>小时。可监测和调节</w:t>
            </w:r>
            <w:r>
              <w:rPr>
                <w:sz w:val="21"/>
              </w:rPr>
              <w:t>PH</w:t>
            </w:r>
            <w:r>
              <w:rPr>
                <w:sz w:val="21"/>
              </w:rPr>
              <w:t>和电导率，</w:t>
            </w:r>
            <w:r>
              <w:rPr>
                <w:sz w:val="21"/>
              </w:rPr>
              <w:t>pH</w:t>
            </w:r>
            <w:r>
              <w:rPr>
                <w:sz w:val="21"/>
              </w:rPr>
              <w:t>调节范围</w:t>
            </w:r>
            <w:r>
              <w:rPr>
                <w:sz w:val="21"/>
              </w:rPr>
              <w:t>7.2~8.6</w:t>
            </w:r>
            <w:r>
              <w:rPr>
                <w:sz w:val="21"/>
              </w:rPr>
              <w:t>，电导率调节范围</w:t>
            </w:r>
            <w:r>
              <w:rPr>
                <w:sz w:val="21"/>
              </w:rPr>
              <w:t>500~550</w:t>
            </w:r>
            <w:r>
              <w:rPr>
                <w:sz w:val="21"/>
              </w:rPr>
              <w:t>μ</w:t>
            </w:r>
            <w:r>
              <w:rPr>
                <w:sz w:val="21"/>
              </w:rPr>
              <w:t>s/cm</w:t>
            </w:r>
            <w:r>
              <w:rPr>
                <w:sz w:val="21"/>
              </w:rPr>
              <w:t>。</w:t>
            </w:r>
          </w:p>
        </w:tc>
      </w:tr>
      <w:tr>
        <w:tc>
          <w:tcPr>
            <w:tcW w:type="dxa" w:w="2076"/>
          </w:tcPr>
          <w:p/>
        </w:tc>
        <w:tc>
          <w:tcPr>
            <w:tcW w:type="dxa" w:w="415"/>
          </w:tcPr>
          <w:p>
            <w:pPr>
              <w:pStyle w:val="null3"/>
            </w:pPr>
            <w:r>
              <w:rPr/>
              <w:t>4</w:t>
            </w:r>
          </w:p>
        </w:tc>
        <w:tc>
          <w:tcPr>
            <w:tcW w:type="dxa" w:w="5814"/>
          </w:tcPr>
          <w:p>
            <w:pPr>
              <w:pStyle w:val="null3"/>
              <w:jc w:val="both"/>
            </w:pPr>
            <w:r>
              <w:rPr>
                <w:sz w:val="21"/>
              </w:rPr>
              <w:t>（三）斑马鱼净水供水系统</w:t>
            </w:r>
            <w:r>
              <w:rPr>
                <w:sz w:val="21"/>
              </w:rPr>
              <w:t>：</w:t>
            </w:r>
          </w:p>
          <w:p>
            <w:pPr>
              <w:pStyle w:val="null3"/>
              <w:jc w:val="both"/>
            </w:pPr>
            <w:r>
              <w:rPr>
                <w:sz w:val="21"/>
              </w:rPr>
              <w:t>制水量</w:t>
            </w:r>
            <w:r>
              <w:rPr>
                <w:sz w:val="21"/>
              </w:rPr>
              <w:t>≥</w:t>
            </w:r>
            <w:r>
              <w:rPr>
                <w:sz w:val="21"/>
              </w:rPr>
              <w:t>0.5T/H</w:t>
            </w:r>
            <w:r>
              <w:rPr>
                <w:sz w:val="21"/>
              </w:rPr>
              <w:t>，脱盐率大于</w:t>
            </w:r>
            <w:r>
              <w:rPr>
                <w:sz w:val="21"/>
              </w:rPr>
              <w:t>99%</w:t>
            </w:r>
            <w:r>
              <w:rPr>
                <w:sz w:val="21"/>
              </w:rPr>
              <w:t>；不锈钢</w:t>
            </w:r>
            <w:r>
              <w:rPr>
                <w:sz w:val="21"/>
              </w:rPr>
              <w:t>304</w:t>
            </w:r>
            <w:r>
              <w:rPr>
                <w:sz w:val="21"/>
              </w:rPr>
              <w:t>原水箱≥</w:t>
            </w:r>
            <w:r>
              <w:rPr>
                <w:sz w:val="21"/>
              </w:rPr>
              <w:t>90L</w:t>
            </w:r>
            <w:r>
              <w:rPr>
                <w:sz w:val="21"/>
              </w:rPr>
              <w:t>；不锈钢</w:t>
            </w:r>
            <w:r>
              <w:rPr>
                <w:sz w:val="21"/>
              </w:rPr>
              <w:t>304</w:t>
            </w:r>
            <w:r>
              <w:rPr>
                <w:sz w:val="21"/>
              </w:rPr>
              <w:t xml:space="preserve">材质原水泵；前置过滤器， </w:t>
            </w:r>
            <w:r>
              <w:rPr>
                <w:sz w:val="21"/>
              </w:rPr>
              <w:t>PP</w:t>
            </w:r>
            <w:r>
              <w:rPr>
                <w:sz w:val="21"/>
              </w:rPr>
              <w:t>棉过滤器，软树脂过滤器，</w:t>
            </w:r>
            <w:r>
              <w:rPr>
                <w:sz w:val="21"/>
              </w:rPr>
              <w:t>RO</w:t>
            </w:r>
            <w:r>
              <w:rPr>
                <w:sz w:val="21"/>
              </w:rPr>
              <w:t>膜反渗透过滤器。</w:t>
            </w:r>
          </w:p>
          <w:p>
            <w:pPr>
              <w:pStyle w:val="null3"/>
              <w:jc w:val="both"/>
            </w:pPr>
            <w:r>
              <w:rPr>
                <w:sz w:val="21"/>
              </w:rPr>
              <w:t>活性炭过滤器，配阀头；保安过滤器；不锈钢</w:t>
            </w:r>
            <w:r>
              <w:rPr>
                <w:sz w:val="21"/>
              </w:rPr>
              <w:t>304</w:t>
            </w:r>
            <w:r>
              <w:rPr>
                <w:sz w:val="21"/>
              </w:rPr>
              <w:t>材质高压泵；反渗透膜；电导率仪表；触摸装置，可编程逻辑控制器程序化控制单元，指示设备运行状态及故障，设备全自动运行，故障保护；不锈钢</w:t>
            </w:r>
            <w:r>
              <w:rPr>
                <w:sz w:val="21"/>
              </w:rPr>
              <w:t>304</w:t>
            </w:r>
            <w:r>
              <w:rPr>
                <w:sz w:val="21"/>
              </w:rPr>
              <w:t>机架；≥</w:t>
            </w:r>
            <w:r>
              <w:rPr>
                <w:sz w:val="21"/>
              </w:rPr>
              <w:t>200L</w:t>
            </w:r>
            <w:r>
              <w:rPr>
                <w:sz w:val="21"/>
              </w:rPr>
              <w:t>纯水箱≥</w:t>
            </w:r>
            <w:r>
              <w:rPr>
                <w:sz w:val="21"/>
              </w:rPr>
              <w:t>1</w:t>
            </w:r>
            <w:r>
              <w:rPr>
                <w:sz w:val="21"/>
              </w:rPr>
              <w:t>个。</w:t>
            </w:r>
          </w:p>
        </w:tc>
      </w:tr>
      <w:tr>
        <w:tc>
          <w:tcPr>
            <w:tcW w:type="dxa" w:w="2076"/>
          </w:tcPr>
          <w:p/>
        </w:tc>
        <w:tc>
          <w:tcPr>
            <w:tcW w:type="dxa" w:w="415"/>
          </w:tcPr>
          <w:p>
            <w:pPr>
              <w:pStyle w:val="null3"/>
            </w:pPr>
            <w:r>
              <w:rPr/>
              <w:t>5</w:t>
            </w:r>
          </w:p>
        </w:tc>
        <w:tc>
          <w:tcPr>
            <w:tcW w:type="dxa" w:w="5814"/>
          </w:tcPr>
          <w:p>
            <w:pPr>
              <w:pStyle w:val="null3"/>
              <w:jc w:val="both"/>
            </w:pPr>
            <w:r>
              <w:rPr>
                <w:sz w:val="21"/>
              </w:rPr>
              <w:t>（四）丰年虾孵化器</w:t>
            </w:r>
          </w:p>
          <w:p>
            <w:pPr>
              <w:pStyle w:val="null3"/>
              <w:jc w:val="both"/>
            </w:pPr>
            <w:r>
              <w:rPr>
                <w:sz w:val="21"/>
              </w:rPr>
              <w:t>含</w:t>
            </w:r>
            <w:r>
              <w:rPr>
                <w:sz w:val="21"/>
              </w:rPr>
              <w:t>≥</w:t>
            </w:r>
            <w:r>
              <w:rPr>
                <w:sz w:val="21"/>
              </w:rPr>
              <w:t>2</w:t>
            </w:r>
            <w:r>
              <w:rPr>
                <w:sz w:val="21"/>
              </w:rPr>
              <w:t>个卤虫孵化缸，≥</w:t>
            </w:r>
            <w:r>
              <w:rPr>
                <w:sz w:val="21"/>
              </w:rPr>
              <w:t>316</w:t>
            </w:r>
            <w:r>
              <w:rPr>
                <w:sz w:val="21"/>
              </w:rPr>
              <w:t>不锈钢机架，防水遮光布，配备灯、气泵、曝气管路。</w:t>
            </w:r>
            <w:r>
              <w:rPr>
                <w:sz w:val="21"/>
              </w:rPr>
              <w:t>PC</w:t>
            </w:r>
            <w:r>
              <w:rPr>
                <w:sz w:val="21"/>
              </w:rPr>
              <w:t>材质，≥</w:t>
            </w:r>
            <w:r>
              <w:rPr>
                <w:sz w:val="21"/>
              </w:rPr>
              <w:t>2L</w:t>
            </w:r>
            <w:r>
              <w:rPr>
                <w:sz w:val="21"/>
              </w:rPr>
              <w:t>，一次成型，圆锥形无死角，有取料口，有曝气</w:t>
            </w:r>
          </w:p>
        </w:tc>
      </w:tr>
      <w:tr>
        <w:tc>
          <w:tcPr>
            <w:tcW w:type="dxa" w:w="2076"/>
          </w:tcPr>
          <w:p/>
        </w:tc>
        <w:tc>
          <w:tcPr>
            <w:tcW w:type="dxa" w:w="415"/>
          </w:tcPr>
          <w:p>
            <w:pPr>
              <w:pStyle w:val="null3"/>
            </w:pPr>
            <w:r>
              <w:rPr/>
              <w:t>6</w:t>
            </w:r>
          </w:p>
        </w:tc>
        <w:tc>
          <w:tcPr>
            <w:tcW w:type="dxa" w:w="5814"/>
          </w:tcPr>
          <w:p>
            <w:pPr>
              <w:pStyle w:val="null3"/>
              <w:jc w:val="both"/>
            </w:pPr>
            <w:r>
              <w:rPr>
                <w:sz w:val="21"/>
              </w:rPr>
              <w:t>（五）智能光照培养箱</w:t>
            </w:r>
          </w:p>
          <w:p>
            <w:pPr>
              <w:pStyle w:val="null3"/>
              <w:jc w:val="both"/>
            </w:pPr>
            <w:r>
              <w:rPr>
                <w:sz w:val="21"/>
              </w:rPr>
              <w:t>1.</w:t>
            </w:r>
            <w:r>
              <w:rPr>
                <w:sz w:val="21"/>
              </w:rPr>
              <w:t>容积：≥</w:t>
            </w:r>
            <w:r>
              <w:rPr>
                <w:sz w:val="21"/>
              </w:rPr>
              <w:t>250L</w:t>
            </w:r>
          </w:p>
          <w:p>
            <w:pPr>
              <w:pStyle w:val="null3"/>
              <w:jc w:val="both"/>
            </w:pPr>
            <w:r>
              <w:rPr>
                <w:sz w:val="21"/>
              </w:rPr>
              <w:t>2.</w:t>
            </w:r>
            <w:r>
              <w:rPr>
                <w:sz w:val="21"/>
              </w:rPr>
              <w:t>温度</w:t>
            </w:r>
            <w:r>
              <w:rPr>
                <w:sz w:val="21"/>
              </w:rPr>
              <w:t>(</w:t>
            </w:r>
            <w:r>
              <w:rPr>
                <w:sz w:val="21"/>
              </w:rPr>
              <w:t>℃</w:t>
            </w:r>
            <w:r>
              <w:rPr>
                <w:sz w:val="21"/>
              </w:rPr>
              <w:t>)</w:t>
            </w:r>
            <w:r>
              <w:rPr>
                <w:sz w:val="21"/>
              </w:rPr>
              <w:t>：控制范围</w:t>
            </w:r>
            <w:r>
              <w:rPr>
                <w:sz w:val="21"/>
              </w:rPr>
              <w:t>:0</w:t>
            </w:r>
            <w:r>
              <w:rPr>
                <w:sz w:val="21"/>
              </w:rPr>
              <w:t>－</w:t>
            </w:r>
            <w:r>
              <w:rPr>
                <w:sz w:val="21"/>
              </w:rPr>
              <w:t>50</w:t>
            </w:r>
            <w:r>
              <w:rPr>
                <w:sz w:val="21"/>
              </w:rPr>
              <w:t>℃</w:t>
            </w:r>
            <w:r>
              <w:rPr>
                <w:sz w:val="21"/>
              </w:rPr>
              <w:t>(</w:t>
            </w:r>
            <w:r>
              <w:rPr>
                <w:sz w:val="21"/>
              </w:rPr>
              <w:t>长时间使用温度控制在</w:t>
            </w:r>
            <w:r>
              <w:rPr>
                <w:sz w:val="21"/>
              </w:rPr>
              <w:t>8-50</w:t>
            </w:r>
            <w:r>
              <w:rPr>
                <w:sz w:val="21"/>
              </w:rPr>
              <w:t>℃</w:t>
            </w:r>
            <w:r>
              <w:rPr>
                <w:sz w:val="21"/>
              </w:rPr>
              <w:t>)</w:t>
            </w:r>
          </w:p>
          <w:p>
            <w:pPr>
              <w:pStyle w:val="null3"/>
              <w:jc w:val="both"/>
            </w:pPr>
            <w:r>
              <w:rPr>
                <w:sz w:val="21"/>
              </w:rPr>
              <w:t>波动度</w:t>
            </w:r>
            <w:r>
              <w:rPr>
                <w:sz w:val="21"/>
              </w:rPr>
              <w:t>:</w:t>
            </w:r>
            <w:r>
              <w:rPr>
                <w:sz w:val="21"/>
              </w:rPr>
              <w:t>≤±</w:t>
            </w:r>
            <w:r>
              <w:rPr>
                <w:sz w:val="21"/>
              </w:rPr>
              <w:t>1.0</w:t>
            </w:r>
            <w:r>
              <w:rPr>
                <w:sz w:val="21"/>
              </w:rPr>
              <w:t>℃</w:t>
            </w:r>
            <w:r>
              <w:rPr>
                <w:sz w:val="21"/>
              </w:rPr>
              <w:t>,</w:t>
            </w:r>
            <w:r>
              <w:rPr>
                <w:sz w:val="21"/>
              </w:rPr>
              <w:t>偏差</w:t>
            </w:r>
            <w:r>
              <w:rPr>
                <w:sz w:val="21"/>
              </w:rPr>
              <w:t>:</w:t>
            </w:r>
            <w:r>
              <w:rPr>
                <w:sz w:val="21"/>
              </w:rPr>
              <w:t>≤±</w:t>
            </w:r>
            <w:r>
              <w:rPr>
                <w:sz w:val="21"/>
              </w:rPr>
              <w:t>1.5</w:t>
            </w:r>
            <w:r>
              <w:rPr>
                <w:sz w:val="21"/>
              </w:rPr>
              <w:t xml:space="preserve">℃ </w:t>
            </w:r>
            <w:r>
              <w:rPr>
                <w:sz w:val="21"/>
              </w:rPr>
              <w:t>,</w:t>
            </w:r>
            <w:r>
              <w:rPr>
                <w:sz w:val="21"/>
              </w:rPr>
              <w:t>不均匀度</w:t>
            </w:r>
            <w:r>
              <w:rPr>
                <w:sz w:val="21"/>
              </w:rPr>
              <w:t>:</w:t>
            </w:r>
            <w:r>
              <w:rPr>
                <w:sz w:val="21"/>
              </w:rPr>
              <w:t>≤±</w:t>
            </w:r>
            <w:r>
              <w:rPr>
                <w:sz w:val="21"/>
              </w:rPr>
              <w:t>1.5</w:t>
            </w:r>
            <w:r>
              <w:rPr>
                <w:sz w:val="21"/>
              </w:rPr>
              <w:t>℃</w:t>
            </w:r>
          </w:p>
          <w:p>
            <w:pPr>
              <w:pStyle w:val="null3"/>
              <w:jc w:val="both"/>
            </w:pPr>
            <w:r>
              <w:rPr>
                <w:sz w:val="21"/>
              </w:rPr>
              <w:t>3.</w:t>
            </w:r>
            <w:r>
              <w:rPr>
                <w:sz w:val="21"/>
              </w:rPr>
              <w:t>光照度</w:t>
            </w:r>
            <w:r>
              <w:rPr>
                <w:sz w:val="21"/>
              </w:rPr>
              <w:t>(LX)</w:t>
            </w:r>
            <w:r>
              <w:rPr>
                <w:sz w:val="21"/>
              </w:rPr>
              <w:t>：额定光照度</w:t>
            </w:r>
            <w:r>
              <w:rPr>
                <w:sz w:val="21"/>
              </w:rPr>
              <w:t xml:space="preserve">: </w:t>
            </w:r>
            <w:r>
              <w:rPr>
                <w:sz w:val="21"/>
              </w:rPr>
              <w:t>≥</w:t>
            </w:r>
            <w:r>
              <w:rPr>
                <w:sz w:val="21"/>
              </w:rPr>
              <w:t>12000LX</w:t>
            </w:r>
          </w:p>
          <w:p>
            <w:pPr>
              <w:pStyle w:val="null3"/>
              <w:jc w:val="both"/>
            </w:pPr>
            <w:r>
              <w:rPr>
                <w:sz w:val="21"/>
              </w:rPr>
              <w:t>相对光照度控制范围</w:t>
            </w:r>
            <w:r>
              <w:rPr>
                <w:sz w:val="21"/>
              </w:rPr>
              <w:t>:</w:t>
            </w:r>
            <w:r>
              <w:rPr>
                <w:sz w:val="21"/>
              </w:rPr>
              <w:t>五级</w:t>
            </w:r>
            <w:r>
              <w:rPr>
                <w:sz w:val="21"/>
              </w:rPr>
              <w:t>(20%</w:t>
            </w:r>
            <w:r>
              <w:rPr>
                <w:sz w:val="21"/>
              </w:rPr>
              <w:t>、</w:t>
            </w:r>
            <w:r>
              <w:rPr>
                <w:sz w:val="21"/>
              </w:rPr>
              <w:t>40%</w:t>
            </w:r>
            <w:r>
              <w:rPr>
                <w:sz w:val="21"/>
              </w:rPr>
              <w:t>、</w:t>
            </w:r>
            <w:r>
              <w:rPr>
                <w:sz w:val="21"/>
              </w:rPr>
              <w:t>60%</w:t>
            </w:r>
            <w:r>
              <w:rPr>
                <w:sz w:val="21"/>
              </w:rPr>
              <w:t>、</w:t>
            </w:r>
            <w:r>
              <w:rPr>
                <w:sz w:val="21"/>
              </w:rPr>
              <w:t>80%</w:t>
            </w:r>
            <w:r>
              <w:rPr>
                <w:sz w:val="21"/>
              </w:rPr>
              <w:t>、</w:t>
            </w:r>
            <w:r>
              <w:rPr>
                <w:sz w:val="21"/>
              </w:rPr>
              <w:t>H1%</w:t>
            </w:r>
            <w:r>
              <w:rPr>
                <w:sz w:val="21"/>
              </w:rPr>
              <w:t>额定光照度</w:t>
            </w:r>
            <w:r>
              <w:rPr>
                <w:sz w:val="21"/>
              </w:rPr>
              <w:t>)</w:t>
            </w:r>
          </w:p>
          <w:p>
            <w:pPr>
              <w:pStyle w:val="null3"/>
              <w:jc w:val="both"/>
            </w:pPr>
            <w:r>
              <w:rPr>
                <w:sz w:val="21"/>
              </w:rPr>
              <w:t xml:space="preserve">4. </w:t>
            </w:r>
            <w:r>
              <w:rPr>
                <w:sz w:val="21"/>
              </w:rPr>
              <w:t>尺寸：内胆≥</w:t>
            </w:r>
            <w:r>
              <w:rPr>
                <w:sz w:val="21"/>
              </w:rPr>
              <w:t>535*530*920mm;</w:t>
            </w:r>
            <w:r>
              <w:rPr>
                <w:sz w:val="21"/>
              </w:rPr>
              <w:t>外形≥</w:t>
            </w:r>
            <w:r>
              <w:rPr>
                <w:sz w:val="21"/>
              </w:rPr>
              <w:t>685*595*1665mm</w:t>
            </w:r>
          </w:p>
          <w:p>
            <w:pPr>
              <w:pStyle w:val="null3"/>
              <w:jc w:val="both"/>
            </w:pPr>
            <w:r>
              <w:rPr>
                <w:sz w:val="21"/>
              </w:rPr>
              <w:t>5.</w:t>
            </w:r>
            <w:r>
              <w:rPr>
                <w:sz w:val="21"/>
              </w:rPr>
              <w:t>升温时间</w:t>
            </w:r>
            <w:r>
              <w:rPr>
                <w:sz w:val="21"/>
              </w:rPr>
              <w:t>:0</w:t>
            </w:r>
            <w:r>
              <w:rPr>
                <w:sz w:val="21"/>
              </w:rPr>
              <w:t>℃升至</w:t>
            </w:r>
            <w:r>
              <w:rPr>
                <w:sz w:val="21"/>
              </w:rPr>
              <w:t>40</w:t>
            </w:r>
            <w:r>
              <w:rPr>
                <w:sz w:val="21"/>
              </w:rPr>
              <w:t>℃≤</w:t>
            </w:r>
            <w:r>
              <w:rPr>
                <w:sz w:val="21"/>
              </w:rPr>
              <w:t>80</w:t>
            </w:r>
            <w:r>
              <w:rPr>
                <w:sz w:val="21"/>
              </w:rPr>
              <w:t>分钟</w:t>
            </w:r>
          </w:p>
          <w:p>
            <w:pPr>
              <w:pStyle w:val="null3"/>
              <w:jc w:val="both"/>
            </w:pPr>
            <w:r>
              <w:rPr>
                <w:sz w:val="21"/>
              </w:rPr>
              <w:t>6.</w:t>
            </w:r>
            <w:r>
              <w:rPr>
                <w:sz w:val="21"/>
              </w:rPr>
              <w:t>降温时间</w:t>
            </w:r>
            <w:r>
              <w:rPr>
                <w:sz w:val="21"/>
              </w:rPr>
              <w:t>:40</w:t>
            </w:r>
            <w:r>
              <w:rPr>
                <w:sz w:val="21"/>
              </w:rPr>
              <w:t>℃降至</w:t>
            </w:r>
            <w:r>
              <w:rPr>
                <w:sz w:val="21"/>
              </w:rPr>
              <w:t>10</w:t>
            </w:r>
            <w:r>
              <w:rPr>
                <w:sz w:val="21"/>
              </w:rPr>
              <w:t>℃≤</w:t>
            </w:r>
            <w:r>
              <w:rPr>
                <w:sz w:val="21"/>
              </w:rPr>
              <w:t>120</w:t>
            </w:r>
            <w:r>
              <w:rPr>
                <w:sz w:val="21"/>
              </w:rPr>
              <w:t>分钟</w:t>
            </w:r>
          </w:p>
          <w:p>
            <w:pPr>
              <w:pStyle w:val="null3"/>
              <w:jc w:val="both"/>
            </w:pPr>
            <w:r>
              <w:rPr>
                <w:sz w:val="21"/>
              </w:rPr>
              <w:t>7.</w:t>
            </w:r>
            <w:r>
              <w:rPr>
                <w:sz w:val="21"/>
              </w:rPr>
              <w:t>工作时间：周期范围</w:t>
            </w:r>
            <w:r>
              <w:rPr>
                <w:sz w:val="21"/>
              </w:rPr>
              <w:t>:1</w:t>
            </w:r>
            <w:r>
              <w:rPr>
                <w:sz w:val="21"/>
              </w:rPr>
              <w:t>－</w:t>
            </w:r>
            <w:r>
              <w:rPr>
                <w:sz w:val="21"/>
              </w:rPr>
              <w:t>30</w:t>
            </w:r>
            <w:r>
              <w:rPr>
                <w:sz w:val="21"/>
              </w:rPr>
              <w:t>，白天、黑夜时间设置范围</w:t>
            </w:r>
            <w:r>
              <w:rPr>
                <w:sz w:val="21"/>
              </w:rPr>
              <w:t>:0</w:t>
            </w:r>
            <w:r>
              <w:rPr>
                <w:sz w:val="21"/>
              </w:rPr>
              <w:t>－</w:t>
            </w:r>
            <w:r>
              <w:rPr>
                <w:sz w:val="21"/>
              </w:rPr>
              <w:t>24</w:t>
            </w:r>
            <w:r>
              <w:rPr>
                <w:sz w:val="21"/>
              </w:rPr>
              <w:t>小时</w:t>
            </w:r>
          </w:p>
          <w:p>
            <w:pPr>
              <w:pStyle w:val="null3"/>
              <w:jc w:val="both"/>
            </w:pPr>
            <w:r>
              <w:rPr>
                <w:sz w:val="21"/>
              </w:rPr>
              <w:t>8.</w:t>
            </w:r>
            <w:r>
              <w:rPr>
                <w:sz w:val="21"/>
              </w:rPr>
              <w:t>工作环境</w:t>
            </w:r>
            <w:r>
              <w:rPr>
                <w:sz w:val="21"/>
              </w:rPr>
              <w:t>:</w:t>
            </w:r>
            <w:r>
              <w:rPr>
                <w:sz w:val="21"/>
              </w:rPr>
              <w:t>温度</w:t>
            </w:r>
            <w:r>
              <w:rPr>
                <w:sz w:val="21"/>
              </w:rPr>
              <w:t>4</w:t>
            </w:r>
            <w:r>
              <w:rPr>
                <w:sz w:val="21"/>
              </w:rPr>
              <w:t>－</w:t>
            </w:r>
            <w:r>
              <w:rPr>
                <w:sz w:val="21"/>
              </w:rPr>
              <w:t>30</w:t>
            </w:r>
            <w:r>
              <w:rPr>
                <w:sz w:val="21"/>
              </w:rPr>
              <w:t>℃，湿度</w:t>
            </w:r>
            <w:r>
              <w:rPr>
                <w:sz w:val="21"/>
              </w:rPr>
              <w:t>85%RH</w:t>
            </w:r>
            <w:r>
              <w:rPr>
                <w:sz w:val="21"/>
              </w:rPr>
              <w:t>以下，无腐蚀性气体</w:t>
            </w:r>
          </w:p>
          <w:p>
            <w:pPr>
              <w:pStyle w:val="null3"/>
              <w:jc w:val="both"/>
            </w:pPr>
            <w:r>
              <w:rPr>
                <w:sz w:val="21"/>
              </w:rPr>
              <w:t>9.</w:t>
            </w:r>
            <w:r>
              <w:rPr>
                <w:sz w:val="21"/>
              </w:rPr>
              <w:t>压缩机动延时间保护时间</w:t>
            </w:r>
            <w:r>
              <w:rPr>
                <w:sz w:val="21"/>
              </w:rPr>
              <w:t xml:space="preserve">: </w:t>
            </w:r>
            <w:r>
              <w:rPr>
                <w:sz w:val="21"/>
              </w:rPr>
              <w:t>≥</w:t>
            </w:r>
            <w:r>
              <w:rPr>
                <w:sz w:val="21"/>
              </w:rPr>
              <w:t>3</w:t>
            </w:r>
            <w:r>
              <w:rPr>
                <w:sz w:val="21"/>
              </w:rPr>
              <w:t>分钟</w:t>
            </w:r>
          </w:p>
          <w:p>
            <w:pPr>
              <w:pStyle w:val="null3"/>
              <w:jc w:val="both"/>
            </w:pPr>
            <w:r>
              <w:rPr>
                <w:sz w:val="21"/>
              </w:rPr>
              <w:t>10.</w:t>
            </w:r>
            <w:r>
              <w:rPr>
                <w:sz w:val="21"/>
              </w:rPr>
              <w:t>工作方式</w:t>
            </w:r>
            <w:r>
              <w:rPr>
                <w:sz w:val="21"/>
              </w:rPr>
              <w:t>:</w:t>
            </w:r>
            <w:r>
              <w:rPr>
                <w:sz w:val="21"/>
              </w:rPr>
              <w:t>连续运行</w:t>
            </w:r>
            <w:r>
              <w:rPr>
                <w:sz w:val="21"/>
              </w:rPr>
              <w:t>(</w:t>
            </w:r>
            <w:r>
              <w:rPr>
                <w:sz w:val="21"/>
              </w:rPr>
              <w:t>压缩机间歇工作</w:t>
            </w:r>
            <w:r>
              <w:rPr>
                <w:sz w:val="21"/>
              </w:rPr>
              <w:t>)</w:t>
            </w:r>
          </w:p>
          <w:p>
            <w:pPr>
              <w:pStyle w:val="null3"/>
              <w:jc w:val="both"/>
            </w:pPr>
            <w:r>
              <w:rPr>
                <w:sz w:val="21"/>
              </w:rPr>
              <w:t>11.</w:t>
            </w:r>
            <w:r>
              <w:rPr>
                <w:sz w:val="21"/>
              </w:rPr>
              <w:t>噪音</w:t>
            </w:r>
            <w:r>
              <w:rPr>
                <w:sz w:val="21"/>
              </w:rPr>
              <w:t>:</w:t>
            </w:r>
            <w:r>
              <w:rPr>
                <w:sz w:val="21"/>
              </w:rPr>
              <w:t>≤</w:t>
            </w:r>
            <w:r>
              <w:rPr>
                <w:sz w:val="21"/>
              </w:rPr>
              <w:t>70db</w:t>
            </w:r>
          </w:p>
          <w:p>
            <w:pPr>
              <w:pStyle w:val="null3"/>
              <w:jc w:val="both"/>
            </w:pPr>
            <w:r>
              <w:rPr>
                <w:sz w:val="21"/>
              </w:rPr>
              <w:t>12.</w:t>
            </w:r>
            <w:r>
              <w:rPr>
                <w:sz w:val="21"/>
              </w:rPr>
              <w:t>电源要求</w:t>
            </w:r>
            <w:r>
              <w:rPr>
                <w:sz w:val="21"/>
              </w:rPr>
              <w:t>:220V(</w:t>
            </w:r>
            <w:r>
              <w:rPr>
                <w:sz w:val="21"/>
              </w:rPr>
              <w:t>范围</w:t>
            </w:r>
            <w:r>
              <w:rPr>
                <w:sz w:val="21"/>
              </w:rPr>
              <w:t>187V</w:t>
            </w:r>
            <w:r>
              <w:rPr>
                <w:sz w:val="21"/>
              </w:rPr>
              <w:t>－</w:t>
            </w:r>
            <w:r>
              <w:rPr>
                <w:sz w:val="21"/>
              </w:rPr>
              <w:t>246V)</w:t>
            </w:r>
            <w:r>
              <w:rPr>
                <w:sz w:val="21"/>
              </w:rPr>
              <w:t>、≥</w:t>
            </w:r>
            <w:r>
              <w:rPr>
                <w:sz w:val="21"/>
              </w:rPr>
              <w:t>50HZ</w:t>
            </w:r>
          </w:p>
        </w:tc>
      </w:tr>
      <w:tr>
        <w:tc>
          <w:tcPr>
            <w:tcW w:type="dxa" w:w="2076"/>
          </w:tcPr>
          <w:p/>
        </w:tc>
        <w:tc>
          <w:tcPr>
            <w:tcW w:type="dxa" w:w="415"/>
          </w:tcPr>
          <w:p>
            <w:pPr>
              <w:pStyle w:val="null3"/>
            </w:pPr>
            <w:r>
              <w:rPr/>
              <w:t>7</w:t>
            </w:r>
          </w:p>
        </w:tc>
        <w:tc>
          <w:tcPr>
            <w:tcW w:type="dxa" w:w="5814"/>
          </w:tcPr>
          <w:p>
            <w:pPr>
              <w:pStyle w:val="null3"/>
              <w:jc w:val="both"/>
            </w:pPr>
            <w:r>
              <w:rPr>
                <w:sz w:val="21"/>
              </w:rPr>
              <w:t>（六）斑马鱼气动皮升显微注射仪</w:t>
            </w:r>
          </w:p>
          <w:p>
            <w:pPr>
              <w:pStyle w:val="null3"/>
              <w:jc w:val="both"/>
            </w:pPr>
            <w:r>
              <w:rPr>
                <w:sz w:val="21"/>
              </w:rPr>
              <w:t>1.</w:t>
            </w:r>
            <w:r>
              <w:rPr>
                <w:sz w:val="21"/>
              </w:rPr>
              <w:t>输入压力</w:t>
            </w:r>
            <w:r>
              <w:rPr>
                <w:sz w:val="21"/>
              </w:rPr>
              <w:t xml:space="preserve">: </w:t>
            </w:r>
            <w:r>
              <w:rPr>
                <w:sz w:val="21"/>
              </w:rPr>
              <w:t>≤</w:t>
            </w:r>
            <w:r>
              <w:rPr>
                <w:sz w:val="21"/>
              </w:rPr>
              <w:t>100psi(0-600kPa)</w:t>
            </w:r>
          </w:p>
          <w:p>
            <w:pPr>
              <w:pStyle w:val="null3"/>
              <w:jc w:val="both"/>
            </w:pPr>
            <w:r>
              <w:rPr>
                <w:sz w:val="21"/>
              </w:rPr>
              <w:t>2.</w:t>
            </w:r>
            <w:r>
              <w:rPr>
                <w:sz w:val="21"/>
              </w:rPr>
              <w:t>输出压力</w:t>
            </w:r>
            <w:r>
              <w:rPr>
                <w:sz w:val="21"/>
              </w:rPr>
              <w:t>:0-100psi</w:t>
            </w:r>
            <w:r>
              <w:rPr>
                <w:sz w:val="21"/>
              </w:rPr>
              <w:t>可调</w:t>
            </w:r>
            <w:r>
              <w:rPr>
                <w:sz w:val="21"/>
              </w:rPr>
              <w:t>(0-700kPa)</w:t>
            </w:r>
          </w:p>
          <w:p>
            <w:pPr>
              <w:pStyle w:val="null3"/>
              <w:jc w:val="both"/>
            </w:pPr>
            <w:r>
              <w:rPr>
                <w:sz w:val="21"/>
              </w:rPr>
              <w:t>3.</w:t>
            </w:r>
            <w:r>
              <w:rPr>
                <w:sz w:val="21"/>
              </w:rPr>
              <w:t>输出压力</w:t>
            </w:r>
            <w:r>
              <w:rPr>
                <w:sz w:val="21"/>
              </w:rPr>
              <w:t>:</w:t>
            </w:r>
            <w:r>
              <w:rPr>
                <w:sz w:val="21"/>
              </w:rPr>
              <w:t>脉冲范围</w:t>
            </w:r>
          </w:p>
          <w:p>
            <w:pPr>
              <w:pStyle w:val="null3"/>
              <w:jc w:val="both"/>
            </w:pPr>
            <w:r>
              <w:rPr>
                <w:sz w:val="21"/>
              </w:rPr>
              <w:t>5ms-100ms,5 ms -1s,5ms-10s,5ms-60s</w:t>
            </w:r>
          </w:p>
          <w:p>
            <w:pPr>
              <w:pStyle w:val="null3"/>
              <w:jc w:val="both"/>
            </w:pPr>
            <w:r>
              <w:rPr>
                <w:sz w:val="21"/>
              </w:rPr>
              <w:t>4.</w:t>
            </w:r>
            <w:r>
              <w:rPr>
                <w:sz w:val="21"/>
              </w:rPr>
              <w:t>磁阀调节的时间≤</w:t>
            </w:r>
            <w:r>
              <w:rPr>
                <w:sz w:val="21"/>
              </w:rPr>
              <w:t>5ms</w:t>
            </w:r>
          </w:p>
          <w:p>
            <w:pPr>
              <w:pStyle w:val="null3"/>
              <w:jc w:val="both"/>
            </w:pPr>
            <w:r>
              <w:rPr>
                <w:sz w:val="21"/>
              </w:rPr>
              <w:t>5.</w:t>
            </w:r>
            <w:r>
              <w:rPr>
                <w:sz w:val="21"/>
              </w:rPr>
              <w:t>平衡压力范围</w:t>
            </w:r>
            <w:r>
              <w:rPr>
                <w:sz w:val="21"/>
              </w:rPr>
              <w:t>(BPU):0-15psi(0-100kpa)</w:t>
            </w:r>
          </w:p>
          <w:p>
            <w:pPr>
              <w:pStyle w:val="null3"/>
              <w:jc w:val="both"/>
            </w:pPr>
            <w:r>
              <w:rPr>
                <w:sz w:val="21"/>
              </w:rPr>
              <w:t>6.</w:t>
            </w:r>
            <w:r>
              <w:rPr>
                <w:sz w:val="21"/>
              </w:rPr>
              <w:t>输出脉冲设定</w:t>
            </w:r>
            <w:r>
              <w:rPr>
                <w:sz w:val="21"/>
              </w:rPr>
              <w:t>:</w:t>
            </w:r>
            <w:r>
              <w:rPr>
                <w:sz w:val="21"/>
              </w:rPr>
              <w:t>通过前面板≥</w:t>
            </w:r>
            <w:r>
              <w:rPr>
                <w:sz w:val="21"/>
              </w:rPr>
              <w:t>10</w:t>
            </w:r>
            <w:r>
              <w:rPr>
                <w:sz w:val="21"/>
              </w:rPr>
              <w:t>转刻度盘调节</w:t>
            </w:r>
          </w:p>
          <w:p>
            <w:pPr>
              <w:pStyle w:val="null3"/>
              <w:jc w:val="both"/>
            </w:pPr>
            <w:r>
              <w:rPr>
                <w:sz w:val="21"/>
              </w:rPr>
              <w:t>7.</w:t>
            </w:r>
            <w:r>
              <w:rPr>
                <w:sz w:val="21"/>
              </w:rPr>
              <w:t>输出脉冲精度</w:t>
            </w:r>
            <w:r>
              <w:rPr>
                <w:sz w:val="21"/>
              </w:rPr>
              <w:t xml:space="preserve">: </w:t>
            </w:r>
            <w:r>
              <w:rPr>
                <w:sz w:val="21"/>
              </w:rPr>
              <w:t xml:space="preserve">≤ </w:t>
            </w:r>
            <w:r>
              <w:rPr>
                <w:sz w:val="21"/>
              </w:rPr>
              <w:t>0.4%</w:t>
            </w:r>
            <w:r>
              <w:rPr>
                <w:sz w:val="21"/>
              </w:rPr>
              <w:t>（满刻度）</w:t>
            </w:r>
          </w:p>
          <w:p>
            <w:pPr>
              <w:pStyle w:val="null3"/>
              <w:jc w:val="both"/>
            </w:pPr>
            <w:r>
              <w:rPr>
                <w:sz w:val="21"/>
              </w:rPr>
              <w:t>8.</w:t>
            </w:r>
            <w:r>
              <w:rPr>
                <w:sz w:val="21"/>
              </w:rPr>
              <w:t>输出脉冲可重复性</w:t>
            </w:r>
            <w:r>
              <w:rPr>
                <w:sz w:val="21"/>
              </w:rPr>
              <w:t xml:space="preserve">: </w:t>
            </w:r>
            <w:r>
              <w:rPr>
                <w:sz w:val="21"/>
              </w:rPr>
              <w:t xml:space="preserve">≤ </w:t>
            </w:r>
            <w:r>
              <w:rPr>
                <w:sz w:val="21"/>
              </w:rPr>
              <w:t>0.4%</w:t>
            </w:r>
            <w:r>
              <w:rPr>
                <w:sz w:val="21"/>
              </w:rPr>
              <w:t>（满刻度）</w:t>
            </w:r>
          </w:p>
          <w:p>
            <w:pPr>
              <w:pStyle w:val="null3"/>
              <w:jc w:val="both"/>
            </w:pPr>
            <w:r>
              <w:rPr>
                <w:sz w:val="21"/>
              </w:rPr>
              <w:t>9.</w:t>
            </w:r>
            <w:r>
              <w:rPr>
                <w:sz w:val="21"/>
              </w:rPr>
              <w:t xml:space="preserve">输出压力表 </w:t>
            </w:r>
            <w:r>
              <w:rPr>
                <w:sz w:val="21"/>
              </w:rPr>
              <w:t>:</w:t>
            </w:r>
            <w:r>
              <w:rPr>
                <w:sz w:val="21"/>
              </w:rPr>
              <w:t>前面板模拟压力表</w:t>
            </w:r>
            <w:r>
              <w:rPr>
                <w:sz w:val="21"/>
              </w:rPr>
              <w:t>:0-100psi(0-700kPa)</w:t>
            </w:r>
          </w:p>
          <w:p>
            <w:pPr>
              <w:pStyle w:val="null3"/>
              <w:jc w:val="both"/>
            </w:pPr>
            <w:r>
              <w:rPr>
                <w:sz w:val="21"/>
              </w:rPr>
              <w:t>10.</w:t>
            </w:r>
            <w:r>
              <w:rPr>
                <w:sz w:val="21"/>
              </w:rPr>
              <w:t>电磁阀的使用寿命</w:t>
            </w:r>
            <w:r>
              <w:rPr>
                <w:sz w:val="21"/>
              </w:rPr>
              <w:t xml:space="preserve">: </w:t>
            </w:r>
            <w:r>
              <w:rPr>
                <w:sz w:val="21"/>
              </w:rPr>
              <w:t>≥</w:t>
            </w:r>
            <w:r>
              <w:rPr>
                <w:sz w:val="21"/>
              </w:rPr>
              <w:t>1</w:t>
            </w:r>
            <w:r>
              <w:rPr>
                <w:sz w:val="21"/>
              </w:rPr>
              <w:t>亿次循环</w:t>
            </w:r>
          </w:p>
          <w:p>
            <w:pPr>
              <w:pStyle w:val="null3"/>
              <w:jc w:val="both"/>
            </w:pPr>
            <w:r>
              <w:rPr>
                <w:sz w:val="21"/>
              </w:rPr>
              <w:t>11.</w:t>
            </w:r>
            <w:r>
              <w:rPr>
                <w:sz w:val="21"/>
              </w:rPr>
              <w:t>操作模式</w:t>
            </w:r>
            <w:r>
              <w:rPr>
                <w:sz w:val="21"/>
              </w:rPr>
              <w:t>:</w:t>
            </w:r>
            <w:r>
              <w:rPr>
                <w:sz w:val="21"/>
              </w:rPr>
              <w:t>连续气体输出，定时脉冲时间控制气体流量输出，门控气体流量输出</w:t>
            </w:r>
          </w:p>
          <w:p>
            <w:pPr>
              <w:pStyle w:val="null3"/>
              <w:jc w:val="both"/>
            </w:pPr>
            <w:r>
              <w:rPr>
                <w:sz w:val="21"/>
              </w:rPr>
              <w:t>12.</w:t>
            </w:r>
            <w:r>
              <w:rPr>
                <w:sz w:val="21"/>
              </w:rPr>
              <w:t>控制方式</w:t>
            </w:r>
            <w:r>
              <w:rPr>
                <w:sz w:val="21"/>
              </w:rPr>
              <w:t>:</w:t>
            </w:r>
            <w:r>
              <w:rPr>
                <w:sz w:val="21"/>
              </w:rPr>
              <w:t>面板按钮开关，外部</w:t>
            </w:r>
            <w:r>
              <w:rPr>
                <w:sz w:val="21"/>
              </w:rPr>
              <w:t>TTL</w:t>
            </w:r>
            <w:r>
              <w:rPr>
                <w:sz w:val="21"/>
              </w:rPr>
              <w:t>输入信号，脚踏开关或其他手动开关</w:t>
            </w:r>
          </w:p>
          <w:p>
            <w:pPr>
              <w:pStyle w:val="null3"/>
              <w:jc w:val="both"/>
            </w:pPr>
            <w:r>
              <w:rPr>
                <w:sz w:val="21"/>
              </w:rPr>
              <w:t>同步输出</w:t>
            </w:r>
            <w:r>
              <w:rPr>
                <w:sz w:val="21"/>
              </w:rPr>
              <w:t xml:space="preserve">: </w:t>
            </w:r>
            <w:r>
              <w:rPr>
                <w:sz w:val="21"/>
              </w:rPr>
              <w:t>允许检测阀控制注射仪的注射顺序，比如要注射不同药物或喷气，在细胞穿刺后，可以先注射试剂</w:t>
            </w:r>
            <w:r>
              <w:rPr>
                <w:sz w:val="21"/>
              </w:rPr>
              <w:t>A</w:t>
            </w:r>
            <w:r>
              <w:rPr>
                <w:sz w:val="21"/>
              </w:rPr>
              <w:t>（</w:t>
            </w:r>
            <w:r>
              <w:rPr>
                <w:sz w:val="21"/>
              </w:rPr>
              <w:t>10 ms</w:t>
            </w:r>
            <w:r>
              <w:rPr>
                <w:sz w:val="21"/>
              </w:rPr>
              <w:t>脉冲），间隔</w:t>
            </w:r>
            <w:r>
              <w:rPr>
                <w:sz w:val="21"/>
              </w:rPr>
              <w:t>50 ms</w:t>
            </w:r>
            <w:r>
              <w:rPr>
                <w:sz w:val="21"/>
              </w:rPr>
              <w:t>再注射试剂</w:t>
            </w:r>
            <w:r>
              <w:rPr>
                <w:sz w:val="21"/>
              </w:rPr>
              <w:t>B</w:t>
            </w:r>
            <w:r>
              <w:rPr>
                <w:sz w:val="21"/>
              </w:rPr>
              <w:t>（或喷气）（</w:t>
            </w:r>
            <w:r>
              <w:rPr>
                <w:sz w:val="21"/>
              </w:rPr>
              <w:t>20 ms</w:t>
            </w:r>
            <w:r>
              <w:rPr>
                <w:sz w:val="21"/>
              </w:rPr>
              <w:t>脉冲）。</w:t>
            </w:r>
          </w:p>
          <w:p>
            <w:pPr>
              <w:pStyle w:val="null3"/>
              <w:jc w:val="both"/>
            </w:pPr>
            <w:r>
              <w:rPr>
                <w:sz w:val="21"/>
              </w:rPr>
              <w:t>13.</w:t>
            </w:r>
            <w:r>
              <w:rPr>
                <w:sz w:val="21"/>
              </w:rPr>
              <w:t>气体输入和辅助压力接头</w:t>
            </w:r>
            <w:r>
              <w:rPr>
                <w:sz w:val="21"/>
              </w:rPr>
              <w:t>:1/8</w:t>
            </w:r>
            <w:r>
              <w:rPr>
                <w:sz w:val="21"/>
              </w:rPr>
              <w:t>即</w:t>
            </w:r>
            <w:r>
              <w:rPr>
                <w:sz w:val="21"/>
              </w:rPr>
              <w:t xml:space="preserve">(3.18 mm) </w:t>
            </w:r>
            <w:r>
              <w:rPr>
                <w:sz w:val="21"/>
              </w:rPr>
              <w:t>软管接头</w:t>
            </w:r>
          </w:p>
          <w:p>
            <w:pPr>
              <w:pStyle w:val="null3"/>
              <w:jc w:val="both"/>
            </w:pPr>
            <w:r>
              <w:rPr>
                <w:sz w:val="21"/>
              </w:rPr>
              <w:t>14.</w:t>
            </w:r>
            <w:r>
              <w:rPr>
                <w:sz w:val="21"/>
              </w:rPr>
              <w:t>气体输出接头</w:t>
            </w:r>
            <w:r>
              <w:rPr>
                <w:sz w:val="21"/>
              </w:rPr>
              <w:t>:1/16</w:t>
            </w:r>
            <w:r>
              <w:rPr>
                <w:sz w:val="21"/>
              </w:rPr>
              <w:t>即</w:t>
            </w:r>
            <w:r>
              <w:rPr>
                <w:sz w:val="21"/>
              </w:rPr>
              <w:t>(1.59 mm)</w:t>
            </w:r>
            <w:r>
              <w:rPr>
                <w:sz w:val="21"/>
              </w:rPr>
              <w:t>软管接头的气体</w:t>
            </w:r>
            <w:r>
              <w:rPr>
                <w:sz w:val="21"/>
              </w:rPr>
              <w:t>:</w:t>
            </w:r>
            <w:r>
              <w:rPr>
                <w:sz w:val="21"/>
              </w:rPr>
              <w:t>氮气或清洁干燥压缩空气</w:t>
            </w:r>
            <w:r>
              <w:rPr>
                <w:sz w:val="21"/>
              </w:rPr>
              <w:t>(</w:t>
            </w:r>
            <w:r>
              <w:rPr>
                <w:sz w:val="21"/>
              </w:rPr>
              <w:t>内置输入气体过滤器</w:t>
            </w:r>
            <w:r>
              <w:rPr>
                <w:sz w:val="21"/>
              </w:rPr>
              <w:t>)</w:t>
            </w:r>
          </w:p>
          <w:p>
            <w:pPr>
              <w:pStyle w:val="null3"/>
              <w:jc w:val="both"/>
            </w:pPr>
            <w:r>
              <w:rPr>
                <w:sz w:val="21"/>
              </w:rPr>
              <w:t>15.</w:t>
            </w:r>
            <w:r>
              <w:rPr>
                <w:sz w:val="21"/>
              </w:rPr>
              <w:t>电源</w:t>
            </w:r>
            <w:r>
              <w:rPr>
                <w:sz w:val="21"/>
              </w:rPr>
              <w:t>:100-240VAC,50/60Hz,0.5A(</w:t>
            </w:r>
            <w:r>
              <w:rPr>
                <w:sz w:val="21"/>
              </w:rPr>
              <w:t>直流电源</w:t>
            </w:r>
            <w:r>
              <w:rPr>
                <w:sz w:val="21"/>
              </w:rPr>
              <w:t xml:space="preserve">:12VDC,1.5A, </w:t>
            </w:r>
            <w:r>
              <w:rPr>
                <w:sz w:val="21"/>
              </w:rPr>
              <w:t>≥</w:t>
            </w:r>
            <w:r>
              <w:rPr>
                <w:sz w:val="21"/>
              </w:rPr>
              <w:t>18W)</w:t>
            </w:r>
          </w:p>
          <w:p>
            <w:pPr>
              <w:pStyle w:val="null3"/>
              <w:jc w:val="both"/>
            </w:pPr>
            <w:r>
              <w:rPr>
                <w:sz w:val="21"/>
              </w:rPr>
              <w:t>16.</w:t>
            </w:r>
            <w:r>
              <w:rPr>
                <w:sz w:val="21"/>
              </w:rPr>
              <w:t>尺寸</w:t>
            </w:r>
            <w:r>
              <w:rPr>
                <w:sz w:val="21"/>
              </w:rPr>
              <w:t>:</w:t>
            </w:r>
            <w:r>
              <w:rPr>
                <w:sz w:val="21"/>
              </w:rPr>
              <w:t>≤</w:t>
            </w:r>
            <w:r>
              <w:rPr>
                <w:sz w:val="21"/>
              </w:rPr>
              <w:t>69</w:t>
            </w:r>
            <w:r>
              <w:rPr>
                <w:sz w:val="21"/>
              </w:rPr>
              <w:t>×</w:t>
            </w:r>
            <w:r>
              <w:rPr>
                <w:sz w:val="21"/>
              </w:rPr>
              <w:t>209</w:t>
            </w:r>
            <w:r>
              <w:rPr>
                <w:sz w:val="21"/>
              </w:rPr>
              <w:t>×</w:t>
            </w:r>
            <w:r>
              <w:rPr>
                <w:sz w:val="21"/>
              </w:rPr>
              <w:t>216mm</w:t>
            </w:r>
          </w:p>
          <w:p>
            <w:pPr>
              <w:pStyle w:val="null3"/>
              <w:jc w:val="both"/>
            </w:pPr>
            <w:r>
              <w:rPr>
                <w:sz w:val="21"/>
              </w:rPr>
              <w:t>17.</w:t>
            </w:r>
            <w:r>
              <w:rPr>
                <w:sz w:val="21"/>
              </w:rPr>
              <w:t>重量</w:t>
            </w:r>
            <w:r>
              <w:rPr>
                <w:sz w:val="21"/>
              </w:rPr>
              <w:t xml:space="preserve">: </w:t>
            </w:r>
            <w:r>
              <w:rPr>
                <w:sz w:val="21"/>
              </w:rPr>
              <w:t>≥</w:t>
            </w:r>
            <w:r>
              <w:rPr>
                <w:sz w:val="21"/>
              </w:rPr>
              <w:t>1100g</w:t>
            </w:r>
          </w:p>
        </w:tc>
      </w:tr>
      <w:tr>
        <w:tc>
          <w:tcPr>
            <w:tcW w:type="dxa" w:w="2076"/>
          </w:tcPr>
          <w:p/>
        </w:tc>
        <w:tc>
          <w:tcPr>
            <w:tcW w:type="dxa" w:w="415"/>
          </w:tcPr>
          <w:p>
            <w:pPr>
              <w:pStyle w:val="null3"/>
            </w:pPr>
            <w:r>
              <w:rPr/>
              <w:t>8</w:t>
            </w:r>
          </w:p>
        </w:tc>
        <w:tc>
          <w:tcPr>
            <w:tcW w:type="dxa" w:w="5814"/>
          </w:tcPr>
          <w:p>
            <w:pPr>
              <w:pStyle w:val="null3"/>
              <w:jc w:val="both"/>
            </w:pPr>
            <w:r>
              <w:rPr>
                <w:sz w:val="21"/>
              </w:rPr>
              <w:t>（七）拉针仪</w:t>
            </w:r>
          </w:p>
          <w:p>
            <w:pPr>
              <w:pStyle w:val="null3"/>
              <w:jc w:val="both"/>
            </w:pPr>
            <w:r>
              <w:rPr>
                <w:sz w:val="21"/>
              </w:rPr>
              <w:t>面板由两部分组成，左边的一部分是制备电极部分，有固定玻璃管的夹具，加热丝，配重块，上下距离设定标尺。右边是拉制仪的控制部分，从上到下是显示设备，调温旋钮，模式选择按键，启动按键，系统电源开关。</w:t>
            </w:r>
          </w:p>
        </w:tc>
      </w:tr>
      <w:tr>
        <w:tc>
          <w:tcPr>
            <w:tcW w:type="dxa" w:w="2076"/>
          </w:tcPr>
          <w:p/>
        </w:tc>
        <w:tc>
          <w:tcPr>
            <w:tcW w:type="dxa" w:w="415"/>
          </w:tcPr>
          <w:p>
            <w:pPr>
              <w:pStyle w:val="null3"/>
            </w:pPr>
            <w:r>
              <w:rPr/>
              <w:t>9</w:t>
            </w:r>
          </w:p>
        </w:tc>
        <w:tc>
          <w:tcPr>
            <w:tcW w:type="dxa" w:w="5814"/>
          </w:tcPr>
          <w:p>
            <w:pPr>
              <w:pStyle w:val="null3"/>
              <w:jc w:val="both"/>
            </w:pPr>
            <w:r>
              <w:rPr>
                <w:sz w:val="21"/>
              </w:rPr>
              <w:t>（八）数码体式显微镜</w:t>
            </w:r>
          </w:p>
          <w:p>
            <w:pPr>
              <w:pStyle w:val="null3"/>
              <w:jc w:val="both"/>
            </w:pPr>
            <w:r>
              <w:rPr>
                <w:sz w:val="21"/>
              </w:rPr>
              <w:t>1.</w:t>
            </w:r>
            <w:r>
              <w:rPr>
                <w:sz w:val="21"/>
              </w:rPr>
              <w:t>显示设备：</w:t>
            </w:r>
          </w:p>
          <w:p>
            <w:pPr>
              <w:pStyle w:val="null3"/>
              <w:jc w:val="both"/>
            </w:pPr>
            <w:r>
              <w:rPr>
                <w:sz w:val="21"/>
              </w:rPr>
              <w:t>1.1.</w:t>
            </w:r>
            <w:r>
              <w:rPr>
                <w:sz w:val="21"/>
              </w:rPr>
              <w:t>尺寸：≥</w:t>
            </w:r>
            <w:r>
              <w:rPr>
                <w:sz w:val="21"/>
              </w:rPr>
              <w:t>10.6</w:t>
            </w:r>
            <w:r>
              <w:rPr>
                <w:sz w:val="21"/>
              </w:rPr>
              <w:t>寸</w:t>
            </w:r>
            <w:r>
              <w:rPr>
                <w:sz w:val="21"/>
              </w:rPr>
              <w:t>IPS</w:t>
            </w:r>
          </w:p>
          <w:p>
            <w:pPr>
              <w:pStyle w:val="null3"/>
              <w:jc w:val="both"/>
            </w:pPr>
            <w:r>
              <w:rPr>
                <w:sz w:val="21"/>
              </w:rPr>
              <w:t>1.2.</w:t>
            </w:r>
            <w:r>
              <w:rPr>
                <w:sz w:val="21"/>
              </w:rPr>
              <w:t>分辨率：≥</w:t>
            </w:r>
            <w:r>
              <w:rPr>
                <w:sz w:val="21"/>
              </w:rPr>
              <w:t>1366*768</w:t>
            </w:r>
          </w:p>
          <w:p>
            <w:pPr>
              <w:pStyle w:val="null3"/>
              <w:jc w:val="both"/>
            </w:pPr>
            <w:r>
              <w:rPr>
                <w:sz w:val="21"/>
              </w:rPr>
              <w:t>2.</w:t>
            </w:r>
            <w:r>
              <w:rPr>
                <w:sz w:val="21"/>
              </w:rPr>
              <w:t>数码参数：</w:t>
            </w:r>
          </w:p>
          <w:p>
            <w:pPr>
              <w:pStyle w:val="null3"/>
              <w:jc w:val="both"/>
            </w:pPr>
            <w:r>
              <w:rPr>
                <w:sz w:val="21"/>
              </w:rPr>
              <w:t>2.1</w:t>
            </w:r>
            <w:r>
              <w:rPr>
                <w:sz w:val="21"/>
              </w:rPr>
              <w:t>录像分辨率</w:t>
            </w:r>
            <w:r>
              <w:rPr>
                <w:sz w:val="21"/>
              </w:rPr>
              <w:t>/</w:t>
            </w:r>
            <w:r>
              <w:rPr>
                <w:sz w:val="21"/>
              </w:rPr>
              <w:t>帧速：</w:t>
            </w:r>
            <w:r>
              <w:rPr>
                <w:sz w:val="21"/>
              </w:rPr>
              <w:t>1080p/60fps</w:t>
            </w:r>
          </w:p>
          <w:p>
            <w:pPr>
              <w:pStyle w:val="null3"/>
              <w:jc w:val="both"/>
            </w:pPr>
            <w:r>
              <w:rPr>
                <w:sz w:val="21"/>
              </w:rPr>
              <w:t>2.2</w:t>
            </w:r>
            <w:r>
              <w:rPr>
                <w:sz w:val="21"/>
              </w:rPr>
              <w:t>视频输出格式：</w:t>
            </w:r>
            <w:r>
              <w:rPr>
                <w:sz w:val="21"/>
              </w:rPr>
              <w:t>HDMI</w:t>
            </w:r>
          </w:p>
          <w:p>
            <w:pPr>
              <w:pStyle w:val="null3"/>
              <w:jc w:val="both"/>
            </w:pPr>
            <w:r>
              <w:rPr>
                <w:sz w:val="21"/>
              </w:rPr>
              <w:t>2.3</w:t>
            </w:r>
            <w:r>
              <w:rPr>
                <w:sz w:val="21"/>
              </w:rPr>
              <w:t>无线输出：配备</w:t>
            </w:r>
          </w:p>
          <w:p>
            <w:pPr>
              <w:pStyle w:val="null3"/>
              <w:jc w:val="both"/>
            </w:pPr>
            <w:r>
              <w:rPr>
                <w:sz w:val="21"/>
              </w:rPr>
              <w:t>2.4</w:t>
            </w:r>
            <w:r>
              <w:rPr>
                <w:sz w:val="21"/>
              </w:rPr>
              <w:t>宽动态（</w:t>
            </w:r>
            <w:r>
              <w:rPr>
                <w:sz w:val="21"/>
              </w:rPr>
              <w:t>WDR</w:t>
            </w:r>
            <w:r>
              <w:rPr>
                <w:sz w:val="21"/>
              </w:rPr>
              <w:t>）：支持</w:t>
            </w:r>
          </w:p>
          <w:p>
            <w:pPr>
              <w:pStyle w:val="null3"/>
              <w:jc w:val="both"/>
            </w:pPr>
            <w:r>
              <w:rPr>
                <w:sz w:val="21"/>
              </w:rPr>
              <w:t>2.5</w:t>
            </w:r>
            <w:r>
              <w:rPr>
                <w:sz w:val="21"/>
              </w:rPr>
              <w:t>功能：自动曝光，曝光偏移，自动白平衡，多种测量方式，拍照录像本地储存（≥</w:t>
            </w:r>
            <w:r>
              <w:rPr>
                <w:sz w:val="21"/>
              </w:rPr>
              <w:t>32G</w:t>
            </w:r>
            <w:r>
              <w:rPr>
                <w:sz w:val="21"/>
              </w:rPr>
              <w:t>）</w:t>
            </w:r>
          </w:p>
          <w:p>
            <w:pPr>
              <w:pStyle w:val="null3"/>
              <w:jc w:val="both"/>
            </w:pPr>
            <w:r>
              <w:rPr>
                <w:sz w:val="21"/>
              </w:rPr>
              <w:t>2.6</w:t>
            </w:r>
            <w:r>
              <w:rPr>
                <w:sz w:val="21"/>
              </w:rPr>
              <w:t>储存方式：</w:t>
            </w:r>
            <w:r>
              <w:rPr>
                <w:sz w:val="21"/>
              </w:rPr>
              <w:t>SD</w:t>
            </w:r>
            <w:r>
              <w:rPr>
                <w:sz w:val="21"/>
              </w:rPr>
              <w:t>卡</w:t>
            </w:r>
          </w:p>
          <w:p>
            <w:pPr>
              <w:pStyle w:val="null3"/>
              <w:jc w:val="both"/>
            </w:pPr>
            <w:r>
              <w:rPr>
                <w:sz w:val="21"/>
              </w:rPr>
              <w:t>2.7</w:t>
            </w:r>
            <w:r>
              <w:rPr>
                <w:sz w:val="21"/>
              </w:rPr>
              <w:t>可外接设备：投影仪，显示设备</w:t>
            </w:r>
          </w:p>
          <w:p>
            <w:pPr>
              <w:pStyle w:val="null3"/>
              <w:jc w:val="both"/>
            </w:pPr>
            <w:r>
              <w:rPr>
                <w:sz w:val="21"/>
              </w:rPr>
              <w:t>3.</w:t>
            </w:r>
            <w:r>
              <w:rPr>
                <w:sz w:val="21"/>
              </w:rPr>
              <w:t>光学参数：</w:t>
            </w:r>
          </w:p>
          <w:p>
            <w:pPr>
              <w:pStyle w:val="null3"/>
              <w:jc w:val="both"/>
            </w:pPr>
            <w:r>
              <w:rPr>
                <w:sz w:val="21"/>
              </w:rPr>
              <w:t>3.1</w:t>
            </w:r>
            <w:r>
              <w:rPr>
                <w:sz w:val="21"/>
              </w:rPr>
              <w:t>物镜类别：连续变倍镜头</w:t>
            </w:r>
          </w:p>
          <w:p>
            <w:pPr>
              <w:pStyle w:val="null3"/>
              <w:jc w:val="both"/>
            </w:pPr>
            <w:r>
              <w:rPr>
                <w:sz w:val="21"/>
              </w:rPr>
              <w:t>3.2</w:t>
            </w:r>
            <w:r>
              <w:rPr>
                <w:sz w:val="21"/>
              </w:rPr>
              <w:t>物镜便被倍率：</w:t>
            </w:r>
            <w:r>
              <w:rPr>
                <w:sz w:val="21"/>
              </w:rPr>
              <w:t>0.7X-0.75X</w:t>
            </w:r>
            <w:r>
              <w:rPr>
                <w:sz w:val="21"/>
              </w:rPr>
              <w:t>光学联系变倍，数码总数放大倍率</w:t>
            </w:r>
            <w:r>
              <w:rPr>
                <w:sz w:val="21"/>
              </w:rPr>
              <w:t>7X-100X</w:t>
            </w:r>
          </w:p>
          <w:p>
            <w:pPr>
              <w:pStyle w:val="null3"/>
              <w:jc w:val="both"/>
            </w:pPr>
            <w:r>
              <w:rPr>
                <w:sz w:val="21"/>
              </w:rPr>
              <w:t>4.</w:t>
            </w:r>
            <w:r>
              <w:rPr>
                <w:sz w:val="21"/>
              </w:rPr>
              <w:t>平台参数：</w:t>
            </w:r>
          </w:p>
          <w:p>
            <w:pPr>
              <w:pStyle w:val="null3"/>
              <w:jc w:val="both"/>
            </w:pPr>
            <w:r>
              <w:rPr>
                <w:sz w:val="21"/>
              </w:rPr>
              <w:t>4.1</w:t>
            </w:r>
            <w:r>
              <w:rPr>
                <w:sz w:val="21"/>
              </w:rPr>
              <w:t>照明方式：上光源、侧光源，</w:t>
            </w:r>
            <w:r>
              <w:rPr>
                <w:sz w:val="21"/>
              </w:rPr>
              <w:t>LED</w:t>
            </w:r>
            <w:r>
              <w:rPr>
                <w:sz w:val="21"/>
              </w:rPr>
              <w:t>连续</w:t>
            </w:r>
          </w:p>
          <w:p>
            <w:pPr>
              <w:pStyle w:val="null3"/>
              <w:jc w:val="both"/>
            </w:pPr>
            <w:r>
              <w:rPr>
                <w:sz w:val="21"/>
              </w:rPr>
              <w:t>4.2</w:t>
            </w:r>
            <w:r>
              <w:rPr>
                <w:sz w:val="21"/>
              </w:rPr>
              <w:t>调焦范围：≥</w:t>
            </w:r>
            <w:r>
              <w:rPr>
                <w:sz w:val="21"/>
              </w:rPr>
              <w:t>60mm</w:t>
            </w:r>
          </w:p>
          <w:p>
            <w:pPr>
              <w:pStyle w:val="null3"/>
              <w:jc w:val="both"/>
            </w:pPr>
            <w:r>
              <w:rPr>
                <w:sz w:val="21"/>
              </w:rPr>
              <w:t>4.3</w:t>
            </w:r>
            <w:r>
              <w:rPr>
                <w:sz w:val="21"/>
              </w:rPr>
              <w:t>工作距离：≥</w:t>
            </w:r>
            <w:r>
              <w:rPr>
                <w:sz w:val="21"/>
              </w:rPr>
              <w:t>85mm</w:t>
            </w:r>
          </w:p>
          <w:p>
            <w:pPr>
              <w:pStyle w:val="null3"/>
              <w:jc w:val="both"/>
            </w:pPr>
            <w:r>
              <w:rPr>
                <w:sz w:val="21"/>
              </w:rPr>
              <w:t>4.4</w:t>
            </w:r>
            <w:r>
              <w:rPr>
                <w:sz w:val="21"/>
              </w:rPr>
              <w:t>立柱：圆立柱</w:t>
            </w:r>
          </w:p>
          <w:p>
            <w:pPr>
              <w:pStyle w:val="null3"/>
              <w:jc w:val="both"/>
            </w:pPr>
            <w:r>
              <w:rPr>
                <w:sz w:val="21"/>
              </w:rPr>
              <w:t>4.5</w:t>
            </w:r>
            <w:r>
              <w:rPr>
                <w:sz w:val="21"/>
              </w:rPr>
              <w:t>底座：投射底座，以及黑白衬板</w:t>
            </w:r>
          </w:p>
          <w:p>
            <w:pPr>
              <w:pStyle w:val="null3"/>
              <w:jc w:val="both"/>
            </w:pPr>
            <w:r>
              <w:rPr>
                <w:sz w:val="21"/>
              </w:rPr>
              <w:t>4.6</w:t>
            </w:r>
            <w:r>
              <w:rPr>
                <w:sz w:val="21"/>
              </w:rPr>
              <w:t>支架尺寸：≥</w:t>
            </w:r>
            <w:r>
              <w:rPr>
                <w:sz w:val="21"/>
              </w:rPr>
              <w:t>250mm*360mm*80mm</w:t>
            </w:r>
          </w:p>
        </w:tc>
      </w:tr>
      <w:tr>
        <w:tc>
          <w:tcPr>
            <w:tcW w:type="dxa" w:w="2076"/>
          </w:tcPr>
          <w:p/>
        </w:tc>
        <w:tc>
          <w:tcPr>
            <w:tcW w:type="dxa" w:w="415"/>
          </w:tcPr>
          <w:p>
            <w:pPr>
              <w:pStyle w:val="null3"/>
            </w:pPr>
            <w:r>
              <w:rPr/>
              <w:t>10</w:t>
            </w:r>
          </w:p>
        </w:tc>
        <w:tc>
          <w:tcPr>
            <w:tcW w:type="dxa" w:w="5814"/>
          </w:tcPr>
          <w:p>
            <w:pPr>
              <w:pStyle w:val="null3"/>
              <w:jc w:val="both"/>
            </w:pPr>
            <w:r>
              <w:rPr>
                <w:sz w:val="21"/>
              </w:rPr>
              <w:t>（九）行为学：</w:t>
            </w:r>
          </w:p>
          <w:p>
            <w:pPr>
              <w:pStyle w:val="null3"/>
              <w:jc w:val="both"/>
            </w:pPr>
            <w:r>
              <w:rPr>
                <w:sz w:val="21"/>
              </w:rPr>
              <w:t>一）幼鱼观察分析模块：幼鱼观察分析模块专门用来高通量追踪多孔反应板中斑马鱼幼鱼的行为轨迹数据。斑马鱼观察箱可兼容各种类型的孔板，如</w:t>
            </w:r>
            <w:r>
              <w:rPr>
                <w:sz w:val="21"/>
              </w:rPr>
              <w:t xml:space="preserve">96 </w:t>
            </w:r>
            <w:r>
              <w:rPr>
                <w:sz w:val="21"/>
              </w:rPr>
              <w:t>孔、</w:t>
            </w:r>
            <w:r>
              <w:rPr>
                <w:sz w:val="21"/>
              </w:rPr>
              <w:t>48</w:t>
            </w:r>
            <w:r>
              <w:rPr>
                <w:sz w:val="21"/>
              </w:rPr>
              <w:t>孔、</w:t>
            </w:r>
            <w:r>
              <w:rPr>
                <w:sz w:val="21"/>
              </w:rPr>
              <w:t>24</w:t>
            </w:r>
            <w:r>
              <w:rPr>
                <w:sz w:val="21"/>
              </w:rPr>
              <w:t>孔等培养皿，幼鱼观察箱可拓展水浴循环及温控模块、声音与震动刺激模块、光刺激模块来完成不同的行为测试。</w:t>
            </w:r>
          </w:p>
          <w:p>
            <w:pPr>
              <w:pStyle w:val="null3"/>
              <w:jc w:val="both"/>
            </w:pPr>
            <w:r>
              <w:rPr>
                <w:sz w:val="21"/>
              </w:rPr>
              <w:t>1.</w:t>
            </w:r>
            <w:r>
              <w:rPr>
                <w:sz w:val="21"/>
              </w:rPr>
              <w:t>水浴循环及温控模块</w:t>
            </w:r>
          </w:p>
          <w:p>
            <w:pPr>
              <w:pStyle w:val="null3"/>
              <w:jc w:val="both"/>
            </w:pPr>
            <w:r>
              <w:rPr>
                <w:sz w:val="21"/>
              </w:rPr>
              <w:t>温控模块是斑马鱼观察箱的附属模块，可直接将温控控制器连接到行为观察箱上利用流动的水流对观察箱内温度进行自主调节，掌控箱内温度条件。实验温控范围为</w:t>
            </w:r>
            <w:r>
              <w:rPr>
                <w:sz w:val="21"/>
              </w:rPr>
              <w:t xml:space="preserve">15 </w:t>
            </w:r>
            <w:r>
              <w:rPr>
                <w:sz w:val="21"/>
              </w:rPr>
              <w:t>℃</w:t>
            </w:r>
            <w:r>
              <w:rPr>
                <w:sz w:val="21"/>
              </w:rPr>
              <w:t>-40</w:t>
            </w:r>
            <w:r>
              <w:rPr>
                <w:sz w:val="21"/>
              </w:rPr>
              <w:t>℃。水温直接在孔板位置测量，所以显示设备显示水温为精确孔内水温，该模块能够为追踪斑马鱼幼鱼活动、运动、行为提供理想可控环境，一般用于幼鱼长时间的节律监测。</w:t>
            </w:r>
          </w:p>
          <w:p>
            <w:pPr>
              <w:pStyle w:val="null3"/>
              <w:jc w:val="both"/>
            </w:pPr>
            <w:r>
              <w:rPr>
                <w:sz w:val="21"/>
              </w:rPr>
              <w:t>2.</w:t>
            </w:r>
            <w:r>
              <w:rPr>
                <w:sz w:val="21"/>
              </w:rPr>
              <w:t>声音与震动刺激模块</w:t>
            </w:r>
          </w:p>
          <w:p>
            <w:pPr>
              <w:pStyle w:val="null3"/>
              <w:jc w:val="both"/>
            </w:pPr>
            <w:r>
              <w:rPr>
                <w:sz w:val="21"/>
              </w:rPr>
              <w:t>▲</w:t>
            </w:r>
            <w:r>
              <w:rPr>
                <w:sz w:val="21"/>
              </w:rPr>
              <w:t>3.</w:t>
            </w:r>
            <w:r>
              <w:rPr>
                <w:sz w:val="21"/>
              </w:rPr>
              <w:t>光刺激模块</w:t>
            </w:r>
          </w:p>
          <w:p>
            <w:pPr>
              <w:pStyle w:val="null3"/>
              <w:jc w:val="both"/>
            </w:pPr>
            <w:r>
              <w:rPr>
                <w:sz w:val="21"/>
              </w:rPr>
              <w:t>光照强度</w:t>
            </w:r>
            <w:r>
              <w:rPr>
                <w:sz w:val="21"/>
              </w:rPr>
              <w:t>0-10000Lux</w:t>
            </w:r>
            <w:r>
              <w:rPr>
                <w:sz w:val="21"/>
              </w:rPr>
              <w:t>可调，光照从底部灯板发出，可以刺激斑马鱼，同时，也可以设置短暂的光刺激或者长时间的强光刺激来进行斑马鱼幼鱼的睡眠剥夺实验。</w:t>
            </w:r>
          </w:p>
          <w:p>
            <w:pPr>
              <w:pStyle w:val="null3"/>
              <w:jc w:val="both"/>
            </w:pPr>
            <w:r>
              <w:rPr>
                <w:sz w:val="21"/>
              </w:rPr>
              <w:t>4.</w:t>
            </w:r>
            <w:r>
              <w:rPr>
                <w:sz w:val="21"/>
              </w:rPr>
              <w:t>主要功能：</w:t>
            </w:r>
          </w:p>
          <w:p>
            <w:pPr>
              <w:pStyle w:val="null3"/>
              <w:jc w:val="both"/>
            </w:pPr>
            <w:r>
              <w:rPr>
                <w:sz w:val="21"/>
              </w:rPr>
              <w:t>▲</w:t>
            </w:r>
            <w:r>
              <w:rPr>
                <w:sz w:val="21"/>
              </w:rPr>
              <w:t>4.1.</w:t>
            </w:r>
            <w:r>
              <w:rPr>
                <w:sz w:val="21"/>
              </w:rPr>
              <w:t>系统提供≥</w:t>
            </w:r>
            <w:r>
              <w:rPr>
                <w:sz w:val="21"/>
              </w:rPr>
              <w:t>7</w:t>
            </w:r>
            <w:r>
              <w:rPr>
                <w:sz w:val="21"/>
              </w:rPr>
              <w:t>种观察对象识别的方法：包括但不限于智能识别法、灰度法、静态背景法、动态背景法、高斯背景法、色度法、深度学习模型法，可以应对试验环境，并支持斑马鱼行为数据量化展现：轨迹图、轨迹矢量图、热图（</w:t>
            </w:r>
            <w:r>
              <w:rPr>
                <w:sz w:val="21"/>
              </w:rPr>
              <w:t>2D</w:t>
            </w:r>
            <w:r>
              <w:rPr>
                <w:sz w:val="21"/>
              </w:rPr>
              <w:t>、</w:t>
            </w:r>
            <w:r>
              <w:rPr>
                <w:sz w:val="21"/>
              </w:rPr>
              <w:t>3D</w:t>
            </w:r>
            <w:r>
              <w:rPr>
                <w:sz w:val="21"/>
              </w:rPr>
              <w:t>）、活动量图（</w:t>
            </w:r>
            <w:r>
              <w:rPr>
                <w:sz w:val="21"/>
              </w:rPr>
              <w:t>2D</w:t>
            </w:r>
            <w:r>
              <w:rPr>
                <w:sz w:val="21"/>
              </w:rPr>
              <w:t>、</w:t>
            </w:r>
            <w:r>
              <w:rPr>
                <w:sz w:val="21"/>
              </w:rPr>
              <w:t>3D</w:t>
            </w:r>
            <w:r>
              <w:rPr>
                <w:sz w:val="21"/>
              </w:rPr>
              <w:t>）等。</w:t>
            </w:r>
          </w:p>
          <w:p>
            <w:pPr>
              <w:pStyle w:val="null3"/>
              <w:jc w:val="both"/>
            </w:pPr>
            <w:r>
              <w:rPr>
                <w:sz w:val="21"/>
              </w:rPr>
              <w:t>4.2.</w:t>
            </w:r>
            <w:r>
              <w:rPr>
                <w:sz w:val="21"/>
              </w:rPr>
              <w:t>摄像头和全新视觉设计的观察箱能够避免孔边缘的角度扭曲。背光性平板托盘能给每一个孔提供均匀光线，并且避免阴影；</w:t>
            </w:r>
          </w:p>
          <w:p>
            <w:pPr>
              <w:pStyle w:val="null3"/>
              <w:jc w:val="both"/>
            </w:pPr>
            <w:r>
              <w:rPr>
                <w:sz w:val="21"/>
              </w:rPr>
              <w:t>4.3.</w:t>
            </w:r>
            <w:r>
              <w:rPr>
                <w:sz w:val="21"/>
              </w:rPr>
              <w:t>采用凹凸镜，防止角落畸变，确保视频图像完整，测试结果准确；</w:t>
            </w:r>
          </w:p>
          <w:p>
            <w:pPr>
              <w:pStyle w:val="null3"/>
              <w:jc w:val="both"/>
            </w:pPr>
            <w:r>
              <w:rPr>
                <w:sz w:val="21"/>
              </w:rPr>
              <w:t>4.4</w:t>
            </w:r>
            <w:r>
              <w:rPr>
                <w:sz w:val="21"/>
              </w:rPr>
              <w:t>系统具备高清相机、红外过滤器及红外照明系统，可以为鱼类的追踪提供监控条件，摄像机采集速率：</w:t>
            </w:r>
            <w:r>
              <w:rPr>
                <w:sz w:val="21"/>
              </w:rPr>
              <w:t>30-60</w:t>
            </w:r>
            <w:r>
              <w:rPr>
                <w:sz w:val="21"/>
              </w:rPr>
              <w:t>帧</w:t>
            </w:r>
            <w:r>
              <w:rPr>
                <w:sz w:val="21"/>
              </w:rPr>
              <w:t>/</w:t>
            </w:r>
            <w:r>
              <w:rPr>
                <w:sz w:val="21"/>
              </w:rPr>
              <w:t>秒，分辨率：≥</w:t>
            </w:r>
            <w:r>
              <w:rPr>
                <w:sz w:val="21"/>
              </w:rPr>
              <w:t>1080P</w:t>
            </w:r>
            <w:r>
              <w:rPr>
                <w:sz w:val="21"/>
              </w:rPr>
              <w:t>，红外照明系统功率可调；</w:t>
            </w:r>
          </w:p>
          <w:p>
            <w:pPr>
              <w:pStyle w:val="null3"/>
              <w:jc w:val="both"/>
            </w:pPr>
            <w:r>
              <w:rPr>
                <w:sz w:val="21"/>
              </w:rPr>
              <w:t>▲</w:t>
            </w:r>
            <w:r>
              <w:rPr>
                <w:sz w:val="21"/>
              </w:rPr>
              <w:t>5.</w:t>
            </w:r>
            <w:r>
              <w:rPr>
                <w:sz w:val="21"/>
              </w:rPr>
              <w:t>幼鱼观察箱可以放置</w:t>
            </w:r>
            <w:r>
              <w:rPr>
                <w:sz w:val="21"/>
              </w:rPr>
              <w:t>6</w:t>
            </w:r>
            <w:r>
              <w:rPr>
                <w:sz w:val="21"/>
              </w:rPr>
              <w:t>、</w:t>
            </w:r>
            <w:r>
              <w:rPr>
                <w:sz w:val="21"/>
              </w:rPr>
              <w:t>12</w:t>
            </w:r>
            <w:r>
              <w:rPr>
                <w:sz w:val="21"/>
              </w:rPr>
              <w:t>、</w:t>
            </w:r>
            <w:r>
              <w:rPr>
                <w:sz w:val="21"/>
              </w:rPr>
              <w:t>24</w:t>
            </w:r>
            <w:r>
              <w:rPr>
                <w:sz w:val="21"/>
              </w:rPr>
              <w:t>、</w:t>
            </w:r>
            <w:r>
              <w:rPr>
                <w:sz w:val="21"/>
              </w:rPr>
              <w:t>48</w:t>
            </w:r>
            <w:r>
              <w:rPr>
                <w:sz w:val="21"/>
              </w:rPr>
              <w:t>、</w:t>
            </w:r>
            <w:r>
              <w:rPr>
                <w:sz w:val="21"/>
              </w:rPr>
              <w:t>96</w:t>
            </w:r>
            <w:r>
              <w:rPr>
                <w:sz w:val="21"/>
              </w:rPr>
              <w:t>孔板等完成幼鱼的高通量实验；</w:t>
            </w:r>
          </w:p>
          <w:p>
            <w:pPr>
              <w:pStyle w:val="null3"/>
              <w:jc w:val="both"/>
            </w:pPr>
            <w:r>
              <w:rPr>
                <w:sz w:val="21"/>
              </w:rPr>
              <w:t>6.</w:t>
            </w:r>
            <w:r>
              <w:rPr>
                <w:sz w:val="21"/>
              </w:rPr>
              <w:t>幼鱼观察箱配置水温循环控制系统，控制水流输入和输出以进行长期节律行为监测，水温控制范围</w:t>
            </w:r>
            <w:r>
              <w:rPr>
                <w:sz w:val="21"/>
              </w:rPr>
              <w:t>15</w:t>
            </w:r>
            <w:r>
              <w:rPr>
                <w:sz w:val="21"/>
              </w:rPr>
              <w:t>℃</w:t>
            </w:r>
            <w:r>
              <w:rPr>
                <w:sz w:val="21"/>
              </w:rPr>
              <w:t>-40</w:t>
            </w:r>
            <w:r>
              <w:rPr>
                <w:sz w:val="21"/>
              </w:rPr>
              <w:t>℃，控制精度</w:t>
            </w:r>
            <w:r>
              <w:rPr>
                <w:sz w:val="21"/>
              </w:rPr>
              <w:t>0.1</w:t>
            </w:r>
            <w:r>
              <w:rPr>
                <w:sz w:val="21"/>
              </w:rPr>
              <w:t>℃；</w:t>
            </w:r>
          </w:p>
          <w:p>
            <w:pPr>
              <w:pStyle w:val="null3"/>
              <w:jc w:val="both"/>
            </w:pPr>
            <w:r>
              <w:rPr>
                <w:sz w:val="21"/>
              </w:rPr>
              <w:t>7.</w:t>
            </w:r>
            <w:r>
              <w:rPr>
                <w:sz w:val="21"/>
              </w:rPr>
              <w:t xml:space="preserve">幼鱼观察箱配置光刺激模块，可用软件自定义光刺激模式，可以模拟昼夜循环，可以实现强光刺激或渐强渐弱光刺激，光刺激强度范围为 </w:t>
            </w:r>
            <w:r>
              <w:rPr>
                <w:sz w:val="21"/>
              </w:rPr>
              <w:t>0-8000lux</w:t>
            </w:r>
            <w:r>
              <w:rPr>
                <w:sz w:val="21"/>
              </w:rPr>
              <w:t>任意调节；</w:t>
            </w:r>
          </w:p>
          <w:p>
            <w:pPr>
              <w:pStyle w:val="null3"/>
              <w:jc w:val="both"/>
            </w:pPr>
            <w:r>
              <w:rPr>
                <w:sz w:val="21"/>
              </w:rPr>
              <w:t>8.</w:t>
            </w:r>
            <w:r>
              <w:rPr>
                <w:sz w:val="21"/>
              </w:rPr>
              <w:t>配置敲击刺激模块，可通过软件自动控制敲击等级，敲击等级</w:t>
            </w:r>
            <w:r>
              <w:rPr>
                <w:sz w:val="21"/>
              </w:rPr>
              <w:t>8</w:t>
            </w:r>
            <w:r>
              <w:rPr>
                <w:sz w:val="21"/>
              </w:rPr>
              <w:t>档可调。</w:t>
            </w:r>
          </w:p>
          <w:p>
            <w:pPr>
              <w:pStyle w:val="null3"/>
              <w:jc w:val="both"/>
            </w:pPr>
            <w:r>
              <w:rPr>
                <w:sz w:val="21"/>
              </w:rPr>
              <w:t xml:space="preserve"> </w:t>
            </w:r>
            <w:r>
              <w:rPr>
                <w:sz w:val="21"/>
              </w:rPr>
              <w:t>二）斑马鱼微视行为模块</w:t>
            </w:r>
          </w:p>
          <w:p>
            <w:pPr>
              <w:pStyle w:val="null3"/>
              <w:jc w:val="both"/>
            </w:pPr>
            <w:r>
              <w:rPr>
                <w:sz w:val="21"/>
              </w:rPr>
              <w:t>1.</w:t>
            </w:r>
            <w:r>
              <w:rPr>
                <w:sz w:val="21"/>
              </w:rPr>
              <w:t>胚胎活动相关测量参数</w:t>
            </w:r>
          </w:p>
          <w:p>
            <w:pPr>
              <w:pStyle w:val="null3"/>
              <w:jc w:val="both"/>
            </w:pPr>
            <w:r>
              <w:rPr>
                <w:sz w:val="21"/>
              </w:rPr>
              <w:t>2.</w:t>
            </w:r>
            <w:r>
              <w:rPr>
                <w:sz w:val="21"/>
              </w:rPr>
              <w:t>惊厥次数–胚胎卷尾的次数</w:t>
            </w:r>
          </w:p>
          <w:p>
            <w:pPr>
              <w:pStyle w:val="null3"/>
              <w:jc w:val="both"/>
            </w:pPr>
            <w:r>
              <w:rPr>
                <w:sz w:val="21"/>
              </w:rPr>
              <w:t>3.</w:t>
            </w:r>
            <w:r>
              <w:rPr>
                <w:sz w:val="21"/>
              </w:rPr>
              <w:t>惊厥频率–每分钟胚胎卷尾的次数</w:t>
            </w:r>
          </w:p>
          <w:p>
            <w:pPr>
              <w:pStyle w:val="null3"/>
              <w:jc w:val="both"/>
            </w:pPr>
            <w:r>
              <w:rPr>
                <w:sz w:val="21"/>
              </w:rPr>
              <w:t>4.</w:t>
            </w:r>
            <w:r>
              <w:rPr>
                <w:sz w:val="21"/>
              </w:rPr>
              <w:t xml:space="preserve">惊厥活跃性–胚胎卷尾的时间百分比 </w:t>
            </w:r>
            <w:r>
              <w:rPr>
                <w:sz w:val="21"/>
              </w:rPr>
              <w:t>(</w:t>
            </w:r>
            <w:r>
              <w:rPr>
                <w:sz w:val="21"/>
              </w:rPr>
              <w:t>总测量时间</w:t>
            </w:r>
            <w:r>
              <w:rPr>
                <w:sz w:val="21"/>
              </w:rPr>
              <w:t>)</w:t>
            </w:r>
          </w:p>
          <w:p>
            <w:pPr>
              <w:pStyle w:val="null3"/>
              <w:jc w:val="both"/>
            </w:pPr>
            <w:r>
              <w:rPr>
                <w:sz w:val="21"/>
              </w:rPr>
              <w:t>5.</w:t>
            </w:r>
            <w:r>
              <w:rPr>
                <w:sz w:val="21"/>
              </w:rPr>
              <w:t>惊厥的持续时间–胚胎被激活所耗费的总时</w:t>
            </w:r>
          </w:p>
          <w:p>
            <w:pPr>
              <w:pStyle w:val="null3"/>
              <w:jc w:val="both"/>
            </w:pPr>
            <w:r>
              <w:rPr>
                <w:sz w:val="21"/>
              </w:rPr>
              <w:t>6.</w:t>
            </w:r>
            <w:r>
              <w:rPr>
                <w:sz w:val="21"/>
              </w:rPr>
              <w:t>心率测量相关参数</w:t>
            </w:r>
          </w:p>
          <w:p>
            <w:pPr>
              <w:pStyle w:val="null3"/>
              <w:jc w:val="both"/>
            </w:pPr>
            <w:r>
              <w:rPr>
                <w:sz w:val="21"/>
              </w:rPr>
              <w:t>7.</w:t>
            </w:r>
            <w:r>
              <w:rPr>
                <w:sz w:val="21"/>
              </w:rPr>
              <w:t xml:space="preserve">每分钟的心跳次数 </w:t>
            </w:r>
            <w:r>
              <w:rPr>
                <w:sz w:val="21"/>
              </w:rPr>
              <w:t>(BPM)</w:t>
            </w:r>
          </w:p>
          <w:p>
            <w:pPr>
              <w:pStyle w:val="null3"/>
              <w:jc w:val="both"/>
            </w:pPr>
            <w:r>
              <w:rPr>
                <w:sz w:val="21"/>
              </w:rPr>
              <w:t>8.</w:t>
            </w:r>
            <w:r>
              <w:rPr>
                <w:sz w:val="21"/>
              </w:rPr>
              <w:t>每秒钟的心跳次数</w:t>
            </w:r>
            <w:r>
              <w:rPr>
                <w:sz w:val="21"/>
              </w:rPr>
              <w:t>(BPS)</w:t>
            </w:r>
          </w:p>
        </w:tc>
      </w:tr>
      <w:tr>
        <w:tc>
          <w:tcPr>
            <w:tcW w:type="dxa" w:w="2076"/>
          </w:tcPr>
          <w:p/>
        </w:tc>
        <w:tc>
          <w:tcPr>
            <w:tcW w:type="dxa" w:w="415"/>
          </w:tcPr>
          <w:p>
            <w:pPr>
              <w:pStyle w:val="null3"/>
            </w:pPr>
            <w:r>
              <w:rPr/>
              <w:t>11</w:t>
            </w:r>
          </w:p>
        </w:tc>
        <w:tc>
          <w:tcPr>
            <w:tcW w:type="dxa" w:w="5814"/>
          </w:tcPr>
          <w:p>
            <w:pPr>
              <w:pStyle w:val="null3"/>
              <w:jc w:val="both"/>
            </w:pPr>
            <w:r>
              <w:rPr>
                <w:sz w:val="21"/>
              </w:rPr>
              <w:t>（十）</w:t>
            </w:r>
            <w:r>
              <w:rPr>
                <w:sz w:val="21"/>
              </w:rPr>
              <w:t>、场地承重解决方案</w:t>
            </w:r>
            <w:r>
              <w:rPr>
                <w:sz w:val="21"/>
              </w:rPr>
              <w:t>：</w:t>
            </w:r>
            <w:r>
              <w:rPr>
                <w:sz w:val="21"/>
              </w:rPr>
              <w:t>因为场地的历史原因，对承重要求较高，最大承重为</w:t>
            </w:r>
            <w:r>
              <w:rPr>
                <w:sz w:val="21"/>
              </w:rPr>
              <w:t>200kg/m3，投标人需有承重解决的技术方案</w:t>
            </w:r>
          </w:p>
        </w:tc>
      </w:tr>
      <w:tr>
        <w:tc>
          <w:tcPr>
            <w:tcW w:type="dxa" w:w="2076"/>
          </w:tcPr>
          <w:p/>
        </w:tc>
        <w:tc>
          <w:tcPr>
            <w:tcW w:type="dxa" w:w="415"/>
          </w:tcPr>
          <w:p>
            <w:pPr>
              <w:pStyle w:val="null3"/>
            </w:pPr>
            <w:r>
              <w:rPr/>
              <w:t>12</w:t>
            </w:r>
          </w:p>
        </w:tc>
        <w:tc>
          <w:tcPr>
            <w:tcW w:type="dxa" w:w="5814"/>
          </w:tcPr>
          <w:p>
            <w:pPr>
              <w:pStyle w:val="null3"/>
              <w:spacing w:before="120" w:after="120"/>
              <w:jc w:val="both"/>
            </w:pPr>
            <w:r>
              <w:rPr>
                <w:sz w:val="21"/>
              </w:rPr>
              <w:t>（十一）</w:t>
            </w:r>
            <w:r>
              <w:rPr>
                <w:sz w:val="21"/>
              </w:rPr>
              <w:t>配置清单：</w:t>
            </w:r>
          </w:p>
          <w:p>
            <w:pPr>
              <w:pStyle w:val="null3"/>
              <w:spacing w:before="120" w:after="120"/>
              <w:jc w:val="both"/>
            </w:pPr>
            <w:r>
              <w:rPr>
                <w:sz w:val="21"/>
              </w:rPr>
              <w:t>1、斑马鱼养殖系统：斑马鱼三层单排循环养殖系统（4套；第一层放置1.5L养殖缸，第二层放置3L养殖缸，第三层放置3L养殖缸）；斑马鱼水质调节系统；斑马鱼净水供水系统；卤虫孵化系统；光照培养箱；斑马鱼繁殖缸。2、斑马鱼行为系统：幼鱼观察分析模块 (也叫多孔板测试系统、斑马鱼行为量化系统)；斑马鱼微视行为模块 (例如胚胎活动/心血管测量/形态学测量)。</w:t>
            </w:r>
          </w:p>
          <w:p>
            <w:pPr>
              <w:pStyle w:val="null3"/>
              <w:jc w:val="both"/>
            </w:pPr>
            <w:r>
              <w:rPr>
                <w:sz w:val="21"/>
              </w:rPr>
              <w:t>3、胚胎显微注射系统：显微注射仪；拉针仪；体视显微镜。附件和耗材：显微注射泵，被压装置，微管夹持组件；脚踏开关，手动显微操作；斑马鱼显微注射磨具；斑马鱼显微注射指示。</w:t>
            </w:r>
          </w:p>
        </w:tc>
      </w:tr>
      <w:tr>
        <w:tc>
          <w:tcPr>
            <w:tcW w:type="dxa" w:w="2076"/>
          </w:tcPr>
          <w:p/>
        </w:tc>
        <w:tc>
          <w:tcPr>
            <w:tcW w:type="dxa" w:w="415"/>
          </w:tcPr>
          <w:p>
            <w:pPr>
              <w:pStyle w:val="null3"/>
            </w:pPr>
            <w:r>
              <w:rPr/>
              <w:t>13</w:t>
            </w:r>
          </w:p>
        </w:tc>
        <w:tc>
          <w:tcPr>
            <w:tcW w:type="dxa" w:w="5814"/>
          </w:tcPr>
          <w:p>
            <w:pPr>
              <w:pStyle w:val="null3"/>
              <w:jc w:val="both"/>
            </w:pPr>
            <w:r>
              <w:rPr>
                <w:sz w:val="21"/>
              </w:rPr>
              <w:t>其他要求：</w:t>
            </w:r>
          </w:p>
          <w:p>
            <w:pPr>
              <w:pStyle w:val="null3"/>
              <w:jc w:val="both"/>
            </w:pPr>
            <w:r>
              <w:rPr>
                <w:sz w:val="21"/>
              </w:rPr>
              <w:t>（</w:t>
            </w:r>
            <w:r>
              <w:rPr>
                <w:sz w:val="21"/>
              </w:rPr>
              <w:t>1）投标人应在投标文件中“分项报价表”中注明所投产品是否为进口产品。例如：如为进口产品标注为“进口产品”；如非进口产品标注为“本国产品”。</w:t>
            </w:r>
          </w:p>
          <w:p>
            <w:pPr>
              <w:pStyle w:val="null3"/>
              <w:jc w:val="both"/>
            </w:pPr>
            <w:r>
              <w:rPr>
                <w:sz w:val="21"/>
              </w:rPr>
              <w:t>（</w:t>
            </w:r>
            <w:r>
              <w:rPr>
                <w:sz w:val="21"/>
              </w:rPr>
              <w:t>2）带“▲”号的条款应提供制造商原厂彩页或技术规格说明书或技术白皮书（需在投标文件中标明所在页码）并加盖公章作为技术支持资料，未按要求提供或提供资料不齐全的，</w:t>
            </w:r>
            <w:r>
              <w:rPr>
                <w:sz w:val="21"/>
              </w:rPr>
              <w:t>评标委员会有权</w:t>
            </w:r>
            <w:r>
              <w:rPr>
                <w:sz w:val="21"/>
              </w:rPr>
              <w:t>视相应技术参数响应不符合招标要求）。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广州市第十二人民医院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 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采购包1(斑马鱼实验研究平台)：综合评分法,是指投标文件满足招标文件全部实质性要求，且按照评审因素的量化指标评审得分最高的投标人为中标候选人的评标方法。（最低报价不是中标的唯一依据。）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采购包1（斑马鱼实验研究平台）：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采购包1（斑马鱼实验研究平台）：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本项目专门面向中小企业采购的项目（本项目采购标的所属行业：工业），投标人按照格式提供中小企业声明函。</w:t>
            </w:r>
          </w:p>
        </w:tc>
      </w:tr>
    </w:tbl>
    <w:p>
      <w:pPr>
        <w:pStyle w:val="null3"/>
        <w:ind w:firstLine="480"/>
      </w:pPr>
      <w:r>
        <w:rPr/>
        <w:t>表二符合性审查表：</w:t>
      </w:r>
    </w:p>
    <w:p>
      <w:pPr>
        <w:pStyle w:val="null3"/>
      </w:pPr>
      <w:r>
        <w:rPr/>
        <w:t>采购包1（斑马鱼实验研究平台）：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1）投标报价未超过所投内容的采购预算；2）对本项目的全部招标内容进行报价；3）投标报价是唯一确定的。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采购包1(斑马鱼实验研究平台):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所投产品对用户需求书中带▲号的重要技术参数的符合性 (30.0分)</w:t>
            </w:r>
          </w:p>
        </w:tc>
        <w:tc>
          <w:tcPr>
            <w:tcW w:type="dxa" w:w="5076"/>
          </w:tcPr>
          <w:p>
            <w:pPr>
              <w:pStyle w:val="null3"/>
              <w:jc w:val="left"/>
            </w:pPr>
            <w:r>
              <w:rPr/>
              <w:t>所投产品技术参数全部满足或优于用户需求书中带▲号的重要技术参数要求的，得30分。 有1项带“▲”号重要技术参数负偏离，得25分； 有2项带“▲”号重要技术参数负偏离，得20分； 有3项带“▲”号重要技术参数负偏离，得15分； 有4项带“▲”号重要技术参数负偏离，得10分； 有5项带“▲”号重要技术参数负偏离，得5分； 有6项带“▲”号重要技术参数负偏离，得0分； 所有投标人须提供投标产品彩页或相应技术参数的厂家使用说明书作为技术证明文件（用户需求书中另有要求的除外），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(19.0分)</w:t>
            </w:r>
          </w:p>
        </w:tc>
        <w:tc>
          <w:tcPr>
            <w:tcW w:type="dxa" w:w="5076"/>
          </w:tcPr>
          <w:p>
            <w:pPr>
              <w:pStyle w:val="null3"/>
              <w:jc w:val="left"/>
            </w:pPr>
            <w:r>
              <w:rPr/>
              <w:t>完全满足用户需求书中不带▲号的一般技术参数，得19分。 有1项不带▲号的一般技术参数负偏离，得17分； 有2项不带▲号的一般技术参数负偏离，得15分； 有3项不带▲号的一般技术参数负偏离，得13分； 有4项不带▲号的一般技术参数负偏离，得11分； 有5项不带▲号的一般技术参数负偏离，得9分； 有6项不带▲号的一般技术参数负偏离，得7分； 有7项不带▲号的一般技术参数负偏离，得5分； 有8项不带▲号的一般技术参数负偏离，得3分； 有9项及以上不带▲号的一般技术参数负偏离，得1分。 所有投标人须提供投标产品彩页或相应技术参数的厂家使用说明书作为技术证明文件（用户需求书中另有要求的除外），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2）投标人针对本项目为采购人提供有专人指导和简单上手的设备操作培训课程安排，有简单的课程及培训内容安排，对设备的操作过程中注意事项有基本操作指引，得3分；（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 (8.0分)</w:t>
            </w:r>
          </w:p>
        </w:tc>
        <w:tc>
          <w:tcPr>
            <w:tcW w:type="dxa" w:w="5076"/>
          </w:tcPr>
          <w:p>
            <w:pPr>
              <w:pStyle w:val="null3"/>
              <w:jc w:val="left"/>
            </w:pPr>
            <w:r>
              <w:rPr/>
              <w:t>根据投标人针对本项目所提供的项目实施方案进行评审，包括①包装和运输方案、②安装调试、③现场维护、④售后服务方案。 注：每提供1项内容，得2.0分，提供相关有效的证明材料并加盖公章，不提供方案的不得分。</w:t>
            </w:r>
          </w:p>
        </w:tc>
      </w:tr>
      <w:tr>
        <w:tc>
          <w:tcPr>
            <w:tcW w:type="dxa" w:w="922"/>
            <w:gridSpan w:val="2"/>
            <w:vMerge/>
          </w:tcPr>
          <w:p/>
        </w:tc>
        <w:tc>
          <w:tcPr>
            <w:tcW w:type="dxa" w:w="2307"/>
          </w:tcPr>
          <w:p>
            <w:pPr>
              <w:pStyle w:val="null3"/>
              <w:jc w:val="left"/>
            </w:pPr>
            <w:r>
              <w:rPr/>
              <w:t>投标人同类业绩 (2.0分)</w:t>
            </w:r>
          </w:p>
        </w:tc>
        <w:tc>
          <w:tcPr>
            <w:tcW w:type="dxa" w:w="5076"/>
          </w:tcPr>
          <w:p>
            <w:pPr>
              <w:pStyle w:val="null3"/>
              <w:jc w:val="left"/>
            </w:pPr>
            <w:r>
              <w:rPr/>
              <w:t>投标人每提供一份同类有效的合同或中标通知书复印件加盖公章得1分，最高得2分，不提供不得分。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评审后得分最高的同品牌投标人获得中标人推荐资格；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r>
        <w:br/>
      </w:r>
    </w:p>
    <w:p>
      <w:pPr>
        <w:pStyle w:val="null3"/>
        <w:jc w:val="center"/>
      </w:pPr>
      <w:r>
        <w:rPr>
          <w:sz w:val="24"/>
          <w:b/>
        </w:rPr>
        <w:t>注：本合同仅为合同的参考文本，合同签订双方可根据项目的具体要求进行修订，但不得偏离实质性条款。</w:t>
      </w:r>
    </w:p>
    <w:p>
      <w:pPr>
        <w:pStyle w:val="null3"/>
        <w:jc w:val="center"/>
      </w:pPr>
      <w:r>
        <w:rPr>
          <w:sz w:val="19"/>
          <w:b/>
        </w:rPr>
        <w:t>广州市政府采购合同书（货物类）</w:t>
      </w:r>
    </w:p>
    <w:p>
      <w:pPr>
        <w:pStyle w:val="null3"/>
        <w:jc w:val="both"/>
      </w:pPr>
      <w:r>
        <w:rPr>
          <w:sz w:val="19"/>
        </w:rPr>
        <w:t>项目名称：</w:t>
      </w:r>
    </w:p>
    <w:p>
      <w:pPr>
        <w:pStyle w:val="null3"/>
        <w:jc w:val="both"/>
      </w:pPr>
      <w:r>
        <w:rPr>
          <w:sz w:val="19"/>
        </w:rPr>
        <w:t>合同编号：</w:t>
      </w:r>
    </w:p>
    <w:p>
      <w:pPr>
        <w:pStyle w:val="null3"/>
        <w:jc w:val="both"/>
      </w:pPr>
      <w:r>
        <w:rPr>
          <w:sz w:val="19"/>
          <w:b/>
        </w:rPr>
        <w:t>甲方：</w:t>
      </w:r>
      <w:r>
        <w:rPr>
          <w:sz w:val="19"/>
          <w:b/>
          <w:u w:val="single"/>
        </w:rPr>
        <w:t>广州市第十二人民医院</w:t>
      </w:r>
    </w:p>
    <w:p>
      <w:pPr>
        <w:pStyle w:val="null3"/>
        <w:jc w:val="both"/>
      </w:pPr>
      <w:r>
        <w:rPr>
          <w:sz w:val="19"/>
        </w:rPr>
        <w:t>电话：</w:t>
      </w:r>
      <w:r>
        <w:rPr>
          <w:sz w:val="21"/>
        </w:rPr>
        <w:t xml:space="preserve">          </w:t>
      </w:r>
      <w:r>
        <w:rPr>
          <w:sz w:val="19"/>
        </w:rPr>
        <w:t>传真：</w:t>
      </w:r>
      <w:r>
        <w:rPr>
          <w:sz w:val="19"/>
        </w:rPr>
        <w:t>020-38981257</w:t>
      </w:r>
    </w:p>
    <w:p>
      <w:pPr>
        <w:pStyle w:val="null3"/>
        <w:jc w:val="both"/>
      </w:pPr>
      <w:r>
        <w:rPr>
          <w:sz w:val="19"/>
        </w:rPr>
        <w:t>地址：广州市天河区天强路</w:t>
      </w:r>
      <w:r>
        <w:rPr>
          <w:sz w:val="19"/>
        </w:rPr>
        <w:t>1</w:t>
      </w:r>
      <w:r>
        <w:rPr>
          <w:sz w:val="19"/>
        </w:rPr>
        <w:t>号</w:t>
      </w:r>
    </w:p>
    <w:p>
      <w:pPr>
        <w:pStyle w:val="null3"/>
        <w:jc w:val="both"/>
      </w:pPr>
      <w:r>
        <w:rPr>
          <w:sz w:val="19"/>
          <w:b/>
        </w:rPr>
        <w:t>乙方：</w:t>
      </w:r>
    </w:p>
    <w:p>
      <w:pPr>
        <w:pStyle w:val="null3"/>
        <w:jc w:val="both"/>
      </w:pPr>
      <w:r>
        <w:rPr>
          <w:sz w:val="19"/>
        </w:rPr>
        <w:t>电话：传真：</w:t>
      </w:r>
    </w:p>
    <w:p>
      <w:pPr>
        <w:pStyle w:val="null3"/>
        <w:jc w:val="both"/>
      </w:pPr>
      <w:r>
        <w:rPr>
          <w:sz w:val="19"/>
        </w:rPr>
        <w:t>地址：</w:t>
      </w:r>
    </w:p>
    <w:p>
      <w:pPr>
        <w:pStyle w:val="null3"/>
        <w:jc w:val="both"/>
      </w:pPr>
      <w:r>
        <w:rPr>
          <w:sz w:val="19"/>
        </w:rPr>
        <w:t>根据的采购结果（项目名称：；项目编号：；招标代理公司：），按照《中华人民共和国政府采购法》、《中华人民共和国民法典》的相关规定，经双方协商，本着平等互利和诚实信用的原则，一致同意签订本合同如下。</w:t>
      </w:r>
    </w:p>
    <w:p>
      <w:pPr>
        <w:pStyle w:val="null3"/>
        <w:jc w:val="both"/>
      </w:pPr>
      <w:r>
        <w:rPr>
          <w:sz w:val="19"/>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84"/>
        <w:gridCol w:w="1296"/>
        <w:gridCol w:w="2065"/>
        <w:gridCol w:w="784"/>
        <w:gridCol w:w="784"/>
        <w:gridCol w:w="1296"/>
        <w:gridCol w:w="1296"/>
      </w:tblGrid>
      <w:tr>
        <w:tc>
          <w:tcPr>
            <w:tcW w:type="dxa" w:w="78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19"/>
              </w:rPr>
              <w:t>序号</w:t>
            </w:r>
          </w:p>
        </w:tc>
        <w:tc>
          <w:tcPr>
            <w:tcW w:type="dxa" w:w="129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19"/>
              </w:rPr>
              <w:t>商品名称</w:t>
            </w:r>
          </w:p>
        </w:tc>
        <w:tc>
          <w:tcPr>
            <w:tcW w:type="dxa" w:w="206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19"/>
              </w:rPr>
              <w:t>品牌、规格型号</w:t>
            </w:r>
          </w:p>
        </w:tc>
        <w:tc>
          <w:tcPr>
            <w:tcW w:type="dxa" w:w="78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19"/>
              </w:rPr>
              <w:t>产地</w:t>
            </w:r>
          </w:p>
        </w:tc>
        <w:tc>
          <w:tcPr>
            <w:tcW w:type="dxa" w:w="78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19"/>
              </w:rPr>
              <w:t>数量</w:t>
            </w:r>
          </w:p>
        </w:tc>
        <w:tc>
          <w:tcPr>
            <w:tcW w:type="dxa" w:w="129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19"/>
              </w:rPr>
              <w:t>单价</w:t>
            </w:r>
            <w:r>
              <w:rPr>
                <w:sz w:val="19"/>
              </w:rPr>
              <w:t>(</w:t>
            </w:r>
            <w:r>
              <w:rPr>
                <w:sz w:val="19"/>
              </w:rPr>
              <w:t>元</w:t>
            </w:r>
            <w:r>
              <w:rPr>
                <w:sz w:val="19"/>
              </w:rPr>
              <w:t>)</w:t>
            </w:r>
          </w:p>
        </w:tc>
        <w:tc>
          <w:tcPr>
            <w:tcW w:type="dxa" w:w="129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19"/>
              </w:rPr>
              <w:t>金额</w:t>
            </w:r>
            <w:r>
              <w:rPr>
                <w:sz w:val="19"/>
              </w:rPr>
              <w:t>(</w:t>
            </w:r>
            <w:r>
              <w:rPr>
                <w:sz w:val="19"/>
              </w:rPr>
              <w:t>元</w:t>
            </w:r>
            <w:r>
              <w:rPr>
                <w:sz w:val="19"/>
              </w:rPr>
              <w:t>)</w:t>
            </w:r>
          </w:p>
        </w:tc>
      </w:tr>
      <w:tr>
        <w:tc>
          <w:tcPr>
            <w:tcW w:type="dxa" w:w="78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19"/>
              </w:rPr>
              <w:t>1</w:t>
            </w:r>
          </w:p>
        </w:tc>
        <w:tc>
          <w:tcPr>
            <w:tcW w:type="dxa" w:w="129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20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29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29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8305"/>
            <w:gridSpan w:val="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19"/>
              </w:rPr>
              <w:t>合计总额（含税）：</w:t>
            </w:r>
            <w:r>
              <w:rPr>
                <w:sz w:val="19"/>
              </w:rPr>
              <w:t>¥</w:t>
            </w:r>
            <w:r>
              <w:rPr>
                <w:sz w:val="19"/>
              </w:rPr>
              <w:t>元；大写：人民币</w:t>
            </w:r>
          </w:p>
        </w:tc>
      </w:tr>
    </w:tbl>
    <w:p>
      <w:pPr>
        <w:pStyle w:val="null3"/>
        <w:ind w:firstLine="380"/>
        <w:jc w:val="both"/>
      </w:pPr>
      <w:r>
        <w:rPr>
          <w:sz w:val="19"/>
        </w:rPr>
        <w:t>合同总额包括但不限于乙方设备购置</w:t>
      </w:r>
      <w:r>
        <w:rPr>
          <w:sz w:val="19"/>
          <w:color w:val="0000FF"/>
        </w:rPr>
        <w:t>、</w:t>
      </w:r>
      <w:r>
        <w:rPr>
          <w:sz w:val="19"/>
        </w:rPr>
        <w:t>安装、随机零配件、标配工具、运输保险、调试、培训、质保期服务、各项税费及合同实施过程中不可预见费用等所有费用，就本合同</w:t>
      </w:r>
      <w:r>
        <w:rPr>
          <w:sz w:val="19"/>
          <w:color w:val="000000"/>
        </w:rPr>
        <w:t>履行，乙方不得以任何名义要求甲方增加费用。</w:t>
      </w:r>
    </w:p>
    <w:p>
      <w:pPr>
        <w:pStyle w:val="null3"/>
        <w:ind w:firstLine="380"/>
        <w:jc w:val="both"/>
      </w:pPr>
      <w:r>
        <w:rPr>
          <w:sz w:val="19"/>
        </w:rPr>
        <w:t>注：货物名称内容必须与投标文件中货物名称内容一致。</w:t>
      </w:r>
    </w:p>
    <w:p>
      <w:pPr>
        <w:pStyle w:val="null3"/>
        <w:jc w:val="both"/>
      </w:pPr>
      <w:r>
        <w:rPr>
          <w:sz w:val="19"/>
          <w:b/>
        </w:rPr>
        <w:t>二、合同金额</w:t>
      </w:r>
    </w:p>
    <w:p>
      <w:pPr>
        <w:pStyle w:val="null3"/>
        <w:ind w:firstLine="380"/>
        <w:jc w:val="both"/>
      </w:pPr>
      <w:r>
        <w:rPr>
          <w:sz w:val="19"/>
        </w:rPr>
        <w:t>合同金额（大写）：人民币元整（</w:t>
      </w:r>
      <w:r>
        <w:rPr>
          <w:sz w:val="19"/>
        </w:rPr>
        <w:t>¥</w:t>
      </w:r>
      <w:r>
        <w:rPr>
          <w:sz w:val="19"/>
        </w:rPr>
        <w:t>元）。</w:t>
      </w:r>
    </w:p>
    <w:p>
      <w:pPr>
        <w:pStyle w:val="null3"/>
        <w:jc w:val="both"/>
      </w:pPr>
      <w:r>
        <w:rPr>
          <w:sz w:val="19"/>
          <w:b/>
        </w:rPr>
        <w:t>三、设备要求</w:t>
      </w:r>
    </w:p>
    <w:p>
      <w:pPr>
        <w:pStyle w:val="null3"/>
        <w:ind w:firstLine="380"/>
        <w:jc w:val="both"/>
      </w:pPr>
      <w:r>
        <w:rPr>
          <w:sz w:val="19"/>
        </w:rPr>
        <w:t>1.</w:t>
      </w:r>
      <w:r>
        <w:rPr>
          <w:sz w:val="19"/>
        </w:rPr>
        <w:t>货物为原制造商制造的全新产品，与乙方提供的产品功能介绍及甲方招标需求相符，整机无污染，无侵权行为、表面无划损、无任何缺陷隐患，不存在侵犯第三方权利，在中国境内可依常规安全合法使用。</w:t>
      </w:r>
    </w:p>
    <w:p>
      <w:pPr>
        <w:pStyle w:val="null3"/>
        <w:ind w:firstLine="380"/>
        <w:jc w:val="both"/>
      </w:pPr>
      <w:r>
        <w:rPr>
          <w:sz w:val="19"/>
        </w:rPr>
        <w:t>2.</w:t>
      </w:r>
      <w:r>
        <w:rPr>
          <w:sz w:val="19"/>
        </w:rPr>
        <w:t>交付验收标准依次序对照适用标准为：</w:t>
      </w:r>
      <w:r>
        <w:rPr>
          <w:sz w:val="19"/>
        </w:rPr>
        <w:t>①</w:t>
      </w:r>
      <w:r>
        <w:rPr>
          <w:sz w:val="19"/>
        </w:rPr>
        <w:t>符合中华人民共和国国家安全质量标准、环保标准或行业标准；</w:t>
      </w:r>
      <w:r>
        <w:rPr>
          <w:sz w:val="19"/>
        </w:rPr>
        <w:t>②</w:t>
      </w:r>
      <w:r>
        <w:rPr>
          <w:sz w:val="19"/>
        </w:rPr>
        <w:t>符合招标文件和响应承诺中甲方认可的合理最佳配置、参数及各项要求；</w:t>
      </w:r>
      <w:r>
        <w:rPr>
          <w:sz w:val="19"/>
        </w:rPr>
        <w:t>③</w:t>
      </w:r>
      <w:r>
        <w:rPr>
          <w:sz w:val="19"/>
        </w:rPr>
        <w:t>货物来源国官方标准。</w:t>
      </w:r>
    </w:p>
    <w:p>
      <w:pPr>
        <w:pStyle w:val="null3"/>
        <w:ind w:firstLine="380"/>
        <w:jc w:val="both"/>
      </w:pPr>
      <w:r>
        <w:rPr>
          <w:sz w:val="19"/>
        </w:rPr>
        <w:t>3.</w:t>
      </w:r>
      <w:r>
        <w:rPr>
          <w:sz w:val="19"/>
        </w:rPr>
        <w:t>进口产品必须具备原产地证明、海关通关证明等合法进货渠道证明。</w:t>
      </w:r>
    </w:p>
    <w:p>
      <w:pPr>
        <w:pStyle w:val="null3"/>
        <w:ind w:firstLine="380"/>
        <w:jc w:val="both"/>
      </w:pPr>
      <w:r>
        <w:rPr>
          <w:sz w:val="19"/>
        </w:rPr>
        <w:t>4.</w:t>
      </w:r>
      <w:r>
        <w:rPr>
          <w:sz w:val="19"/>
        </w:rPr>
        <w:t>货物为原厂商未启封全新包装，具出厂合格证，序列号、包装箱号与出厂批号一致，并可追索查阅。</w:t>
      </w:r>
    </w:p>
    <w:p>
      <w:pPr>
        <w:pStyle w:val="null3"/>
        <w:ind w:firstLine="380"/>
        <w:jc w:val="both"/>
      </w:pPr>
      <w:r>
        <w:rPr>
          <w:sz w:val="19"/>
        </w:rPr>
        <w:t>5.</w:t>
      </w:r>
      <w:r>
        <w:rPr>
          <w:sz w:val="19"/>
        </w:rPr>
        <w:t>乙方应将关键主机设备的用户手册、</w:t>
      </w:r>
      <w:r>
        <w:rPr>
          <w:sz w:val="19"/>
          <w:color w:val="000000"/>
        </w:rPr>
        <w:t>原厂保修卡、</w:t>
      </w:r>
      <w:r>
        <w:rPr>
          <w:sz w:val="19"/>
        </w:rPr>
        <w:t>保修手册、有关单证资料及配备件、随机工具等交付给甲方，使用操作及安全须知等重要资料应附有中文说明。</w:t>
      </w:r>
    </w:p>
    <w:p>
      <w:pPr>
        <w:pStyle w:val="null3"/>
        <w:ind w:firstLine="380"/>
        <w:jc w:val="both"/>
      </w:pPr>
      <w:r>
        <w:rPr>
          <w:sz w:val="19"/>
        </w:rPr>
        <w:t>6.</w:t>
      </w:r>
      <w:r>
        <w:rPr>
          <w:sz w:val="19"/>
        </w:rPr>
        <w:t>属于国家强制检定</w:t>
      </w:r>
      <w:r>
        <w:rPr>
          <w:sz w:val="19"/>
        </w:rPr>
        <w:t>/</w:t>
      </w:r>
      <w:r>
        <w:rPr>
          <w:sz w:val="19"/>
        </w:rPr>
        <w:t>计量检定的设备，乙方负责完成首次检定并提交报告给甲方。</w:t>
      </w:r>
    </w:p>
    <w:p>
      <w:pPr>
        <w:pStyle w:val="null3"/>
        <w:ind w:firstLine="380"/>
        <w:jc w:val="both"/>
      </w:pPr>
      <w:r>
        <w:rPr>
          <w:sz w:val="19"/>
        </w:rPr>
        <w:t>7.</w:t>
      </w:r>
      <w:r>
        <w:rPr>
          <w:sz w:val="19"/>
        </w:rPr>
        <w:t>货物需接入甲方系统的，在验收前由乙方负责接入甲方系统并调试至可正常运行和使用，具体实施及相关费用由乙方承担。</w:t>
      </w:r>
    </w:p>
    <w:p>
      <w:pPr>
        <w:pStyle w:val="null3"/>
        <w:jc w:val="both"/>
      </w:pPr>
      <w:r>
        <w:rPr>
          <w:sz w:val="19"/>
          <w:b/>
        </w:rPr>
        <w:t>四、交货期、交货方式及交货地点</w:t>
      </w:r>
    </w:p>
    <w:p>
      <w:pPr>
        <w:pStyle w:val="null3"/>
        <w:ind w:firstLine="380"/>
        <w:jc w:val="both"/>
      </w:pPr>
      <w:r>
        <w:rPr>
          <w:sz w:val="19"/>
        </w:rPr>
        <w:t>1.</w:t>
      </w:r>
      <w:r>
        <w:rPr>
          <w:sz w:val="19"/>
        </w:rPr>
        <w:t>交货期：</w:t>
      </w:r>
      <w:r>
        <w:rPr>
          <w:sz w:val="19"/>
        </w:rPr>
        <w:t>合同生效后，</w:t>
      </w:r>
      <w:r>
        <w:rPr>
          <w:sz w:val="21"/>
          <w:u w:val="single"/>
        </w:rPr>
        <w:t xml:space="preserve">  </w:t>
      </w:r>
      <w:r>
        <w:rPr>
          <w:sz w:val="19"/>
        </w:rPr>
        <w:t>天内供货、安装调试。</w:t>
      </w:r>
    </w:p>
    <w:p>
      <w:pPr>
        <w:pStyle w:val="null3"/>
        <w:ind w:firstLine="380"/>
        <w:jc w:val="both"/>
      </w:pPr>
      <w:r>
        <w:rPr>
          <w:sz w:val="19"/>
        </w:rPr>
        <w:t>2.</w:t>
      </w:r>
      <w:r>
        <w:rPr>
          <w:sz w:val="19"/>
        </w:rPr>
        <w:t>交货方式：乙方负责运输，费用由乙方承担。</w:t>
      </w:r>
    </w:p>
    <w:p>
      <w:pPr>
        <w:pStyle w:val="null3"/>
        <w:ind w:firstLine="380"/>
        <w:jc w:val="both"/>
      </w:pPr>
      <w:r>
        <w:rPr>
          <w:sz w:val="19"/>
        </w:rPr>
        <w:t>3.</w:t>
      </w:r>
      <w:r>
        <w:rPr>
          <w:sz w:val="19"/>
        </w:rPr>
        <w:t>交货地点：甲方指定地点。乙方承担交货前包装费、运输费、装卸费、保险费等费用及存在的全部风险。</w:t>
      </w:r>
    </w:p>
    <w:p>
      <w:pPr>
        <w:pStyle w:val="null3"/>
        <w:jc w:val="both"/>
      </w:pPr>
      <w:r>
        <w:rPr>
          <w:sz w:val="19"/>
          <w:b/>
        </w:rPr>
        <w:t>五、付款方式</w:t>
      </w:r>
    </w:p>
    <w:p>
      <w:pPr>
        <w:pStyle w:val="null3"/>
        <w:ind w:firstLine="380"/>
        <w:jc w:val="both"/>
      </w:pPr>
      <w:r>
        <w:rPr>
          <w:sz w:val="19"/>
        </w:rPr>
        <w:t>1.</w:t>
      </w:r>
      <w:r>
        <w:rPr>
          <w:sz w:val="19"/>
        </w:rPr>
        <w:t>合同生效后，乙方向甲方提供中标通知书、合同书、并开具的正规、合法、有效、等额发票，经审核无误后，甲方在具备支付条件的</w:t>
      </w:r>
      <w:r>
        <w:rPr>
          <w:sz w:val="19"/>
        </w:rPr>
        <w:t>5</w:t>
      </w:r>
      <w:r>
        <w:rPr>
          <w:sz w:val="19"/>
        </w:rPr>
        <w:t>个工作日内支付合同金额的</w:t>
      </w:r>
      <w:r>
        <w:rPr>
          <w:sz w:val="19"/>
        </w:rPr>
        <w:t>30%</w:t>
      </w:r>
      <w:r>
        <w:rPr>
          <w:sz w:val="19"/>
        </w:rPr>
        <w:t>。</w:t>
      </w:r>
    </w:p>
    <w:p>
      <w:pPr>
        <w:pStyle w:val="null3"/>
        <w:ind w:firstLine="380"/>
        <w:jc w:val="both"/>
      </w:pPr>
      <w:r>
        <w:rPr>
          <w:sz w:val="19"/>
        </w:rPr>
        <w:t>2.</w:t>
      </w:r>
      <w:r>
        <w:rPr>
          <w:sz w:val="19"/>
        </w:rPr>
        <w:t>设备到货、安装、调试完毕，双方对设备数量、性能验收，验收合格后，双方在验收报告上签字盖章，乙方提供中标通知书、合同书、并开具的正规、合法、有效、等额发票及验收报告，经审核无误后，甲方在具备支付条件的</w:t>
      </w:r>
      <w:r>
        <w:rPr>
          <w:sz w:val="19"/>
        </w:rPr>
        <w:t>5</w:t>
      </w:r>
      <w:r>
        <w:rPr>
          <w:sz w:val="19"/>
        </w:rPr>
        <w:t>个工作日内支付剩余</w:t>
      </w:r>
      <w:r>
        <w:rPr>
          <w:sz w:val="19"/>
        </w:rPr>
        <w:t>70%</w:t>
      </w:r>
      <w:r>
        <w:rPr>
          <w:sz w:val="19"/>
        </w:rPr>
        <w:t>合同款项。</w:t>
      </w:r>
    </w:p>
    <w:p>
      <w:pPr>
        <w:pStyle w:val="null3"/>
        <w:jc w:val="both"/>
      </w:pPr>
      <w:r>
        <w:rPr>
          <w:sz w:val="19"/>
          <w:b/>
        </w:rPr>
        <w:t>六、质保期及售后服务要求</w:t>
      </w:r>
    </w:p>
    <w:p>
      <w:pPr>
        <w:pStyle w:val="null3"/>
        <w:ind w:firstLine="380"/>
        <w:jc w:val="both"/>
      </w:pPr>
      <w:r>
        <w:rPr>
          <w:sz w:val="19"/>
        </w:rPr>
        <w:t>1.</w:t>
      </w:r>
      <w:r>
        <w:rPr>
          <w:sz w:val="19"/>
        </w:rPr>
        <w:t>本合同约定产品的质量保证期（简称</w:t>
      </w:r>
      <w:r>
        <w:rPr>
          <w:sz w:val="19"/>
        </w:rPr>
        <w:t>“</w:t>
      </w:r>
      <w:r>
        <w:rPr>
          <w:sz w:val="19"/>
        </w:rPr>
        <w:t>质保期</w:t>
      </w:r>
      <w:r>
        <w:rPr>
          <w:sz w:val="19"/>
        </w:rPr>
        <w:t>”</w:t>
      </w:r>
      <w:r>
        <w:rPr>
          <w:sz w:val="19"/>
        </w:rPr>
        <w:t>）为</w:t>
      </w:r>
      <w:r>
        <w:rPr>
          <w:sz w:val="19"/>
          <w:u w:val="single"/>
        </w:rPr>
        <w:t>年</w:t>
      </w:r>
      <w:r>
        <w:rPr>
          <w:sz w:val="19"/>
          <w:color w:val="000000"/>
        </w:rPr>
        <w:t>（自甲方验收合格之日起算）</w:t>
      </w:r>
      <w:r>
        <w:rPr>
          <w:sz w:val="19"/>
          <w:color w:val="0000FF"/>
        </w:rPr>
        <w:t>，</w:t>
      </w:r>
      <w:r>
        <w:rPr>
          <w:sz w:val="19"/>
        </w:rPr>
        <w:t>质保期内乙方免费提供对设备的维修保养及更换配件服务，期满后可同时提供终身</w:t>
      </w:r>
      <w:r>
        <w:rPr>
          <w:sz w:val="19"/>
          <w:u w:val="single"/>
        </w:rPr>
        <w:t>(</w:t>
      </w:r>
      <w:r>
        <w:rPr>
          <w:sz w:val="19"/>
          <w:u w:val="single"/>
        </w:rPr>
        <w:t>有偿</w:t>
      </w:r>
      <w:r>
        <w:rPr>
          <w:sz w:val="19"/>
          <w:u w:val="single"/>
        </w:rPr>
        <w:t>)</w:t>
      </w:r>
      <w:r>
        <w:rPr>
          <w:sz w:val="19"/>
        </w:rPr>
        <w:t>维修保养服务。</w:t>
      </w:r>
    </w:p>
    <w:p>
      <w:pPr>
        <w:pStyle w:val="null3"/>
        <w:ind w:firstLine="380"/>
        <w:jc w:val="both"/>
      </w:pPr>
      <w:r>
        <w:rPr>
          <w:sz w:val="19"/>
        </w:rPr>
        <w:t>2.</w:t>
      </w:r>
      <w:r>
        <w:rPr>
          <w:sz w:val="19"/>
        </w:rPr>
        <w:t>质保期内，如产品或零部件因非人为因素出现故障而造成短期停用的，则质保期和免费维修期相应顺延。如停用时间累计超过</w:t>
      </w:r>
      <w:r>
        <w:rPr>
          <w:sz w:val="19"/>
        </w:rPr>
        <w:t>60</w:t>
      </w:r>
      <w:r>
        <w:rPr>
          <w:sz w:val="19"/>
        </w:rPr>
        <w:t>天的</w:t>
      </w:r>
      <w:r>
        <w:rPr>
          <w:sz w:val="19"/>
        </w:rPr>
        <w:t>,</w:t>
      </w:r>
      <w:r>
        <w:rPr>
          <w:sz w:val="19"/>
        </w:rPr>
        <w:t>则质保期自设备最近一次经维修恢复使用之日起重新计算。</w:t>
      </w:r>
    </w:p>
    <w:p>
      <w:pPr>
        <w:pStyle w:val="null3"/>
        <w:ind w:firstLine="380"/>
        <w:jc w:val="both"/>
      </w:pPr>
      <w:r>
        <w:rPr>
          <w:sz w:val="19"/>
        </w:rPr>
        <w:t>3.</w:t>
      </w:r>
      <w:r>
        <w:rPr>
          <w:sz w:val="19"/>
        </w:rPr>
        <w:t>对甲方的服务通知，乙方在接报后</w:t>
      </w:r>
      <w:r>
        <w:rPr>
          <w:sz w:val="19"/>
        </w:rPr>
        <w:t>2</w:t>
      </w:r>
      <w:r>
        <w:rPr>
          <w:sz w:val="19"/>
        </w:rPr>
        <w:t>小时内响应，</w:t>
      </w:r>
      <w:r>
        <w:rPr>
          <w:sz w:val="19"/>
        </w:rPr>
        <w:t>4</w:t>
      </w:r>
      <w:r>
        <w:rPr>
          <w:sz w:val="19"/>
        </w:rPr>
        <w:t>小时内到达现场，</w:t>
      </w:r>
      <w:r>
        <w:rPr>
          <w:sz w:val="19"/>
        </w:rPr>
        <w:t>24</w:t>
      </w:r>
      <w:r>
        <w:rPr>
          <w:sz w:val="19"/>
        </w:rPr>
        <w:t>小时内处理完毕。若在</w:t>
      </w:r>
      <w:r>
        <w:rPr>
          <w:sz w:val="19"/>
        </w:rPr>
        <w:t>72</w:t>
      </w:r>
      <w:r>
        <w:rPr>
          <w:sz w:val="19"/>
        </w:rPr>
        <w:t>小时内仍未能有效解决，乙方须免费提供同档次的产品予甲方临时使用。（乙方联系人：服务电话：，如乙方更换服务人员和电话，需提前五个工作日书面告知甲方）。若乙方不及时处理，甲方有权委托第三方公司进行维修解决，由此产生的一切费用均由乙方承担。</w:t>
      </w:r>
    </w:p>
    <w:p>
      <w:pPr>
        <w:pStyle w:val="null3"/>
        <w:ind w:firstLine="380"/>
        <w:jc w:val="both"/>
      </w:pPr>
      <w:r>
        <w:rPr>
          <w:sz w:val="19"/>
        </w:rPr>
        <w:t>4.</w:t>
      </w:r>
      <w:r>
        <w:rPr>
          <w:sz w:val="19"/>
        </w:rPr>
        <w:t>质保期内，非甲方的人为原因而出现产品质量及安装问题，由乙方负责包修、包换或包退，并承担因此而产生的一切费用。</w:t>
      </w:r>
    </w:p>
    <w:p>
      <w:pPr>
        <w:pStyle w:val="null3"/>
        <w:ind w:firstLine="380"/>
        <w:jc w:val="both"/>
      </w:pPr>
      <w:r>
        <w:rPr>
          <w:sz w:val="19"/>
        </w:rPr>
        <w:t>5.</w:t>
      </w:r>
      <w:r>
        <w:rPr>
          <w:sz w:val="19"/>
        </w:rPr>
        <w:t>质保服务方式为乙方上门服务，即由乙方派员到货物使用现场维修，由此产生的一切费用均由乙方承担。</w:t>
      </w:r>
    </w:p>
    <w:p>
      <w:pPr>
        <w:pStyle w:val="null3"/>
        <w:ind w:firstLine="380"/>
        <w:jc w:val="both"/>
      </w:pPr>
      <w:r>
        <w:rPr>
          <w:sz w:val="19"/>
        </w:rPr>
        <w:t>6.</w:t>
      </w:r>
      <w:r>
        <w:rPr>
          <w:sz w:val="19"/>
        </w:rPr>
        <w:t>在质保期内，乙方须对所提供的产品做定期检查和保养。</w:t>
      </w:r>
    </w:p>
    <w:p>
      <w:pPr>
        <w:pStyle w:val="null3"/>
        <w:ind w:firstLine="380"/>
        <w:jc w:val="both"/>
      </w:pPr>
      <w:r>
        <w:rPr>
          <w:sz w:val="19"/>
        </w:rPr>
        <w:t>7.</w:t>
      </w:r>
      <w:r>
        <w:rPr>
          <w:sz w:val="19"/>
        </w:rPr>
        <w:t>在质保期结束前，须由乙方专业工程师和甲方代表对产品进行一次全面检查，任何缺陷必须由乙方负责修理、并得到甲方代表认可。</w:t>
      </w:r>
    </w:p>
    <w:p>
      <w:pPr>
        <w:pStyle w:val="null3"/>
        <w:ind w:firstLine="380"/>
        <w:jc w:val="both"/>
      </w:pPr>
      <w:r>
        <w:rPr>
          <w:sz w:val="19"/>
        </w:rPr>
        <w:t>8.</w:t>
      </w:r>
      <w:r>
        <w:rPr>
          <w:sz w:val="19"/>
        </w:rPr>
        <w:t>乙方接到甲方通知对设备进行修理完成之后，乙方应将缺陷原因、修理内容、完成修理及恢复正常的时间和日期等报告给甲方，报告一式两份。</w:t>
      </w:r>
    </w:p>
    <w:p>
      <w:pPr>
        <w:pStyle w:val="null3"/>
        <w:ind w:firstLine="380"/>
        <w:jc w:val="both"/>
      </w:pPr>
      <w:r>
        <w:rPr>
          <w:sz w:val="19"/>
        </w:rPr>
        <w:t>9.</w:t>
      </w:r>
      <w:r>
        <w:rPr>
          <w:sz w:val="19"/>
        </w:rPr>
        <w:t>质保期满后，乙方承诺以优惠的价格继续为甲方提供服务，按甲方确认的维修收费标准继续提供产品使用运行的技术支持，包括故障排除及零备件的供应。</w:t>
      </w:r>
    </w:p>
    <w:p>
      <w:pPr>
        <w:pStyle w:val="null3"/>
        <w:jc w:val="both"/>
      </w:pPr>
      <w:r>
        <w:rPr>
          <w:sz w:val="19"/>
          <w:b/>
        </w:rPr>
        <w:t>七、安装与调试</w:t>
      </w:r>
    </w:p>
    <w:p>
      <w:pPr>
        <w:pStyle w:val="null3"/>
        <w:ind w:firstLine="380"/>
        <w:jc w:val="both"/>
      </w:pPr>
      <w:r>
        <w:rPr>
          <w:sz w:val="19"/>
        </w:rPr>
        <w:t>1.</w:t>
      </w:r>
      <w:r>
        <w:rPr>
          <w:sz w:val="19"/>
        </w:rPr>
        <w:t>乙方必须依照招标文件的要求和报价文件的承诺，将货物系统安装并调试至正常运行的最佳状态，所产生的费用由乙方承担。</w:t>
      </w:r>
    </w:p>
    <w:p>
      <w:pPr>
        <w:pStyle w:val="null3"/>
        <w:ind w:firstLine="380"/>
        <w:jc w:val="both"/>
      </w:pPr>
      <w:r>
        <w:rPr>
          <w:sz w:val="19"/>
        </w:rPr>
        <w:t>2.</w:t>
      </w:r>
      <w:r>
        <w:rPr>
          <w:sz w:val="19"/>
        </w:rPr>
        <w:t>乙方为甲方提供免费培训服务，并指派专人（姓名：，联系电话：，邮箱：</w:t>
      </w:r>
      <w:r>
        <w:rPr>
          <w:sz w:val="19"/>
        </w:rPr>
        <w:t>,</w:t>
      </w:r>
      <w:r>
        <w:rPr>
          <w:sz w:val="19"/>
        </w:rPr>
        <w:t>微信号：，如乙方更换服务人员和电话，需提前五个工作日书面告知甲方）负责与甲方联系售后服务事宜。主要培训内容为产品的基本结构、主要部件的构造及处理、日常使用操作、保养与管理、常见故障的排除、紧急情况的处理等，如甲方未使用过同类型产品，乙方还需就产品的功能对甲方进行相应的技术培训，培训地点主要在产品安装现场或由甲方安排。</w:t>
      </w:r>
    </w:p>
    <w:p>
      <w:pPr>
        <w:pStyle w:val="null3"/>
        <w:jc w:val="both"/>
      </w:pPr>
      <w:r>
        <w:rPr>
          <w:sz w:val="19"/>
        </w:rPr>
        <w:t>3.</w:t>
      </w:r>
      <w:r>
        <w:rPr>
          <w:sz w:val="19"/>
        </w:rPr>
        <w:t>乙方安排产品安装、调试及培训人员的安全保障措施，并承担由此产生的一切费用。若发生任何安全事故，全部赔偿责任由乙方承担。若甲方因此承担（连带）责任或赔偿损失的，甲方有权向乙方追偿。</w:t>
      </w:r>
    </w:p>
    <w:p>
      <w:pPr>
        <w:pStyle w:val="null3"/>
        <w:jc w:val="both"/>
      </w:pPr>
      <w:r>
        <w:rPr>
          <w:sz w:val="19"/>
          <w:b/>
        </w:rPr>
        <w:t>八、验收：</w:t>
      </w:r>
    </w:p>
    <w:p>
      <w:pPr>
        <w:pStyle w:val="null3"/>
        <w:ind w:firstLine="380"/>
        <w:jc w:val="both"/>
      </w:pPr>
      <w:r>
        <w:rPr>
          <w:sz w:val="19"/>
        </w:rPr>
        <w:t>1.</w:t>
      </w:r>
      <w:r>
        <w:rPr>
          <w:sz w:val="19"/>
        </w:rPr>
        <w:t>产品（设备）若有国家标准按照国家标准验收，若无国家标准按行业标准验收。乙方保证产品为原制造商制造的全新产品，整机无污染，无侵害第三方权利、表面无划损、无任何缺陷隐患，在中国境内可依常规安全合法使用。</w:t>
      </w:r>
    </w:p>
    <w:p>
      <w:pPr>
        <w:pStyle w:val="null3"/>
        <w:ind w:firstLine="380"/>
        <w:jc w:val="both"/>
      </w:pPr>
      <w:r>
        <w:rPr>
          <w:sz w:val="19"/>
        </w:rPr>
        <w:t>2.</w:t>
      </w:r>
      <w:r>
        <w:rPr>
          <w:sz w:val="19"/>
        </w:rPr>
        <w:t>货物为原厂商未启封全新包装，具出厂合格证，序列号、包装箱号与出厂批号一致，并可追索查阅。所有随设备的附件必须齐全。</w:t>
      </w:r>
    </w:p>
    <w:p>
      <w:pPr>
        <w:pStyle w:val="null3"/>
        <w:ind w:firstLine="380"/>
        <w:jc w:val="both"/>
      </w:pPr>
      <w:r>
        <w:rPr>
          <w:sz w:val="19"/>
        </w:rPr>
        <w:t>3.</w:t>
      </w:r>
      <w:r>
        <w:rPr>
          <w:sz w:val="19"/>
        </w:rPr>
        <w:t>甲方组成验收小组按国家有关规定、规范进行验收，必要时邀请相关的专业人员或机构参与验收。因产品质量问题发生争议时，由本地市场监督管理部门鉴定。产品符合质量技术标准的，鉴定费由甲方承担；否则鉴定费由乙方承担。</w:t>
      </w:r>
    </w:p>
    <w:p>
      <w:pPr>
        <w:pStyle w:val="null3"/>
        <w:ind w:firstLine="285"/>
        <w:jc w:val="both"/>
      </w:pPr>
      <w:r>
        <w:rPr>
          <w:sz w:val="19"/>
        </w:rPr>
        <w:t>4</w:t>
      </w:r>
      <w:r>
        <w:rPr>
          <w:sz w:val="19"/>
        </w:rPr>
        <w:t>．乙方应在项目验收前将系统的全部有关产品说明书、原厂家安装及使用手册、技术文件、资料、及安装、调试、验收报告等文档汇集成册交付甲方。</w:t>
      </w:r>
    </w:p>
    <w:p>
      <w:pPr>
        <w:pStyle w:val="null3"/>
        <w:ind w:firstLine="285"/>
        <w:jc w:val="both"/>
      </w:pPr>
      <w:r>
        <w:rPr>
          <w:sz w:val="19"/>
        </w:rPr>
        <w:t>5.</w:t>
      </w:r>
      <w:r>
        <w:rPr>
          <w:sz w:val="19"/>
        </w:rPr>
        <w:t>验收不能通过的，乙方应负责及时整改。若整改后，产品仍未能达标的，甲方有权依本合同约定和法律规定追究其经济及法律责任。</w:t>
      </w:r>
    </w:p>
    <w:p>
      <w:pPr>
        <w:pStyle w:val="null3"/>
        <w:ind w:firstLine="285"/>
        <w:jc w:val="both"/>
      </w:pPr>
      <w:r>
        <w:rPr>
          <w:sz w:val="19"/>
        </w:rPr>
        <w:t>6.</w:t>
      </w:r>
      <w:r>
        <w:rPr>
          <w:sz w:val="19"/>
        </w:rPr>
        <w:t>乙方保证合同项下提供的产品不侵犯任何第三方的专利、商标或版权。否则，乙方须承担对第三方的专利、商标或版权的侵权责任并承担因此而发生的所有费用</w:t>
      </w:r>
      <w:r>
        <w:rPr>
          <w:sz w:val="19"/>
          <w:color w:val="000000"/>
        </w:rPr>
        <w:t>。如甲方因此承担相关责任，有权向乙方追偿。</w:t>
      </w:r>
    </w:p>
    <w:p>
      <w:pPr>
        <w:pStyle w:val="null3"/>
        <w:jc w:val="both"/>
      </w:pPr>
      <w:r>
        <w:rPr>
          <w:sz w:val="19"/>
          <w:b/>
          <w:color w:val="000000"/>
        </w:rPr>
        <w:t>九、违约责任与赔偿损失</w:t>
      </w:r>
    </w:p>
    <w:p>
      <w:pPr>
        <w:pStyle w:val="null3"/>
        <w:ind w:firstLine="380"/>
        <w:jc w:val="both"/>
      </w:pPr>
      <w:r>
        <w:rPr>
          <w:sz w:val="19"/>
          <w:color w:val="000000"/>
        </w:rPr>
        <w:t>1.</w:t>
      </w:r>
      <w:r>
        <w:rPr>
          <w:sz w:val="19"/>
          <w:color w:val="000000"/>
        </w:rPr>
        <w:t>乙方交付的货物不符合招标文件、报价文件或本合同约定的，甲方有权拒收货物并单方解除合同，乙方除应返还甲方已支付的款项及资金占用利息（利息按照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2.</w:t>
      </w:r>
      <w:r>
        <w:rPr>
          <w:sz w:val="19"/>
          <w:color w:val="000000"/>
        </w:rPr>
        <w:t>乙方交付的货物经验收不能通过的，甲方给予两周的整改时间，经整改后仍未能达标的，甲方有权单方解除合同，乙方除应返还甲方已支付的款项及资金占用利息（利息按照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3.</w:t>
      </w:r>
      <w:r>
        <w:rPr>
          <w:sz w:val="19"/>
          <w:color w:val="000000"/>
        </w:rPr>
        <w:t>乙方未能按本合同约定及甲方要求的交货时间交付货物，从逾期之日起每日按合同总金额</w:t>
      </w:r>
      <w:r>
        <w:rPr>
          <w:sz w:val="19"/>
          <w:color w:val="000000"/>
        </w:rPr>
        <w:t>3‰</w:t>
      </w:r>
      <w:r>
        <w:rPr>
          <w:sz w:val="19"/>
          <w:color w:val="000000"/>
        </w:rPr>
        <w:t>的数额标准向甲方支付违约金；逾期</w:t>
      </w:r>
      <w:r>
        <w:rPr>
          <w:sz w:val="19"/>
          <w:color w:val="000000"/>
        </w:rPr>
        <w:t>15</w:t>
      </w:r>
      <w:r>
        <w:rPr>
          <w:sz w:val="19"/>
          <w:color w:val="000000"/>
        </w:rPr>
        <w:t>日以上的，甲方有权终止合同，乙方除应返还甲方已支付的款项及资金占用利息（利息按照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w:t>
      </w:r>
      <w:r>
        <w:rPr>
          <w:sz w:val="19"/>
        </w:rPr>
        <w:t>起计算）外，还应按照合同总金额</w:t>
      </w:r>
      <w:r>
        <w:rPr>
          <w:sz w:val="19"/>
        </w:rPr>
        <w:t>10%</w:t>
      </w:r>
      <w:r>
        <w:rPr>
          <w:sz w:val="19"/>
        </w:rPr>
        <w:t>的数额标准向甲方支付违约金，由此造成的甲方经济损失由乙方承担。</w:t>
      </w:r>
    </w:p>
    <w:p>
      <w:pPr>
        <w:pStyle w:val="null3"/>
        <w:ind w:firstLine="380"/>
        <w:jc w:val="both"/>
      </w:pPr>
      <w:r>
        <w:rPr>
          <w:sz w:val="19"/>
        </w:rPr>
        <w:t>4.</w:t>
      </w:r>
      <w:r>
        <w:rPr>
          <w:sz w:val="19"/>
        </w:rPr>
        <w:t>甲方通知乙方送货后又无正当理由拒收货物的，应按照合同总金额</w:t>
      </w:r>
      <w:r>
        <w:rPr>
          <w:sz w:val="19"/>
        </w:rPr>
        <w:t>10%</w:t>
      </w:r>
      <w:r>
        <w:rPr>
          <w:sz w:val="19"/>
        </w:rPr>
        <w:t>的数额标准向乙方支付违约金，本合同解除。甲方无正当理由逾期付款的，每逾期一日，应按照逾期未付金额日</w:t>
      </w:r>
      <w:r>
        <w:rPr>
          <w:sz w:val="19"/>
        </w:rPr>
        <w:t>3‰</w:t>
      </w:r>
      <w:r>
        <w:rPr>
          <w:sz w:val="19"/>
        </w:rPr>
        <w:t>的数额标准向乙方支付违约金，违约金累计总额不得超过合同总金额的</w:t>
      </w:r>
      <w:r>
        <w:rPr>
          <w:sz w:val="19"/>
        </w:rPr>
        <w:t>5%</w:t>
      </w:r>
      <w:r>
        <w:rPr>
          <w:sz w:val="19"/>
        </w:rPr>
        <w:t>。若因乙方无法提交合法、有效发票及其他付款相关材料，导致甲方不能及时付款的，甲方不承担逾期付款责任。</w:t>
      </w:r>
    </w:p>
    <w:p>
      <w:pPr>
        <w:pStyle w:val="null3"/>
        <w:ind w:firstLine="380"/>
        <w:jc w:val="both"/>
      </w:pPr>
      <w:r>
        <w:rPr>
          <w:sz w:val="19"/>
        </w:rPr>
        <w:t>5.</w:t>
      </w:r>
      <w:r>
        <w:rPr>
          <w:sz w:val="19"/>
        </w:rPr>
        <w:t>如因本合同产品质量问题造成甲方及任何第三方遭受损害（包括人身及财产），由乙方承担全部的赔偿责任；如甲方因此承担相关赔偿责任的，有权全额向乙方追偿并要求乙方承担甲方因追偿所产生的全部费用。</w:t>
      </w:r>
    </w:p>
    <w:p>
      <w:pPr>
        <w:pStyle w:val="null3"/>
        <w:ind w:firstLine="380"/>
        <w:jc w:val="both"/>
      </w:pPr>
      <w:r>
        <w:rPr>
          <w:sz w:val="19"/>
        </w:rPr>
        <w:t>6.</w:t>
      </w:r>
      <w:r>
        <w:rPr>
          <w:sz w:val="19"/>
        </w:rPr>
        <w:t>乙方交付的货物不得侵害任何第三方权利，因乙方交付的货物侵权发生纠纷由乙方负责处理并承担所有费用，导致甲方无法使用或其他损失的，甲方有权要求乙方赔偿。</w:t>
      </w:r>
    </w:p>
    <w:p>
      <w:pPr>
        <w:pStyle w:val="null3"/>
        <w:ind w:firstLine="480"/>
        <w:jc w:val="both"/>
      </w:pPr>
      <w:r>
        <w:rPr>
          <w:sz w:val="19"/>
          <w:color w:val="000000"/>
        </w:rPr>
        <w:t>7.</w:t>
      </w:r>
      <w:r>
        <w:rPr>
          <w:sz w:val="19"/>
          <w:color w:val="000000"/>
        </w:rPr>
        <w:t>乙方不得将本合同项下乙方义务转包或分包给第三方，如有转包或分包的，甲方有权单方解除合同，乙方除应返还甲方已支付的款项及资金占用利息（利息按照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8.</w:t>
      </w:r>
      <w:r>
        <w:rPr>
          <w:sz w:val="19"/>
          <w:color w:val="000000"/>
        </w:rPr>
        <w:t>本合同生效后，各方均应全面履行本合同约定的义务。任何一方不履行或不完全履行本合同约定义务的，应当承担相应的违约责任，并赔偿由此给守约方造成的损失，包括守约方为实现债权而支付的诉讼费、律师费、财产保全费、担保费、公证费、鉴定费、差旅费等全部费用。</w:t>
      </w:r>
    </w:p>
    <w:p>
      <w:pPr>
        <w:pStyle w:val="null3"/>
        <w:ind w:firstLine="380"/>
        <w:jc w:val="both"/>
      </w:pPr>
      <w:r>
        <w:rPr>
          <w:sz w:val="19"/>
          <w:color w:val="000000"/>
        </w:rPr>
        <w:t>9.</w:t>
      </w:r>
      <w:r>
        <w:rPr>
          <w:sz w:val="19"/>
          <w:color w:val="000000"/>
        </w:rPr>
        <w:t>其它违约责任按《中华人民共和国民法典》处理。</w:t>
      </w:r>
    </w:p>
    <w:p>
      <w:pPr>
        <w:pStyle w:val="null3"/>
        <w:jc w:val="both"/>
      </w:pPr>
      <w:r>
        <w:rPr>
          <w:sz w:val="19"/>
          <w:b/>
        </w:rPr>
        <w:t>十、争议的解决</w:t>
      </w:r>
    </w:p>
    <w:p>
      <w:pPr>
        <w:pStyle w:val="null3"/>
        <w:ind w:firstLine="380"/>
        <w:jc w:val="both"/>
      </w:pPr>
      <w:r>
        <w:rPr>
          <w:sz w:val="19"/>
        </w:rPr>
        <w:t>合同执行过程中发生的任何争议，如双方不能通过友好协商解决，均可向合同签订地人民法院即广州市天河区人民法院提请诉讼。</w:t>
      </w:r>
    </w:p>
    <w:p>
      <w:pPr>
        <w:pStyle w:val="null3"/>
        <w:jc w:val="both"/>
      </w:pPr>
      <w:r>
        <w:rPr>
          <w:sz w:val="19"/>
          <w:b/>
        </w:rPr>
        <w:t>十一、不可抗力</w:t>
      </w:r>
    </w:p>
    <w:p>
      <w:pPr>
        <w:pStyle w:val="null3"/>
        <w:ind w:firstLine="480"/>
        <w:jc w:val="both"/>
      </w:pPr>
      <w:r>
        <w:rPr>
          <w:sz w:val="19"/>
          <w:color w:val="000000"/>
        </w:rPr>
        <w:t>任何一方由于不可抗力原因不能履行合同时，应在不可抗力事件结束后</w:t>
      </w:r>
      <w:r>
        <w:rPr>
          <w:sz w:val="19"/>
          <w:color w:val="000000"/>
        </w:rPr>
        <w:t>1</w:t>
      </w:r>
      <w:r>
        <w:rPr>
          <w:sz w:val="19"/>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19"/>
          <w:b/>
        </w:rPr>
        <w:t>十二、税费</w:t>
      </w:r>
    </w:p>
    <w:p>
      <w:pPr>
        <w:pStyle w:val="null3"/>
        <w:ind w:firstLine="480"/>
        <w:jc w:val="both"/>
      </w:pPr>
      <w:r>
        <w:rPr>
          <w:sz w:val="19"/>
          <w:color w:val="000000"/>
        </w:rPr>
        <w:t>在中国境内、外发生的与本合同执行有关的一切税费均由乙方负担。</w:t>
      </w:r>
    </w:p>
    <w:p>
      <w:pPr>
        <w:pStyle w:val="null3"/>
        <w:jc w:val="both"/>
      </w:pPr>
      <w:r>
        <w:rPr>
          <w:sz w:val="19"/>
          <w:b/>
        </w:rPr>
        <w:t>十三、其它约定</w:t>
      </w:r>
    </w:p>
    <w:p>
      <w:pPr>
        <w:pStyle w:val="null3"/>
        <w:ind w:firstLine="380"/>
        <w:jc w:val="both"/>
      </w:pPr>
      <w:r>
        <w:rPr>
          <w:sz w:val="19"/>
        </w:rPr>
        <w:t>1.</w:t>
      </w:r>
      <w:r>
        <w:rPr>
          <w:sz w:val="19"/>
        </w:rPr>
        <w:t>本合同所有附件、招标文件、投标文件、中标通知书均为合同的有效组成部分，与本合同具有同等法律效力。</w:t>
      </w:r>
    </w:p>
    <w:p>
      <w:pPr>
        <w:pStyle w:val="null3"/>
        <w:ind w:firstLine="380"/>
        <w:jc w:val="both"/>
      </w:pPr>
      <w:r>
        <w:rPr>
          <w:sz w:val="19"/>
        </w:rPr>
        <w:t>2.</w:t>
      </w:r>
      <w:r>
        <w:rPr>
          <w:sz w:val="19"/>
        </w:rPr>
        <w:t>在执行本合同的过程中，所有经双方签署确认的文件（包括会议纪要、补充协议、往来信函）即成为本合同的有效组成部分。</w:t>
      </w:r>
    </w:p>
    <w:p>
      <w:pPr>
        <w:pStyle w:val="null3"/>
        <w:ind w:firstLine="380"/>
        <w:jc w:val="both"/>
      </w:pPr>
      <w:r>
        <w:rPr>
          <w:sz w:val="19"/>
          <w:color w:val="000000"/>
        </w:rPr>
        <w:t>3.</w:t>
      </w:r>
      <w:r>
        <w:rPr>
          <w:sz w:val="19"/>
          <w:color w:val="000000"/>
        </w:rPr>
        <w:t>甲、乙双方联系方式以本合同前部所写明的联系信息为准，如一方地址、电话、传真号码有变更，应在变更当日内书面通知对方，否则，一方按照本合同写明的联系信息联系即视为送达，相关责任及后果由相对应方承担。</w:t>
      </w:r>
    </w:p>
    <w:p>
      <w:pPr>
        <w:pStyle w:val="null3"/>
        <w:ind w:firstLine="380"/>
        <w:jc w:val="both"/>
      </w:pPr>
      <w:r>
        <w:rPr>
          <w:sz w:val="19"/>
        </w:rPr>
        <w:t>4.</w:t>
      </w:r>
      <w:r>
        <w:rPr>
          <w:sz w:val="19"/>
        </w:rPr>
        <w:t>除甲方事先书面同意外，乙方不得部分或全部转让其应履行的合同项下的义务。</w:t>
      </w:r>
    </w:p>
    <w:p>
      <w:pPr>
        <w:pStyle w:val="null3"/>
        <w:ind w:firstLine="380"/>
        <w:jc w:val="both"/>
      </w:pPr>
      <w:r>
        <w:rPr>
          <w:sz w:val="19"/>
        </w:rPr>
        <w:t>5.</w:t>
      </w:r>
      <w:r>
        <w:rPr>
          <w:sz w:val="21"/>
        </w:rPr>
        <w:t>乙方完全遵守《中华人民共和国劳动合同法》有关规定和《中华人民共和国妇女权益保障法》中关于</w:t>
      </w:r>
      <w:r>
        <w:rPr>
          <w:sz w:val="21"/>
        </w:rPr>
        <w:t>“劳动和社会保障权益”的有关要求</w:t>
      </w:r>
    </w:p>
    <w:p>
      <w:pPr>
        <w:pStyle w:val="null3"/>
        <w:jc w:val="both"/>
      </w:pPr>
      <w:r>
        <w:rPr>
          <w:sz w:val="19"/>
          <w:b/>
        </w:rPr>
        <w:t>十四、合同生效</w:t>
      </w:r>
    </w:p>
    <w:p>
      <w:pPr>
        <w:pStyle w:val="null3"/>
        <w:ind w:firstLine="380"/>
        <w:jc w:val="both"/>
      </w:pPr>
      <w:r>
        <w:rPr>
          <w:sz w:val="19"/>
        </w:rPr>
        <w:t>1.</w:t>
      </w:r>
      <w:r>
        <w:rPr>
          <w:sz w:val="19"/>
        </w:rPr>
        <w:t>本合同自甲乙双方法定代表人或其授权代表签字盖章后生效。</w:t>
      </w:r>
    </w:p>
    <w:p>
      <w:pPr>
        <w:pStyle w:val="null3"/>
        <w:ind w:firstLine="380"/>
        <w:jc w:val="both"/>
      </w:pPr>
      <w:r>
        <w:rPr>
          <w:sz w:val="19"/>
        </w:rPr>
        <w:t>2.</w:t>
      </w:r>
      <w:r>
        <w:rPr>
          <w:sz w:val="19"/>
        </w:rPr>
        <w:t>本合同一式伍份</w:t>
      </w:r>
      <w:r>
        <w:rPr>
          <w:sz w:val="19"/>
        </w:rPr>
        <w:t>,</w:t>
      </w:r>
      <w:r>
        <w:rPr>
          <w:sz w:val="19"/>
        </w:rPr>
        <w:t>甲方执肆份，乙方执壹份，具有同等法律效力。</w:t>
      </w:r>
    </w:p>
    <w:p>
      <w:pPr>
        <w:pStyle w:val="null3"/>
        <w:jc w:val="center"/>
      </w:pPr>
      <w:r>
        <w:rPr>
          <w:sz w:val="19"/>
        </w:rPr>
        <w:t>（以下无正文）</w:t>
      </w:r>
    </w:p>
    <w:p>
      <w:pPr>
        <w:pStyle w:val="null3"/>
        <w:jc w:val="both"/>
      </w:pPr>
      <w:r>
        <w:rPr>
          <w:sz w:val="19"/>
        </w:rPr>
        <w:t>附件：主要配置及技术参数</w:t>
      </w:r>
    </w:p>
    <w:p>
      <w:pPr>
        <w:pStyle w:val="null3"/>
        <w:jc w:val="both"/>
      </w:pPr>
      <w:r>
        <w:rPr>
          <w:sz w:val="19"/>
        </w:rPr>
        <w:t>甲方（盖章）：广州市第十二人民医院</w:t>
      </w:r>
      <w:r>
        <w:rPr>
          <w:sz w:val="21"/>
        </w:rPr>
        <w:t xml:space="preserve">          </w:t>
      </w:r>
      <w:r>
        <w:rPr>
          <w:sz w:val="19"/>
        </w:rPr>
        <w:t>乙方（盖章）：</w:t>
      </w:r>
    </w:p>
    <w:p>
      <w:pPr>
        <w:pStyle w:val="null3"/>
        <w:jc w:val="both"/>
      </w:pPr>
      <w:r>
        <w:rPr>
          <w:sz w:val="19"/>
        </w:rPr>
        <w:t>法定代表人（或授权代表）：</w:t>
      </w:r>
      <w:r>
        <w:rPr>
          <w:sz w:val="21"/>
        </w:rPr>
        <w:t xml:space="preserve">                  </w:t>
      </w:r>
      <w:r>
        <w:rPr>
          <w:sz w:val="19"/>
        </w:rPr>
        <w:t>法定代表人（或授权代表）：</w:t>
      </w:r>
    </w:p>
    <w:p>
      <w:pPr>
        <w:pStyle w:val="null3"/>
        <w:jc w:val="both"/>
      </w:pPr>
      <w:r>
        <w:rPr>
          <w:sz w:val="19"/>
        </w:rPr>
        <w:t>签定地点：广州市天河区</w:t>
      </w:r>
      <w:r>
        <w:rPr>
          <w:sz w:val="21"/>
        </w:rPr>
        <w:t xml:space="preserve">                      </w:t>
      </w:r>
      <w:r>
        <w:rPr>
          <w:sz w:val="19"/>
        </w:rPr>
        <w:t>签定地点：广州市天河区</w:t>
      </w:r>
    </w:p>
    <w:p>
      <w:pPr>
        <w:pStyle w:val="null3"/>
        <w:jc w:val="both"/>
      </w:pPr>
      <w:r>
        <w:rPr>
          <w:sz w:val="19"/>
        </w:rPr>
        <w:t>签定日期：</w:t>
      </w:r>
      <w:r>
        <w:rPr>
          <w:sz w:val="19"/>
        </w:rPr>
        <w:t>202</w:t>
      </w:r>
      <w:r>
        <w:rPr>
          <w:sz w:val="19"/>
        </w:rPr>
        <w:t>5</w:t>
      </w:r>
      <w:r>
        <w:rPr>
          <w:sz w:val="19"/>
        </w:rPr>
        <w:t>年</w:t>
      </w:r>
      <w:r>
        <w:rPr>
          <w:sz w:val="21"/>
        </w:rPr>
        <w:t xml:space="preserve">  </w:t>
      </w:r>
      <w:r>
        <w:rPr>
          <w:sz w:val="19"/>
        </w:rPr>
        <w:t>月</w:t>
      </w:r>
      <w:r>
        <w:rPr>
          <w:sz w:val="21"/>
        </w:rPr>
        <w:t xml:space="preserve">  </w:t>
      </w:r>
      <w:r>
        <w:rPr>
          <w:sz w:val="19"/>
        </w:rPr>
        <w:t>日</w:t>
      </w:r>
      <w:r>
        <w:rPr>
          <w:sz w:val="21"/>
        </w:rPr>
        <w:t xml:space="preserve">                   </w:t>
      </w:r>
      <w:r>
        <w:rPr>
          <w:sz w:val="19"/>
        </w:rPr>
        <w:t>签定日期：</w:t>
      </w:r>
      <w:r>
        <w:rPr>
          <w:sz w:val="19"/>
        </w:rPr>
        <w:t>202</w:t>
      </w:r>
      <w:r>
        <w:rPr>
          <w:sz w:val="19"/>
        </w:rPr>
        <w:t>5</w:t>
      </w:r>
      <w:r>
        <w:rPr>
          <w:sz w:val="19"/>
        </w:rPr>
        <w:t>年</w:t>
      </w:r>
      <w:r>
        <w:rPr>
          <w:sz w:val="21"/>
        </w:rPr>
        <w:t xml:space="preserve">  </w:t>
      </w:r>
      <w:r>
        <w:rPr>
          <w:sz w:val="19"/>
        </w:rPr>
        <w:t>月</w:t>
      </w:r>
      <w:r>
        <w:rPr>
          <w:sz w:val="21"/>
        </w:rPr>
        <w:t xml:space="preserve">  </w:t>
      </w:r>
      <w:r>
        <w:rPr>
          <w:sz w:val="19"/>
        </w:rPr>
        <w:t>日</w:t>
      </w:r>
    </w:p>
    <w:p>
      <w:pPr>
        <w:pStyle w:val="null3"/>
        <w:jc w:val="both"/>
      </w:pPr>
      <w:r>
        <w:rPr>
          <w:sz w:val="19"/>
        </w:rPr>
        <w:t>经手人：经手人：</w:t>
      </w:r>
    </w:p>
    <w:p>
      <w:pPr>
        <w:pStyle w:val="null3"/>
        <w:jc w:val="both"/>
      </w:pPr>
      <w:r>
        <w:rPr>
          <w:sz w:val="19"/>
        </w:rPr>
        <w:t>电话：</w:t>
      </w:r>
      <w:r>
        <w:rPr>
          <w:sz w:val="21"/>
        </w:rPr>
        <w:t xml:space="preserve">                                               </w:t>
      </w:r>
      <w:r>
        <w:rPr>
          <w:sz w:val="19"/>
        </w:rPr>
        <w:t>电话：</w:t>
      </w:r>
    </w:p>
    <w:p>
      <w:pPr>
        <w:pStyle w:val="null3"/>
        <w:jc w:val="both"/>
      </w:pPr>
      <w:r>
        <w:rPr>
          <w:sz w:val="19"/>
        </w:rPr>
        <w:t>开户行：</w:t>
      </w:r>
    </w:p>
    <w:p>
      <w:pPr>
        <w:pStyle w:val="null3"/>
        <w:jc w:val="both"/>
      </w:pPr>
      <w:r>
        <w:rPr>
          <w:sz w:val="19"/>
        </w:rPr>
        <w:t>开户名：</w:t>
      </w:r>
    </w:p>
    <w:p>
      <w:pPr>
        <w:pStyle w:val="null3"/>
        <w:jc w:val="both"/>
      </w:pPr>
      <w:r>
        <w:rPr>
          <w:sz w:val="19"/>
        </w:rPr>
        <w:t>账号：</w:t>
      </w:r>
    </w:p>
    <w:p>
      <w:pPr>
        <w:pStyle w:val="null3"/>
        <w:spacing w:before="0" w:after="0" w:lineRule="auto" w:line="360"/>
        <w:ind w:left="0" w:right="0"/>
        <w:jc w:val="center"/>
      </w:pPr>
      <w:r>
        <w:rPr>
          <w:sz w:val="48"/>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440101-2025-08718</w:t>
      </w:r>
    </w:p>
    <w:p>
      <w:pPr>
        <w:pStyle w:val="null3"/>
        <w:jc w:val="center"/>
        <w:outlineLvl w:val="3"/>
      </w:pPr>
      <w:r>
        <w:rPr>
          <w:sz w:val="24"/>
          <w:b/>
        </w:rPr>
        <w:t>采购项目编号：</w:t>
      </w:r>
      <w:r>
        <w:rPr>
          <w:sz w:val="24"/>
          <w:b/>
        </w:rPr>
        <w:t>0724-2531Z2892911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广州市第十二人民医院2025年度科研教学设备-斑马鱼实验研究平台采购项目</w:t>
      </w:r>
      <w:r>
        <w:rPr>
          <w:u w:val="single"/>
        </w:rPr>
        <w:t>”</w:t>
      </w:r>
      <w:r>
        <w:rPr/>
        <w:t>项目的招标[采购项目编号为：</w:t>
      </w:r>
      <w:r>
        <w:rPr>
          <w:u w:val="single"/>
        </w:rPr>
        <w:t>0724-2531Z2892911</w:t>
      </w:r>
      <w:r>
        <w:rPr/>
        <w:t>]，我方愿参与投标。</w:t>
      </w:r>
    </w:p>
    <w:p>
      <w:pPr>
        <w:pStyle w:val="null3"/>
        <w:ind w:firstLine="480"/>
      </w:pPr>
      <w:r>
        <w:rPr/>
        <w:t>我方确认收到贵方提供的</w:t>
      </w:r>
      <w:r>
        <w:rPr>
          <w:u w:val="single"/>
        </w:rPr>
        <w:t>“</w:t>
      </w:r>
      <w:r>
        <w:rPr>
          <w:u w:val="single"/>
        </w:rPr>
        <w:t>广州市第十二人民医院2025年度科研教学设备-斑马鱼实验研究平台采购项目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广州市第十二人民医院2025年度科研教学设备-斑马鱼实验研究平台采购项目</w:t>
      </w:r>
      <w:r>
        <w:rPr/>
        <w:t>”项目采购[采购项目编号为</w:t>
      </w:r>
      <w:r>
        <w:rPr/>
        <w:t>0724-2531Z2892911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广州市第十二人民医院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广州市第十二人民医院2025年度科研教学设备-斑马鱼实验研究平台采购项目</w:t>
      </w:r>
      <w:r>
        <w:rPr/>
        <w:t>招标中获中标（采购项目编号：</w:t>
      </w:r>
      <w:r>
        <w:rPr/>
        <w:t>0724-2531Z2892911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