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sz w:val="28"/>
          <w:szCs w:val="18"/>
          <w:lang w:eastAsia="zh-CN"/>
        </w:rPr>
      </w:pPr>
      <w:r>
        <w:rPr>
          <w:rFonts w:hint="eastAsia" w:ascii="宋体" w:hAnsi="宋体"/>
          <w:sz w:val="24"/>
          <w:szCs w:val="24"/>
        </w:rPr>
        <w:t>实质性响应一览表</w:t>
      </w:r>
      <w:r>
        <w:rPr>
          <w:rFonts w:hint="eastAsia" w:ascii="宋体" w:hAnsi="宋体"/>
          <w:sz w:val="24"/>
          <w:szCs w:val="24"/>
          <w:lang w:eastAsia="zh-CN"/>
        </w:rPr>
        <w:t>（</w:t>
      </w:r>
      <w:r>
        <w:rPr>
          <w:rFonts w:hint="eastAsia" w:ascii="宋体" w:hAnsi="宋体"/>
          <w:sz w:val="24"/>
          <w:szCs w:val="24"/>
          <w:lang w:val="en-US" w:eastAsia="zh-CN"/>
        </w:rPr>
        <w:t>按采购文件为准</w:t>
      </w:r>
      <w:r>
        <w:rPr>
          <w:rFonts w:hint="eastAsia" w:ascii="宋体" w:hAnsi="宋体"/>
          <w:sz w:val="24"/>
          <w:szCs w:val="24"/>
          <w:lang w:eastAsia="zh-CN"/>
        </w:rPr>
        <w:t>）</w:t>
      </w:r>
    </w:p>
    <w:tbl>
      <w:tblPr>
        <w:tblStyle w:val="1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6122"/>
        <w:gridCol w:w="1464"/>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序号</w:t>
            </w:r>
          </w:p>
        </w:tc>
        <w:tc>
          <w:tcPr>
            <w:tcW w:w="55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实质性响应条款</w:t>
            </w:r>
          </w:p>
        </w:tc>
        <w:tc>
          <w:tcPr>
            <w:tcW w:w="180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投标人响应情况</w:t>
            </w:r>
          </w:p>
        </w:tc>
        <w:tc>
          <w:tcPr>
            <w:tcW w:w="132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eastAsia"/>
                <w:b/>
              </w:rPr>
            </w:pPr>
            <w:r>
              <w:rPr>
                <w:rFonts w:hint="eastAsia"/>
                <w:b/>
                <w:lang w:eastAsia="zh-CN"/>
              </w:rPr>
              <w:t>项目总服务期限为1年，2025年9月1日至2026年8月31日。</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sz w:val="24"/>
                <w:szCs w:val="24"/>
                <w:lang w:val="en-US" w:eastAsia="zh-CN"/>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eastAsia"/>
                <w:b/>
              </w:rPr>
            </w:pPr>
            <w:r>
              <w:rPr>
                <w:rFonts w:hint="eastAsia"/>
                <w:b/>
              </w:rPr>
              <w:t>采购人（用户）所在地，地址为佛山市第三人民医院（佛山市精神卫生中心）指定地点。</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sz w:val="24"/>
                <w:szCs w:val="24"/>
                <w:lang w:val="en-US" w:eastAsia="zh-CN"/>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sz w:val="24"/>
                <w:szCs w:val="24"/>
              </w:rPr>
            </w:pPr>
            <w:r>
              <w:rPr>
                <w:rFonts w:hint="eastAsia" w:ascii="宋体" w:hAnsi="宋体" w:cs="宋体"/>
                <w:i w:val="0"/>
                <w:iCs w:val="0"/>
                <w:color w:val="000000"/>
                <w:kern w:val="0"/>
                <w:sz w:val="22"/>
                <w:szCs w:val="22"/>
                <w:u w:val="none"/>
                <w:lang w:val="en-US" w:eastAsia="zh-CN" w:bidi="ar"/>
              </w:rPr>
              <w:t>3</w:t>
            </w:r>
          </w:p>
        </w:tc>
        <w:tc>
          <w:tcPr>
            <w:tcW w:w="5500" w:type="dxa"/>
            <w:tcBorders>
              <w:top w:val="single" w:color="auto" w:sz="4" w:space="0"/>
              <w:left w:val="single" w:color="auto" w:sz="4" w:space="0"/>
              <w:bottom w:val="single" w:color="auto" w:sz="4" w:space="0"/>
              <w:right w:val="single" w:color="auto" w:sz="4" w:space="0"/>
            </w:tcBorders>
            <w:vAlign w:val="top"/>
          </w:tcPr>
          <w:p>
            <w:pPr>
              <w:rPr>
                <w:rFonts w:hint="eastAsia" w:asciiTheme="minorHAnsi" w:hAnsiTheme="minorHAnsi" w:eastAsiaTheme="minorEastAsia" w:cstheme="minorBidi"/>
                <w:b/>
                <w:kern w:val="0"/>
                <w:sz w:val="20"/>
                <w:szCs w:val="20"/>
                <w:lang w:val="en-US" w:eastAsia="zh-CN"/>
              </w:rPr>
            </w:pPr>
            <w:r>
              <w:rPr>
                <w:rFonts w:hint="eastAsia" w:asciiTheme="minorHAnsi" w:hAnsiTheme="minorHAnsi" w:eastAsiaTheme="minorEastAsia" w:cstheme="minorBidi"/>
                <w:b/>
                <w:kern w:val="0"/>
                <w:sz w:val="20"/>
                <w:szCs w:val="20"/>
                <w:lang w:val="en-US" w:eastAsia="zh-Hans"/>
              </w:rPr>
              <w:t>1期</w:t>
            </w:r>
            <w:r>
              <w:rPr>
                <w:rFonts w:hint="eastAsia" w:asciiTheme="minorHAnsi" w:hAnsiTheme="minorHAnsi" w:eastAsiaTheme="minorEastAsia" w:cstheme="minorBidi"/>
                <w:b/>
                <w:kern w:val="0"/>
                <w:sz w:val="20"/>
                <w:szCs w:val="20"/>
                <w:lang w:val="en-US" w:eastAsia="zh-CN"/>
              </w:rPr>
              <w:t>（预付款）</w:t>
            </w:r>
            <w:r>
              <w:rPr>
                <w:rFonts w:hint="eastAsia" w:asciiTheme="minorHAnsi" w:hAnsiTheme="minorHAnsi" w:eastAsiaTheme="minorEastAsia" w:cstheme="minorBidi"/>
                <w:b/>
                <w:kern w:val="0"/>
                <w:sz w:val="20"/>
                <w:szCs w:val="20"/>
                <w:lang w:val="en-US" w:eastAsia="zh-Hans"/>
              </w:rPr>
              <w:t xml:space="preserve">：支付比例 </w:t>
            </w:r>
            <w:r>
              <w:rPr>
                <w:rFonts w:hint="eastAsia" w:asciiTheme="minorHAnsi" w:hAnsiTheme="minorHAnsi" w:eastAsiaTheme="minorEastAsia" w:cstheme="minorBidi"/>
                <w:b/>
                <w:kern w:val="0"/>
                <w:sz w:val="20"/>
                <w:szCs w:val="20"/>
                <w:lang w:val="en-US" w:eastAsia="zh-CN"/>
              </w:rPr>
              <w:t>30</w:t>
            </w:r>
            <w:r>
              <w:rPr>
                <w:rFonts w:hint="eastAsia" w:asciiTheme="minorHAnsi" w:hAnsiTheme="minorHAnsi" w:eastAsiaTheme="minorEastAsia" w:cstheme="minorBidi"/>
                <w:b/>
                <w:kern w:val="0"/>
                <w:sz w:val="20"/>
                <w:szCs w:val="20"/>
                <w:lang w:val="en-US" w:eastAsia="zh-Hans"/>
              </w:rPr>
              <w:t>%，</w:t>
            </w:r>
            <w:r>
              <w:rPr>
                <w:rFonts w:hint="eastAsia" w:asciiTheme="minorHAnsi" w:hAnsiTheme="minorHAnsi" w:eastAsiaTheme="minorEastAsia" w:cstheme="minorBidi"/>
                <w:b/>
                <w:kern w:val="0"/>
                <w:sz w:val="20"/>
                <w:szCs w:val="20"/>
                <w:lang w:val="en-US" w:eastAsia="zh-CN"/>
              </w:rPr>
              <w:t>1.</w:t>
            </w:r>
            <w:r>
              <w:rPr>
                <w:rFonts w:hint="eastAsia" w:asciiTheme="minorHAnsi" w:hAnsiTheme="minorHAnsi" w:eastAsiaTheme="minorEastAsia" w:cstheme="minorBidi"/>
                <w:b/>
                <w:kern w:val="0"/>
                <w:sz w:val="20"/>
                <w:szCs w:val="20"/>
                <w:lang w:val="en-US" w:eastAsia="zh-Hans"/>
              </w:rPr>
              <w:t>合同签订生效之日起5个工作日内，采购人向</w:t>
            </w:r>
            <w:r>
              <w:rPr>
                <w:rFonts w:hint="eastAsia" w:asciiTheme="minorHAnsi" w:hAnsiTheme="minorHAnsi" w:eastAsiaTheme="minorEastAsia" w:cstheme="minorBidi"/>
                <w:b/>
                <w:kern w:val="0"/>
                <w:sz w:val="20"/>
                <w:szCs w:val="20"/>
                <w:lang w:val="en-US" w:eastAsia="zh-CN"/>
              </w:rPr>
              <w:t>中标供应商</w:t>
            </w:r>
            <w:r>
              <w:rPr>
                <w:rFonts w:hint="eastAsia" w:asciiTheme="minorHAnsi" w:hAnsiTheme="minorHAnsi" w:eastAsiaTheme="minorEastAsia" w:cstheme="minorBidi"/>
                <w:b/>
                <w:kern w:val="0"/>
                <w:sz w:val="20"/>
                <w:szCs w:val="20"/>
                <w:lang w:val="en-US" w:eastAsia="zh-Hans"/>
              </w:rPr>
              <w:t>支付合同总额的30%作为项目预付款； 预付款从首月服务款中开始抵扣；若首月服务款不足以抵扣全部预付款，剩余未抵扣部分自动转入次月服务款中继续抵扣，直至预付款全额抵扣完毕</w:t>
            </w:r>
            <w:r>
              <w:rPr>
                <w:rFonts w:hint="eastAsia" w:asciiTheme="minorHAnsi" w:hAnsiTheme="minorHAnsi" w:eastAsiaTheme="minorEastAsia" w:cstheme="minorBidi"/>
                <w:b/>
                <w:kern w:val="0"/>
                <w:sz w:val="20"/>
                <w:szCs w:val="20"/>
                <w:lang w:val="en-US" w:eastAsia="zh-CN"/>
              </w:rPr>
              <w:t>。</w:t>
            </w:r>
          </w:p>
          <w:p>
            <w:pPr>
              <w:rPr>
                <w:rFonts w:hint="eastAsia" w:asciiTheme="minorHAnsi" w:hAnsiTheme="minorHAnsi" w:eastAsiaTheme="minorEastAsia" w:cstheme="minorBidi"/>
                <w:b/>
                <w:kern w:val="0"/>
                <w:sz w:val="20"/>
                <w:szCs w:val="20"/>
                <w:lang w:val="en-US" w:eastAsia="zh-Hans"/>
              </w:rPr>
            </w:pPr>
            <w:r>
              <w:rPr>
                <w:rFonts w:hint="eastAsia" w:asciiTheme="minorHAnsi" w:hAnsiTheme="minorHAnsi" w:eastAsiaTheme="minorEastAsia" w:cstheme="minorBidi"/>
                <w:b/>
                <w:kern w:val="0"/>
                <w:sz w:val="20"/>
                <w:szCs w:val="20"/>
                <w:lang w:val="en-US" w:eastAsia="zh-CN"/>
              </w:rPr>
              <w:t>2</w:t>
            </w:r>
            <w:r>
              <w:rPr>
                <w:rFonts w:hint="eastAsia" w:asciiTheme="minorHAnsi" w:hAnsiTheme="minorHAnsi" w:eastAsiaTheme="minorEastAsia" w:cstheme="minorBidi"/>
                <w:b/>
                <w:kern w:val="0"/>
                <w:sz w:val="20"/>
                <w:szCs w:val="20"/>
                <w:lang w:val="en-US" w:eastAsia="zh-Hans"/>
              </w:rPr>
              <w:t>期</w:t>
            </w:r>
            <w:r>
              <w:rPr>
                <w:rFonts w:hint="eastAsia" w:asciiTheme="minorHAnsi" w:hAnsiTheme="minorHAnsi" w:eastAsiaTheme="minorEastAsia" w:cstheme="minorBidi"/>
                <w:b/>
                <w:kern w:val="0"/>
                <w:sz w:val="20"/>
                <w:szCs w:val="20"/>
                <w:lang w:val="en-US" w:eastAsia="zh-CN"/>
              </w:rPr>
              <w:t>（服务款）</w:t>
            </w:r>
            <w:r>
              <w:rPr>
                <w:rFonts w:hint="eastAsia" w:asciiTheme="minorHAnsi" w:hAnsiTheme="minorHAnsi" w:eastAsiaTheme="minorEastAsia" w:cstheme="minorBidi"/>
                <w:b/>
                <w:kern w:val="0"/>
                <w:sz w:val="20"/>
                <w:szCs w:val="20"/>
                <w:lang w:val="en-US" w:eastAsia="zh-Hans"/>
              </w:rPr>
              <w:t>：</w:t>
            </w:r>
            <w:r>
              <w:rPr>
                <w:rFonts w:hint="eastAsia" w:asciiTheme="minorHAnsi" w:hAnsiTheme="minorHAnsi" w:eastAsiaTheme="minorEastAsia" w:cstheme="minorBidi"/>
                <w:b/>
                <w:kern w:val="0"/>
                <w:sz w:val="20"/>
                <w:szCs w:val="20"/>
                <w:lang w:val="en-US" w:eastAsia="zh-CN"/>
              </w:rPr>
              <w:t>中标供应商</w:t>
            </w:r>
            <w:r>
              <w:rPr>
                <w:rFonts w:hint="eastAsia" w:asciiTheme="minorHAnsi" w:hAnsiTheme="minorHAnsi" w:eastAsiaTheme="minorEastAsia" w:cstheme="minorBidi"/>
                <w:b/>
                <w:kern w:val="0"/>
                <w:sz w:val="20"/>
                <w:szCs w:val="20"/>
                <w:lang w:val="en-US" w:eastAsia="zh-Hans"/>
              </w:rPr>
              <w:t>应于</w:t>
            </w:r>
            <w:bookmarkStart w:id="0" w:name="_GoBack"/>
            <w:bookmarkEnd w:id="0"/>
            <w:r>
              <w:rPr>
                <w:rFonts w:hint="eastAsia" w:asciiTheme="minorHAnsi" w:hAnsiTheme="minorHAnsi" w:eastAsiaTheme="minorEastAsia" w:cstheme="minorBidi"/>
                <w:b/>
                <w:kern w:val="0"/>
                <w:sz w:val="20"/>
                <w:szCs w:val="20"/>
                <w:lang w:val="en-US" w:eastAsia="zh-Hans"/>
              </w:rPr>
              <w:t>每月10日</w:t>
            </w:r>
            <w:r>
              <w:rPr>
                <w:rFonts w:hint="eastAsia" w:asciiTheme="minorHAnsi" w:hAnsiTheme="minorHAnsi" w:eastAsiaTheme="minorEastAsia" w:cstheme="minorBidi"/>
                <w:b/>
                <w:kern w:val="0"/>
                <w:sz w:val="20"/>
                <w:szCs w:val="20"/>
                <w:lang w:val="en-US" w:eastAsia="zh-CN"/>
              </w:rPr>
              <w:t>（</w:t>
            </w:r>
            <w:r>
              <w:rPr>
                <w:rFonts w:hint="eastAsia" w:asciiTheme="minorHAnsi" w:hAnsiTheme="minorHAnsi" w:eastAsiaTheme="minorEastAsia" w:cstheme="minorBidi"/>
                <w:b/>
                <w:kern w:val="0"/>
                <w:sz w:val="20"/>
                <w:szCs w:val="20"/>
                <w:lang w:val="en-US" w:eastAsia="zh-Hans"/>
              </w:rPr>
              <w:t>节假日顺延</w:t>
            </w:r>
            <w:r>
              <w:rPr>
                <w:rFonts w:hint="eastAsia" w:asciiTheme="minorHAnsi" w:hAnsiTheme="minorHAnsi" w:eastAsiaTheme="minorEastAsia" w:cstheme="minorBidi"/>
                <w:b/>
                <w:kern w:val="0"/>
                <w:sz w:val="20"/>
                <w:szCs w:val="20"/>
                <w:lang w:val="en-US" w:eastAsia="zh-CN"/>
              </w:rPr>
              <w:t>）</w:t>
            </w:r>
            <w:r>
              <w:rPr>
                <w:rFonts w:hint="eastAsia" w:asciiTheme="minorHAnsi" w:hAnsiTheme="minorHAnsi" w:eastAsiaTheme="minorEastAsia" w:cstheme="minorBidi"/>
                <w:b/>
                <w:kern w:val="0"/>
                <w:sz w:val="20"/>
                <w:szCs w:val="20"/>
                <w:lang w:val="en-US" w:eastAsia="zh-Hans"/>
              </w:rPr>
              <w:t>前向</w:t>
            </w:r>
            <w:r>
              <w:rPr>
                <w:rFonts w:hint="eastAsia" w:asciiTheme="minorHAnsi" w:hAnsiTheme="minorHAnsi" w:eastAsiaTheme="minorEastAsia" w:cstheme="minorBidi"/>
                <w:b/>
                <w:kern w:val="0"/>
                <w:sz w:val="20"/>
                <w:szCs w:val="20"/>
                <w:lang w:val="en-US" w:eastAsia="zh-CN"/>
              </w:rPr>
              <w:t>采购人</w:t>
            </w:r>
            <w:r>
              <w:rPr>
                <w:rFonts w:hint="eastAsia" w:asciiTheme="minorHAnsi" w:hAnsiTheme="minorHAnsi" w:eastAsiaTheme="minorEastAsia" w:cstheme="minorBidi"/>
                <w:b/>
                <w:kern w:val="0"/>
                <w:sz w:val="20"/>
                <w:szCs w:val="20"/>
                <w:lang w:val="en-US" w:eastAsia="zh-Hans"/>
              </w:rPr>
              <w:t>列出上月实际的服务人数、管理服务费用清单、月度服务质量考评表，由</w:t>
            </w:r>
            <w:r>
              <w:rPr>
                <w:rFonts w:hint="eastAsia" w:asciiTheme="minorHAnsi" w:hAnsiTheme="minorHAnsi" w:eastAsiaTheme="minorEastAsia" w:cstheme="minorBidi"/>
                <w:b/>
                <w:kern w:val="0"/>
                <w:sz w:val="20"/>
                <w:szCs w:val="20"/>
                <w:lang w:val="en-US" w:eastAsia="zh-CN"/>
              </w:rPr>
              <w:t>采购人</w:t>
            </w:r>
            <w:r>
              <w:rPr>
                <w:rFonts w:hint="eastAsia" w:asciiTheme="minorHAnsi" w:hAnsiTheme="minorHAnsi" w:eastAsiaTheme="minorEastAsia" w:cstheme="minorBidi"/>
                <w:b/>
                <w:kern w:val="0"/>
                <w:sz w:val="20"/>
                <w:szCs w:val="20"/>
                <w:lang w:val="en-US" w:eastAsia="zh-Hans"/>
              </w:rPr>
              <w:t>审定</w:t>
            </w:r>
            <w:r>
              <w:rPr>
                <w:rFonts w:hint="eastAsia" w:asciiTheme="minorHAnsi" w:hAnsiTheme="minorHAnsi" w:eastAsiaTheme="minorEastAsia" w:cstheme="minorBidi"/>
                <w:b/>
                <w:kern w:val="0"/>
                <w:sz w:val="20"/>
                <w:szCs w:val="20"/>
                <w:lang w:val="en-US" w:eastAsia="zh-CN"/>
              </w:rPr>
              <w:t>（</w:t>
            </w:r>
            <w:r>
              <w:rPr>
                <w:rFonts w:hint="eastAsia" w:asciiTheme="minorHAnsi" w:hAnsiTheme="minorHAnsi" w:eastAsiaTheme="minorEastAsia" w:cstheme="minorBidi"/>
                <w:b/>
                <w:kern w:val="0"/>
                <w:sz w:val="20"/>
                <w:szCs w:val="20"/>
                <w:lang w:val="en-US" w:eastAsia="zh-Hans"/>
              </w:rPr>
              <w:t>扣罚</w:t>
            </w:r>
            <w:r>
              <w:rPr>
                <w:rFonts w:hint="eastAsia" w:asciiTheme="minorHAnsi" w:hAnsiTheme="minorHAnsi" w:eastAsiaTheme="minorEastAsia" w:cstheme="minorBidi"/>
                <w:b/>
                <w:kern w:val="0"/>
                <w:sz w:val="20"/>
                <w:szCs w:val="20"/>
                <w:lang w:val="en-US" w:eastAsia="zh-CN"/>
              </w:rPr>
              <w:t>）</w:t>
            </w:r>
            <w:r>
              <w:rPr>
                <w:rFonts w:hint="eastAsia" w:asciiTheme="minorHAnsi" w:hAnsiTheme="minorHAnsi" w:eastAsiaTheme="minorEastAsia" w:cstheme="minorBidi"/>
                <w:b/>
                <w:kern w:val="0"/>
                <w:sz w:val="20"/>
                <w:szCs w:val="20"/>
                <w:lang w:val="en-US" w:eastAsia="zh-Hans"/>
              </w:rPr>
              <w:t>，</w:t>
            </w:r>
            <w:r>
              <w:rPr>
                <w:rFonts w:hint="eastAsia" w:asciiTheme="minorHAnsi" w:hAnsiTheme="minorHAnsi" w:eastAsiaTheme="minorEastAsia" w:cstheme="minorBidi"/>
                <w:b/>
                <w:kern w:val="0"/>
                <w:sz w:val="20"/>
                <w:szCs w:val="20"/>
                <w:lang w:val="en-US" w:eastAsia="zh-CN"/>
              </w:rPr>
              <w:t>中标供应商</w:t>
            </w:r>
            <w:r>
              <w:rPr>
                <w:rFonts w:hint="eastAsia" w:asciiTheme="minorHAnsi" w:hAnsiTheme="minorHAnsi" w:eastAsiaTheme="minorEastAsia" w:cstheme="minorBidi"/>
                <w:b/>
                <w:kern w:val="0"/>
                <w:sz w:val="20"/>
                <w:szCs w:val="20"/>
                <w:lang w:val="en-US" w:eastAsia="zh-Hans"/>
              </w:rPr>
              <w:t>根据</w:t>
            </w:r>
            <w:r>
              <w:rPr>
                <w:rFonts w:hint="eastAsia" w:asciiTheme="minorHAnsi" w:hAnsiTheme="minorHAnsi" w:eastAsiaTheme="minorEastAsia" w:cstheme="minorBidi"/>
                <w:b/>
                <w:kern w:val="0"/>
                <w:sz w:val="20"/>
                <w:szCs w:val="20"/>
                <w:lang w:val="en-US" w:eastAsia="zh-CN"/>
              </w:rPr>
              <w:t>采购人</w:t>
            </w:r>
            <w:r>
              <w:rPr>
                <w:rFonts w:hint="eastAsia" w:asciiTheme="minorHAnsi" w:hAnsiTheme="minorHAnsi" w:eastAsiaTheme="minorEastAsia" w:cstheme="minorBidi"/>
                <w:b/>
                <w:kern w:val="0"/>
                <w:sz w:val="20"/>
                <w:szCs w:val="20"/>
                <w:lang w:val="en-US" w:eastAsia="zh-Hans"/>
              </w:rPr>
              <w:t>审定结果</w:t>
            </w:r>
            <w:r>
              <w:rPr>
                <w:rFonts w:hint="eastAsia" w:asciiTheme="minorHAnsi" w:hAnsiTheme="minorHAnsi" w:eastAsiaTheme="minorEastAsia" w:cstheme="minorBidi"/>
                <w:b/>
                <w:kern w:val="0"/>
                <w:sz w:val="20"/>
                <w:szCs w:val="20"/>
                <w:lang w:val="en-US" w:eastAsia="zh-CN"/>
              </w:rPr>
              <w:t>及结合预付款</w:t>
            </w:r>
            <w:r>
              <w:rPr>
                <w:rFonts w:hint="eastAsia" w:asciiTheme="minorHAnsi" w:hAnsiTheme="minorHAnsi" w:eastAsiaTheme="minorEastAsia" w:cstheme="minorBidi"/>
                <w:b/>
                <w:kern w:val="0"/>
                <w:sz w:val="20"/>
                <w:szCs w:val="20"/>
                <w:lang w:val="en-US" w:eastAsia="zh-Hans"/>
              </w:rPr>
              <w:t>支付上月费用</w:t>
            </w:r>
            <w:r>
              <w:rPr>
                <w:rFonts w:hint="eastAsia" w:asciiTheme="minorHAnsi" w:hAnsiTheme="minorHAnsi" w:eastAsiaTheme="minorEastAsia" w:cstheme="minorBidi"/>
                <w:b/>
                <w:kern w:val="0"/>
                <w:sz w:val="20"/>
                <w:szCs w:val="20"/>
                <w:lang w:val="en-US" w:eastAsia="zh-CN"/>
              </w:rPr>
              <w:t>。中标供应商</w:t>
            </w:r>
            <w:r>
              <w:rPr>
                <w:rFonts w:hint="eastAsia" w:asciiTheme="minorHAnsi" w:hAnsiTheme="minorHAnsi" w:eastAsiaTheme="minorEastAsia" w:cstheme="minorBidi"/>
                <w:b/>
                <w:kern w:val="0"/>
                <w:sz w:val="20"/>
                <w:szCs w:val="20"/>
                <w:lang w:val="en-US" w:eastAsia="zh-Hans"/>
              </w:rPr>
              <w:t>开具</w:t>
            </w:r>
            <w:r>
              <w:rPr>
                <w:rFonts w:hint="eastAsia" w:asciiTheme="minorHAnsi" w:hAnsiTheme="minorHAnsi" w:eastAsiaTheme="minorEastAsia" w:cstheme="minorBidi"/>
                <w:b/>
                <w:kern w:val="0"/>
                <w:sz w:val="20"/>
                <w:szCs w:val="20"/>
                <w:lang w:val="en-US" w:eastAsia="zh-CN"/>
              </w:rPr>
              <w:t>等额</w:t>
            </w:r>
            <w:r>
              <w:rPr>
                <w:rFonts w:hint="eastAsia" w:asciiTheme="minorHAnsi" w:hAnsiTheme="minorHAnsi" w:eastAsiaTheme="minorEastAsia" w:cstheme="minorBidi"/>
                <w:b/>
                <w:kern w:val="0"/>
                <w:sz w:val="20"/>
                <w:szCs w:val="20"/>
                <w:lang w:val="en-US" w:eastAsia="zh-Hans"/>
              </w:rPr>
              <w:t>增值税发票</w:t>
            </w:r>
            <w:r>
              <w:rPr>
                <w:rFonts w:hint="eastAsia" w:asciiTheme="minorHAnsi" w:hAnsiTheme="minorHAnsi" w:eastAsiaTheme="minorEastAsia" w:cstheme="minorBidi"/>
                <w:b/>
                <w:kern w:val="0"/>
                <w:sz w:val="20"/>
                <w:szCs w:val="20"/>
                <w:lang w:val="en-US" w:eastAsia="zh-CN"/>
              </w:rPr>
              <w:t>后</w:t>
            </w:r>
            <w:r>
              <w:rPr>
                <w:rFonts w:hint="eastAsia" w:asciiTheme="minorHAnsi" w:hAnsiTheme="minorHAnsi" w:eastAsiaTheme="minorEastAsia" w:cstheme="minorBidi"/>
                <w:b/>
                <w:kern w:val="0"/>
                <w:sz w:val="20"/>
                <w:szCs w:val="20"/>
                <w:lang w:val="en-US" w:eastAsia="zh-Hans"/>
              </w:rPr>
              <w:t>，</w:t>
            </w:r>
            <w:r>
              <w:rPr>
                <w:rFonts w:hint="eastAsia" w:asciiTheme="minorHAnsi" w:hAnsiTheme="minorHAnsi" w:eastAsiaTheme="minorEastAsia" w:cstheme="minorBidi"/>
                <w:b/>
                <w:kern w:val="0"/>
                <w:sz w:val="20"/>
                <w:szCs w:val="20"/>
                <w:lang w:val="en-US" w:eastAsia="zh-CN"/>
              </w:rPr>
              <w:t>采购人</w:t>
            </w:r>
            <w:r>
              <w:rPr>
                <w:rFonts w:hint="eastAsia" w:asciiTheme="minorHAnsi" w:hAnsiTheme="minorHAnsi" w:eastAsiaTheme="minorEastAsia" w:cstheme="minorBidi"/>
                <w:b/>
                <w:kern w:val="0"/>
                <w:sz w:val="20"/>
                <w:szCs w:val="20"/>
                <w:lang w:val="en-US" w:eastAsia="zh-Hans"/>
              </w:rPr>
              <w:t xml:space="preserve">在收到发票之日起 </w:t>
            </w:r>
            <w:r>
              <w:rPr>
                <w:rFonts w:hint="eastAsia" w:asciiTheme="minorHAnsi" w:hAnsiTheme="minorHAnsi" w:eastAsiaTheme="minorEastAsia" w:cstheme="minorBidi"/>
                <w:b/>
                <w:kern w:val="0"/>
                <w:sz w:val="20"/>
                <w:szCs w:val="20"/>
                <w:lang w:val="en-US" w:eastAsia="zh-CN"/>
              </w:rPr>
              <w:t>10</w:t>
            </w:r>
            <w:r>
              <w:rPr>
                <w:rFonts w:hint="eastAsia" w:asciiTheme="minorHAnsi" w:hAnsiTheme="minorHAnsi" w:eastAsiaTheme="minorEastAsia" w:cstheme="minorBidi"/>
                <w:b/>
                <w:kern w:val="0"/>
                <w:sz w:val="20"/>
                <w:szCs w:val="20"/>
                <w:lang w:val="en-US" w:eastAsia="zh-Hans"/>
              </w:rPr>
              <w:t>个工作日内申请支付单位向</w:t>
            </w:r>
            <w:r>
              <w:rPr>
                <w:rFonts w:hint="eastAsia" w:asciiTheme="minorHAnsi" w:hAnsiTheme="minorHAnsi" w:eastAsiaTheme="minorEastAsia" w:cstheme="minorBidi"/>
                <w:b/>
                <w:kern w:val="0"/>
                <w:sz w:val="20"/>
                <w:szCs w:val="20"/>
                <w:lang w:val="en-US" w:eastAsia="zh-CN"/>
              </w:rPr>
              <w:t>中标供应商支付费用，</w:t>
            </w:r>
            <w:r>
              <w:rPr>
                <w:rFonts w:hint="eastAsia" w:asciiTheme="minorHAnsi" w:hAnsiTheme="minorHAnsi" w:eastAsiaTheme="minorEastAsia" w:cstheme="minorBidi"/>
                <w:b/>
                <w:kern w:val="0"/>
                <w:sz w:val="20"/>
                <w:szCs w:val="20"/>
                <w:lang w:val="en-US" w:eastAsia="zh-Hans"/>
              </w:rPr>
              <w:t>服务时间不足一月的，按日结算服务费。其他说明详见采购需求书《服务费支付款项及付款(结算)方式》如项目发生合同融资，</w:t>
            </w:r>
            <w:r>
              <w:rPr>
                <w:rFonts w:hint="eastAsia" w:asciiTheme="minorHAnsi" w:hAnsiTheme="minorHAnsi" w:eastAsiaTheme="minorEastAsia" w:cstheme="minorBidi"/>
                <w:b/>
                <w:kern w:val="0"/>
                <w:sz w:val="20"/>
                <w:szCs w:val="20"/>
                <w:lang w:val="en-US" w:eastAsia="zh-CN"/>
              </w:rPr>
              <w:t>采购人</w:t>
            </w:r>
            <w:r>
              <w:rPr>
                <w:rFonts w:hint="eastAsia" w:asciiTheme="minorHAnsi" w:hAnsiTheme="minorHAnsi" w:eastAsiaTheme="minorEastAsia" w:cstheme="minorBidi"/>
                <w:b/>
                <w:kern w:val="0"/>
                <w:sz w:val="20"/>
                <w:szCs w:val="20"/>
                <w:lang w:val="en-US" w:eastAsia="zh-Hans"/>
              </w:rPr>
              <w:t>应当将合同款项支付到合同约定收款账户。</w:t>
            </w:r>
          </w:p>
          <w:p>
            <w:pPr>
              <w:rPr>
                <w:rFonts w:hint="eastAsia" w:asciiTheme="minorHAnsi" w:hAnsiTheme="minorHAnsi" w:eastAsiaTheme="minorEastAsia" w:cstheme="minorBidi"/>
                <w:b/>
                <w:kern w:val="0"/>
                <w:sz w:val="20"/>
                <w:szCs w:val="20"/>
                <w:lang w:val="en-US" w:eastAsia="zh-Hans"/>
              </w:rPr>
            </w:pPr>
            <w:r>
              <w:rPr>
                <w:rFonts w:hint="eastAsia" w:asciiTheme="minorHAnsi" w:hAnsiTheme="minorHAnsi" w:eastAsiaTheme="minorEastAsia" w:cstheme="minorBidi"/>
                <w:b/>
                <w:kern w:val="0"/>
                <w:sz w:val="20"/>
                <w:szCs w:val="20"/>
                <w:lang w:val="en-US" w:eastAsia="zh-Hans"/>
              </w:rPr>
              <w:t>2.</w:t>
            </w:r>
            <w:r>
              <w:rPr>
                <w:rFonts w:hint="eastAsia" w:asciiTheme="minorHAnsi" w:hAnsiTheme="minorHAnsi" w:eastAsiaTheme="minorEastAsia" w:cstheme="minorBidi"/>
                <w:b/>
                <w:kern w:val="0"/>
                <w:sz w:val="20"/>
                <w:szCs w:val="20"/>
                <w:lang w:val="en-US" w:eastAsia="zh-CN"/>
              </w:rPr>
              <w:t>中标供应商</w:t>
            </w:r>
            <w:r>
              <w:rPr>
                <w:rFonts w:hint="eastAsia" w:asciiTheme="minorHAnsi" w:hAnsiTheme="minorHAnsi" w:eastAsiaTheme="minorEastAsia" w:cstheme="minorBidi"/>
                <w:b/>
                <w:kern w:val="0"/>
                <w:sz w:val="20"/>
                <w:szCs w:val="20"/>
                <w:lang w:val="en-US" w:eastAsia="zh-Hans"/>
              </w:rPr>
              <w:t>须向</w:t>
            </w:r>
            <w:r>
              <w:rPr>
                <w:rFonts w:hint="eastAsia" w:asciiTheme="minorHAnsi" w:hAnsiTheme="minorHAnsi" w:eastAsiaTheme="minorEastAsia" w:cstheme="minorBidi"/>
                <w:b/>
                <w:kern w:val="0"/>
                <w:sz w:val="20"/>
                <w:szCs w:val="20"/>
                <w:lang w:val="en-US" w:eastAsia="zh-CN"/>
              </w:rPr>
              <w:t>采购人</w:t>
            </w:r>
            <w:r>
              <w:rPr>
                <w:rFonts w:hint="eastAsia" w:asciiTheme="minorHAnsi" w:hAnsiTheme="minorHAnsi" w:eastAsiaTheme="minorEastAsia" w:cstheme="minorBidi"/>
                <w:b/>
                <w:kern w:val="0"/>
                <w:sz w:val="20"/>
                <w:szCs w:val="20"/>
                <w:lang w:val="en-US" w:eastAsia="zh-Hans"/>
              </w:rPr>
              <w:t>提供依法纳税的服务费发票。</w:t>
            </w:r>
          </w:p>
          <w:p>
            <w:pPr>
              <w:rPr>
                <w:rFonts w:hint="eastAsia" w:asciiTheme="minorHAnsi" w:hAnsiTheme="minorHAnsi" w:eastAsiaTheme="minorEastAsia" w:cstheme="minorBidi"/>
                <w:b/>
                <w:kern w:val="0"/>
                <w:sz w:val="20"/>
                <w:szCs w:val="20"/>
                <w:lang w:val="en-US" w:eastAsia="zh-Hans"/>
              </w:rPr>
            </w:pPr>
            <w:r>
              <w:rPr>
                <w:rFonts w:hint="eastAsia" w:asciiTheme="minorHAnsi" w:hAnsiTheme="minorHAnsi" w:eastAsiaTheme="minorEastAsia" w:cstheme="minorBidi"/>
                <w:b/>
                <w:kern w:val="0"/>
                <w:sz w:val="20"/>
                <w:szCs w:val="20"/>
                <w:lang w:val="en-US" w:eastAsia="zh-Hans"/>
              </w:rPr>
              <w:t>3.服务费以转账方式转入</w:t>
            </w:r>
            <w:r>
              <w:rPr>
                <w:rFonts w:hint="eastAsia" w:asciiTheme="minorHAnsi" w:hAnsiTheme="minorHAnsi" w:eastAsiaTheme="minorEastAsia" w:cstheme="minorBidi"/>
                <w:b/>
                <w:kern w:val="0"/>
                <w:sz w:val="20"/>
                <w:szCs w:val="20"/>
                <w:lang w:val="en-US" w:eastAsia="zh-CN"/>
              </w:rPr>
              <w:t>中标供应商</w:t>
            </w:r>
            <w:r>
              <w:rPr>
                <w:rFonts w:hint="eastAsia" w:asciiTheme="minorHAnsi" w:hAnsiTheme="minorHAnsi" w:eastAsiaTheme="minorEastAsia" w:cstheme="minorBidi"/>
                <w:b/>
                <w:kern w:val="0"/>
                <w:sz w:val="20"/>
                <w:szCs w:val="20"/>
                <w:lang w:val="en-US" w:eastAsia="zh-Hans"/>
              </w:rPr>
              <w:t>的银行账户</w:t>
            </w:r>
          </w:p>
          <w:p>
            <w:pPr>
              <w:rPr>
                <w:rFonts w:hint="eastAsia" w:asciiTheme="minorHAnsi" w:hAnsiTheme="minorHAnsi" w:eastAsiaTheme="minorEastAsia" w:cstheme="minorBidi"/>
                <w:b/>
                <w:kern w:val="0"/>
                <w:sz w:val="20"/>
                <w:szCs w:val="20"/>
                <w:lang w:val="en-US" w:eastAsia="zh-Hans"/>
              </w:rPr>
            </w:pPr>
            <w:r>
              <w:rPr>
                <w:rFonts w:hint="eastAsia" w:asciiTheme="minorHAnsi" w:hAnsiTheme="minorHAnsi" w:eastAsiaTheme="minorEastAsia" w:cstheme="minorBidi"/>
                <w:b/>
                <w:kern w:val="0"/>
                <w:sz w:val="20"/>
                <w:szCs w:val="20"/>
                <w:lang w:val="en-US" w:eastAsia="zh-Hans"/>
              </w:rPr>
              <w:t>4.收款方、出具发票方、合同乙方均必须与中标(成交)供应商名称一致。</w:t>
            </w:r>
          </w:p>
          <w:p>
            <w:pPr>
              <w:pStyle w:val="19"/>
              <w:jc w:val="left"/>
              <w:rPr>
                <w:rFonts w:hint="default"/>
                <w:b/>
                <w:sz w:val="21"/>
                <w:u w:val="single"/>
                <w:lang w:val="en-US" w:eastAsia="zh-CN"/>
              </w:rPr>
            </w:pPr>
            <w:r>
              <w:rPr>
                <w:rFonts w:hint="eastAsia" w:asciiTheme="minorHAnsi" w:hAnsiTheme="minorHAnsi" w:eastAsiaTheme="minorEastAsia" w:cstheme="minorBidi"/>
                <w:b/>
                <w:kern w:val="0"/>
                <w:sz w:val="20"/>
                <w:szCs w:val="20"/>
                <w:lang w:val="en-US" w:eastAsia="zh-Hans"/>
              </w:rPr>
              <w:t>5.合同款是财政局国库支付中心直接支付给</w:t>
            </w:r>
            <w:r>
              <w:rPr>
                <w:rFonts w:hint="eastAsia" w:asciiTheme="minorHAnsi" w:hAnsiTheme="minorHAnsi" w:eastAsiaTheme="minorEastAsia" w:cstheme="minorBidi"/>
                <w:b/>
                <w:kern w:val="0"/>
                <w:sz w:val="20"/>
                <w:szCs w:val="20"/>
                <w:lang w:val="en-US" w:eastAsia="zh-CN"/>
              </w:rPr>
              <w:t>中标供应商</w:t>
            </w:r>
            <w:r>
              <w:rPr>
                <w:rFonts w:hint="eastAsia" w:asciiTheme="minorHAnsi" w:hAnsiTheme="minorHAnsi" w:eastAsiaTheme="minorEastAsia" w:cstheme="minorBidi"/>
                <w:b/>
                <w:kern w:val="0"/>
                <w:sz w:val="20"/>
                <w:szCs w:val="20"/>
                <w:lang w:val="en-US" w:eastAsia="zh-Hans"/>
              </w:rPr>
              <w:t>的项目，“付款”是指甲方向主管部门发出申请付款文件，实际付款时间以支付中心实际拨付时间为准，</w:t>
            </w:r>
            <w:r>
              <w:rPr>
                <w:rFonts w:hint="eastAsia" w:asciiTheme="minorHAnsi" w:hAnsiTheme="minorHAnsi" w:eastAsiaTheme="minorEastAsia" w:cstheme="minorBidi"/>
                <w:b/>
                <w:kern w:val="0"/>
                <w:sz w:val="20"/>
                <w:szCs w:val="20"/>
                <w:lang w:val="en-US" w:eastAsia="zh-CN"/>
              </w:rPr>
              <w:t>中标供应商</w:t>
            </w:r>
            <w:r>
              <w:rPr>
                <w:rFonts w:hint="eastAsia" w:asciiTheme="minorHAnsi" w:hAnsiTheme="minorHAnsi" w:eastAsiaTheme="minorEastAsia" w:cstheme="minorBidi"/>
                <w:b/>
                <w:kern w:val="0"/>
                <w:sz w:val="20"/>
                <w:szCs w:val="20"/>
                <w:lang w:val="en-US" w:eastAsia="zh-Hans"/>
              </w:rPr>
              <w:t>不得因此追究</w:t>
            </w:r>
            <w:r>
              <w:rPr>
                <w:rFonts w:hint="eastAsia" w:asciiTheme="minorHAnsi" w:hAnsiTheme="minorHAnsi" w:eastAsiaTheme="minorEastAsia" w:cstheme="minorBidi"/>
                <w:b/>
                <w:kern w:val="0"/>
                <w:sz w:val="20"/>
                <w:szCs w:val="20"/>
                <w:lang w:val="en-US" w:eastAsia="zh-CN"/>
              </w:rPr>
              <w:t>采购人</w:t>
            </w:r>
            <w:r>
              <w:rPr>
                <w:rFonts w:hint="eastAsia" w:asciiTheme="minorHAnsi" w:hAnsiTheme="minorHAnsi" w:eastAsiaTheme="minorEastAsia" w:cstheme="minorBidi"/>
                <w:b/>
                <w:kern w:val="0"/>
                <w:sz w:val="20"/>
                <w:szCs w:val="20"/>
                <w:lang w:val="en-US" w:eastAsia="zh-Hans"/>
              </w:rPr>
              <w:t>逾期付款的责任。</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sz w:val="24"/>
                <w:szCs w:val="24"/>
                <w:lang w:val="en-US" w:eastAsia="zh-CN"/>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eastAsia"/>
                <w:b/>
                <w:lang w:val="en-US" w:eastAsia="zh-CN"/>
              </w:rPr>
            </w:pPr>
            <w:r>
              <w:rPr>
                <w:rFonts w:hint="eastAsia"/>
                <w:b/>
                <w:lang w:val="en-US" w:eastAsia="zh-CN"/>
              </w:rPr>
              <w:t>1期：（一）验收的主体：陪护服务由护理部验收、遗体转运由后勤部验收。 （二）履约验收的时间安排：1.2025年9月1日至2026年8月31日期间每月对陪护服务进行月度评价一次，采用《陪护服务质量评分表》对中标供应商工作质量进行评价；2.每季度对陪护服务进行综合评价总结一次。（三）履约验收的程序：1.2025年8月25日至2025年9月5日新旧公司进行交接班验收。2.每月对陪护服务进行月度评价一次，采用《陪护服务质量评分表》对中标供应商工作质量进行评价，每季度对中标供应商进行履约验收一次，每次验收达到服务考核评价合格项目合约方可继续履行，以此类推至总服务期满终止。（四）履约验收的内容：1.服务人员配置；2.服务人员资质；3.服务质量；4.设备设施：陪护床、员工服装、劳务用品（手套、口罩），清洁消毒用品配置以及质量等。（五）履约验收的标准：每月对陪护服务进行月度评价一次，采用《陪护服务质量评分表》对中标供应商工作质量进行评价；按全院临床科室每月评分总分的平均分≥80分为合格，每下降1分扣当月总服务费的1%，以此类推，如连续三个月评分均低于80分，采购人给予提前给予解除合同；如果服务期内合计有4个月评分均低于80分的，扣罚中标供应商全额履约保证金并可提前给予解除合同。做到投诉处理率达100%，投诉回复率达100%。每季度对中标供应商进行履约验收一次，每次验收达到上述评价要求方可继续履行服务合同。</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p>
            <w:pPr>
              <w:pStyle w:val="19"/>
              <w:jc w:val="right"/>
              <w:rPr>
                <w:rFonts w:hint="default"/>
                <w:b/>
                <w:sz w:val="21"/>
                <w:u w:val="single"/>
                <w:lang w:val="en-US" w:eastAsia="zh-CN"/>
              </w:rPr>
            </w:pP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default"/>
                <w:b/>
                <w:lang w:val="en-US" w:eastAsia="zh-CN"/>
              </w:rPr>
            </w:pPr>
            <w:r>
              <w:rPr>
                <w:rFonts w:hint="default"/>
                <w:b/>
                <w:lang w:val="en-US" w:eastAsia="zh-CN"/>
              </w:rPr>
              <w:t>收取比例：3.46%,说明：</w:t>
            </w:r>
          </w:p>
          <w:p>
            <w:pPr>
              <w:pStyle w:val="19"/>
              <w:jc w:val="left"/>
              <w:rPr>
                <w:rFonts w:hint="default"/>
                <w:b/>
                <w:lang w:val="en-US" w:eastAsia="zh-CN"/>
              </w:rPr>
            </w:pPr>
            <w:r>
              <w:rPr>
                <w:rFonts w:hint="default"/>
                <w:b/>
                <w:lang w:val="en-US" w:eastAsia="zh-CN"/>
              </w:rPr>
              <w:t>1.履约保证金的缴纳形式：以采购人认可的银行保函或银行转账的形式提交。</w:t>
            </w:r>
          </w:p>
          <w:p>
            <w:pPr>
              <w:pStyle w:val="19"/>
              <w:jc w:val="left"/>
              <w:rPr>
                <w:rFonts w:hint="default"/>
                <w:b/>
                <w:lang w:val="en-US" w:eastAsia="zh-CN"/>
              </w:rPr>
            </w:pPr>
            <w:r>
              <w:rPr>
                <w:rFonts w:hint="default"/>
                <w:b/>
                <w:lang w:val="en-US" w:eastAsia="zh-CN"/>
              </w:rPr>
              <w:t>2.履约保证金的缴纳金额：人民币伍万元。</w:t>
            </w:r>
          </w:p>
          <w:p>
            <w:pPr>
              <w:pStyle w:val="19"/>
              <w:jc w:val="left"/>
              <w:rPr>
                <w:rFonts w:hint="default"/>
                <w:b/>
                <w:lang w:val="en-US" w:eastAsia="zh-CN"/>
              </w:rPr>
            </w:pPr>
            <w:r>
              <w:rPr>
                <w:rFonts w:hint="default"/>
                <w:b/>
                <w:lang w:val="en-US" w:eastAsia="zh-CN"/>
              </w:rPr>
              <w:t>3.履约保证金的缴纳时间：在合同签订之日起10个工作日内。</w:t>
            </w:r>
          </w:p>
          <w:p>
            <w:pPr>
              <w:pStyle w:val="19"/>
              <w:jc w:val="left"/>
              <w:rPr>
                <w:rFonts w:hint="default"/>
                <w:b/>
                <w:lang w:val="en-US" w:eastAsia="zh-CN"/>
              </w:rPr>
            </w:pPr>
            <w:r>
              <w:rPr>
                <w:rFonts w:hint="default"/>
                <w:b/>
                <w:lang w:val="en-US" w:eastAsia="zh-CN"/>
              </w:rPr>
              <w:t>4.履约保证金的退还方式、时间、条件：如中标供应商在合同期间内未出现任何违约行为的，履约保证金将在本项目合同期满之日起15个工作日内由采购人财务部门一次性退还中标供应商。</w:t>
            </w:r>
          </w:p>
          <w:p>
            <w:pPr>
              <w:pStyle w:val="19"/>
              <w:jc w:val="left"/>
              <w:rPr>
                <w:rFonts w:hint="default"/>
                <w:b/>
                <w:lang w:val="en-US" w:eastAsia="zh-CN"/>
              </w:rPr>
            </w:pPr>
            <w:r>
              <w:rPr>
                <w:rFonts w:hint="default"/>
                <w:b/>
                <w:lang w:val="en-US" w:eastAsia="zh-CN"/>
              </w:rPr>
              <w:t>5.出现以下情形，采购人有权单方面终止合同，扣罚全额履约保证金作为违约金，如违约金不足以弥补采购人损失的，中标供应商须承担由此造成的经济损失：</w:t>
            </w:r>
          </w:p>
          <w:p>
            <w:pPr>
              <w:pStyle w:val="19"/>
              <w:jc w:val="left"/>
              <w:rPr>
                <w:rFonts w:hint="default"/>
                <w:b/>
                <w:lang w:val="en-US" w:eastAsia="zh-CN"/>
              </w:rPr>
            </w:pPr>
            <w:r>
              <w:rPr>
                <w:rFonts w:hint="default"/>
                <w:b/>
                <w:lang w:val="en-US" w:eastAsia="zh-CN"/>
              </w:rPr>
              <w:t>（1）中标供应商转包或分包本项目的；</w:t>
            </w:r>
          </w:p>
          <w:p>
            <w:pPr>
              <w:pStyle w:val="19"/>
              <w:jc w:val="left"/>
              <w:rPr>
                <w:rFonts w:hint="default"/>
                <w:b/>
                <w:lang w:val="en-US" w:eastAsia="zh-CN"/>
              </w:rPr>
            </w:pPr>
            <w:r>
              <w:rPr>
                <w:rFonts w:hint="default"/>
                <w:b/>
                <w:lang w:val="en-US" w:eastAsia="zh-CN"/>
              </w:rPr>
              <w:t>（2）如中标供应商在合同期内未按本采购需求的要求按时提供服务累计达到3次的。</w:t>
            </w:r>
          </w:p>
          <w:p>
            <w:pPr>
              <w:pStyle w:val="19"/>
              <w:jc w:val="left"/>
              <w:rPr>
                <w:rFonts w:hint="default"/>
                <w:b/>
                <w:lang w:val="en-US" w:eastAsia="zh-CN"/>
              </w:rPr>
            </w:pPr>
            <w:r>
              <w:rPr>
                <w:rFonts w:hint="default"/>
                <w:b/>
                <w:lang w:val="en-US" w:eastAsia="zh-CN"/>
              </w:rPr>
              <w:t>履约保证金可以以履约保函（保险）形式提供，目前"广东政府采购智慧云平台金融服务中心(https://gdgpo.czt.gd.gov.cn/zcdservice/zcd/guangdong/)已实现电子履约保函（保险）在线办理功能，有意愿供应商可自行办理提供。</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b/>
                <w:sz w:val="21"/>
                <w:u w:val="singl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default"/>
                <w:b/>
                <w:lang w:val="en-US" w:eastAsia="zh-CN"/>
              </w:rPr>
            </w:pPr>
            <w:r>
              <w:rPr>
                <w:rFonts w:hint="default"/>
                <w:b/>
                <w:lang w:val="en-US" w:eastAsia="zh-CN"/>
              </w:rPr>
              <w:t>1.本项目采购预算为人民币1443300.00元；投标人采用人民币总价包干形式响应报价。 2.任何报价是以投标人可独立履行项目合同义务，满足约定的验收标准和符合自身合法利益的前提下所作出的综合性合理报价，对投标人在报价文件和合同书中未有明确列述、投标方案设计遗漏失误、应预见和不可预见的费用等均视为已完全考虑到并包括在投标总价之内。投标人报价文件中出现漏报或不报，采购人将视为该漏报或不报部分的费用已包括在已报的价格中而不予另行支付，投标人必须按评标委员会确定的投标价承担无偿补齐缺漏项的责任。投标人拒绝的，取消其中标资格。因投标人报价缺漏项引起的一切风险和后果均由投标人自行承担。投标人的总报价包括但不限于以下内容：</w:t>
            </w:r>
          </w:p>
          <w:p>
            <w:pPr>
              <w:pStyle w:val="19"/>
              <w:jc w:val="left"/>
              <w:rPr>
                <w:rFonts w:hint="default"/>
                <w:b/>
                <w:lang w:val="en-US" w:eastAsia="zh-CN"/>
              </w:rPr>
            </w:pPr>
            <w:r>
              <w:rPr>
                <w:rFonts w:hint="default"/>
                <w:b/>
                <w:lang w:val="en-US" w:eastAsia="zh-CN"/>
              </w:rPr>
              <w:t>（1）工资：正常工作时间工资、法定节假日加班费等。</w:t>
            </w:r>
          </w:p>
          <w:p>
            <w:pPr>
              <w:pStyle w:val="19"/>
              <w:jc w:val="left"/>
              <w:rPr>
                <w:rFonts w:hint="default"/>
                <w:b/>
                <w:lang w:val="en-US" w:eastAsia="zh-CN"/>
              </w:rPr>
            </w:pPr>
            <w:r>
              <w:rPr>
                <w:rFonts w:hint="default"/>
                <w:b/>
                <w:lang w:val="en-US" w:eastAsia="zh-CN"/>
              </w:rPr>
              <w:t>（2）福利待遇：奖金、各种津贴补贴、各项社会保险费（个人和单位部分）、商业保险费等。</w:t>
            </w:r>
          </w:p>
          <w:p>
            <w:pPr>
              <w:pStyle w:val="19"/>
              <w:jc w:val="left"/>
              <w:rPr>
                <w:rFonts w:hint="default"/>
                <w:b/>
                <w:lang w:val="en-US" w:eastAsia="zh-CN"/>
              </w:rPr>
            </w:pPr>
            <w:r>
              <w:rPr>
                <w:rFonts w:hint="default"/>
                <w:b/>
                <w:lang w:val="en-US" w:eastAsia="zh-CN"/>
              </w:rPr>
              <w:t>（3）管理成本及利润。</w:t>
            </w:r>
          </w:p>
          <w:p>
            <w:pPr>
              <w:pStyle w:val="19"/>
              <w:jc w:val="left"/>
              <w:rPr>
                <w:rFonts w:hint="default"/>
                <w:b/>
                <w:lang w:val="en-US" w:eastAsia="zh-CN"/>
              </w:rPr>
            </w:pPr>
            <w:r>
              <w:rPr>
                <w:rFonts w:hint="default"/>
                <w:b/>
                <w:lang w:val="en-US" w:eastAsia="zh-CN"/>
              </w:rPr>
              <w:t>（4）负责所属工作人员的服装费、培训费等。</w:t>
            </w:r>
          </w:p>
          <w:p>
            <w:pPr>
              <w:pStyle w:val="19"/>
              <w:jc w:val="left"/>
              <w:rPr>
                <w:rFonts w:hint="default"/>
                <w:b/>
                <w:lang w:val="en-US" w:eastAsia="zh-CN"/>
              </w:rPr>
            </w:pPr>
            <w:r>
              <w:rPr>
                <w:rFonts w:hint="default"/>
                <w:b/>
                <w:lang w:val="en-US" w:eastAsia="zh-CN"/>
              </w:rPr>
              <w:t>（5）各项应由中标供应商承担的税金。</w:t>
            </w:r>
          </w:p>
          <w:p>
            <w:pPr>
              <w:pStyle w:val="19"/>
              <w:jc w:val="left"/>
              <w:rPr>
                <w:rFonts w:hint="default"/>
                <w:b/>
                <w:lang w:val="en-US" w:eastAsia="zh-CN"/>
              </w:rPr>
            </w:pPr>
            <w:r>
              <w:rPr>
                <w:rFonts w:hint="default"/>
                <w:b/>
                <w:lang w:val="en-US" w:eastAsia="zh-CN"/>
              </w:rPr>
              <w:t>（6）在合同实施过程中各种不可预见的费用。</w:t>
            </w:r>
          </w:p>
          <w:p>
            <w:pPr>
              <w:pStyle w:val="19"/>
              <w:jc w:val="left"/>
              <w:rPr>
                <w:rFonts w:hint="default"/>
                <w:b/>
                <w:lang w:val="en-US" w:eastAsia="zh-CN"/>
              </w:rPr>
            </w:pPr>
            <w:r>
              <w:rPr>
                <w:rFonts w:hint="default"/>
                <w:b/>
                <w:lang w:val="en-US" w:eastAsia="zh-CN"/>
              </w:rPr>
              <w:t>3.本项目只允许投标人提供唯一的投标报价方案，对投标人提供含糊不清、不确定或可选的报价方案均作无效投标处理。</w:t>
            </w:r>
          </w:p>
          <w:p>
            <w:pPr>
              <w:pStyle w:val="19"/>
              <w:jc w:val="left"/>
              <w:rPr>
                <w:rFonts w:hint="default"/>
                <w:b/>
                <w:lang w:val="en-US" w:eastAsia="zh-CN"/>
              </w:rPr>
            </w:pPr>
            <w:r>
              <w:rPr>
                <w:rFonts w:hint="default"/>
                <w:b/>
                <w:lang w:val="en-US" w:eastAsia="zh-CN"/>
              </w:rPr>
              <w:t>4.对超出常规或报价“明显低于正常市场成本价”时，投标人须在投标报价文件中作出重点说明并提供相关详细证明材料（如参与本项目所有人员工资、货物成本、各种费用等）。如有需要评标委员会将要求投标人于评标现场详述其理由和依据再进行评审。评标委员会根据投标人提供的相关材料进行判断，并按照少数服从多数的原则，以书面形式确定投标人的报价是否存在明显不合理或者低于正常市场成本，且可能影响商品或服务质量不能诚信履约的现象。如经评标委员会认定投标人的报价存在明显不合理或低于正常市场成本且有可能影响服务质量和不能诚信履约，或投标人未按评标委员会要求详细提供企业成本分析说明，评标委员会将视该投标人的报价未实质上响应招标文件要求，对其作无效投标处理。</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b/>
                <w:sz w:val="21"/>
                <w:u w:val="singl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default"/>
                <w:b/>
                <w:lang w:val="en-US" w:eastAsia="zh-CN"/>
              </w:rPr>
            </w:pPr>
            <w:r>
              <w:rPr>
                <w:rFonts w:hint="default"/>
                <w:b/>
                <w:lang w:val="en-US" w:eastAsia="zh-CN"/>
              </w:rPr>
              <w:t>2.★投标人须根据本项目的实际情况，在投标文件中提供适合本项目的岗位设置及服务人员配置计划，内容包括但不限于：主要负责人简历、岗位配置及服务人员配置情况等。具体岗位设置由中标供应商与采购人协商确定。采购人可根据实际需要增减服务人员数量，其价格按中标供应商的中标单价×实际服务人员人数进行计算。</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b/>
                <w:sz w:val="21"/>
                <w:u w:val="singl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default"/>
                <w:b/>
                <w:lang w:val="en-US" w:eastAsia="zh-CN"/>
              </w:rPr>
            </w:pPr>
            <w:r>
              <w:rPr>
                <w:rFonts w:hint="eastAsia"/>
                <w:b/>
                <w:lang w:val="en-US" w:eastAsia="zh-CN"/>
              </w:rPr>
              <w:t>6.★重要提示：投标人必须充分考虑市场因素，合同期间，采购人仅对低于佛山市最低工资标准的费用进行调整（调整到佛山市最低工资标准），其他费用不作调整。</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eastAsia"/>
                <w:b/>
                <w:lang w:val="en-US" w:eastAsia="zh-CN"/>
              </w:rPr>
            </w:pPr>
            <w:r>
              <w:rPr>
                <w:rFonts w:hint="eastAsia"/>
                <w:b/>
                <w:lang w:val="en-US" w:eastAsia="zh-CN"/>
              </w:rPr>
              <w:t>8.★服务期内，中标供应商每月付给采购人资源占用费：</w:t>
            </w:r>
          </w:p>
          <w:p>
            <w:pPr>
              <w:pStyle w:val="19"/>
              <w:jc w:val="left"/>
              <w:rPr>
                <w:rFonts w:hint="eastAsia"/>
                <w:b/>
                <w:lang w:val="en-US" w:eastAsia="zh-CN"/>
              </w:rPr>
            </w:pPr>
            <w:r>
              <w:rPr>
                <w:rFonts w:hint="eastAsia"/>
                <w:b/>
                <w:lang w:val="en-US" w:eastAsia="zh-CN"/>
              </w:rPr>
              <w:t>（1）中标供应商按实际配置护工（医院付费部分护工除外）人数以8元/人/天</w:t>
            </w:r>
            <w:r>
              <w:rPr>
                <w:rFonts w:hint="eastAsia"/>
                <w:b/>
              </w:rPr>
              <w:t>的标准向采购人支付水、电、场地等资源占用费（医院付费部分护工除外）</w:t>
            </w:r>
            <w:r>
              <w:rPr>
                <w:rFonts w:hint="eastAsia"/>
                <w:b/>
                <w:lang w:val="en-US" w:eastAsia="zh-CN"/>
              </w:rPr>
              <w:t>，每月结算一次。</w:t>
            </w:r>
          </w:p>
          <w:p>
            <w:pPr>
              <w:pStyle w:val="19"/>
              <w:jc w:val="left"/>
              <w:rPr>
                <w:rFonts w:hint="eastAsia"/>
                <w:b/>
                <w:lang w:val="en-US" w:eastAsia="zh-CN"/>
              </w:rPr>
            </w:pPr>
            <w:r>
              <w:rPr>
                <w:rFonts w:hint="eastAsia"/>
                <w:b/>
                <w:lang w:val="en-US" w:eastAsia="zh-CN"/>
              </w:rPr>
              <w:t>（2）医院免费提供1号楼1楼综合服务中心柜位作为陪护服务咨询服务台。</w:t>
            </w:r>
          </w:p>
          <w:p>
            <w:pPr>
              <w:pStyle w:val="19"/>
              <w:jc w:val="left"/>
              <w:rPr>
                <w:rFonts w:hint="eastAsia"/>
                <w:b/>
                <w:lang w:val="en-US" w:eastAsia="zh-CN"/>
              </w:rPr>
            </w:pPr>
            <w:r>
              <w:rPr>
                <w:rFonts w:hint="eastAsia"/>
                <w:b/>
                <w:lang w:val="en-US" w:eastAsia="zh-CN"/>
              </w:rPr>
              <w:t>（3）中标供应商管理人员办公场所以及员工休息场所，采购人按实际情况提供，管理人员办公场所以及员工休息场所按实际办公人员以及或休息使用人员人数，以8元/人/天的资源占用费收取，水电费按实际使用计算。</w:t>
            </w:r>
          </w:p>
          <w:p>
            <w:pPr>
              <w:pStyle w:val="19"/>
              <w:jc w:val="left"/>
              <w:rPr>
                <w:rFonts w:hint="eastAsia"/>
                <w:b/>
                <w:lang w:val="en-US" w:eastAsia="zh-CN"/>
              </w:rPr>
            </w:pPr>
            <w:r>
              <w:rPr>
                <w:rFonts w:hint="eastAsia"/>
                <w:b/>
                <w:lang w:val="en-US" w:eastAsia="zh-CN"/>
              </w:rPr>
              <w:t>（4）</w:t>
            </w:r>
            <w:r>
              <w:rPr>
                <w:rFonts w:hint="eastAsia"/>
                <w:b/>
              </w:rPr>
              <w:t>资源占用费每月支付一次，于次月15日前通过转账方式缴纳到采购人财务科。</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eastAsia"/>
                <w:b/>
                <w:lang w:val="en-US" w:eastAsia="zh-CN"/>
              </w:rPr>
            </w:pPr>
            <w:r>
              <w:rPr>
                <w:rFonts w:hint="eastAsia"/>
                <w:b/>
                <w:lang w:val="en-US" w:eastAsia="zh-CN"/>
              </w:rPr>
              <w:t>10.★陪护人员的服务内容及收费标准应按国家相关规定执行，投标人参考采购人现行的收费标准在允许浮动的价格范围内进行报价，如获中标资格，将严格按照中标单价向陪护对象进行收费，并公示收费标准（提供承诺函）。收费标准见附件5：陪护服务收费标准。</w:t>
            </w:r>
          </w:p>
          <w:p>
            <w:pPr>
              <w:pStyle w:val="19"/>
              <w:jc w:val="left"/>
              <w:rPr>
                <w:rFonts w:hint="eastAsia"/>
                <w:b/>
                <w:lang w:val="en-US" w:eastAsia="zh-CN"/>
              </w:rPr>
            </w:pPr>
            <w:r>
              <w:rPr>
                <w:rFonts w:hint="eastAsia"/>
                <w:b/>
                <w:lang w:val="en-US" w:eastAsia="zh-CN"/>
              </w:rPr>
              <w:t>注明：中标供应商在执行项目合同期间，陪护服务收费价格不得高于以上标准、不得随意提升价格，如因物价大幅上涨等特殊情况，需提高服务收费价格的，中标供应商应向采购人提出书面申请征得采购人同意才能调整收费价格。</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eastAsia"/>
                <w:b/>
                <w:lang w:val="en-US" w:eastAsia="zh-CN"/>
              </w:rPr>
            </w:pPr>
            <w:r>
              <w:rPr>
                <w:rFonts w:hint="eastAsia"/>
                <w:b/>
                <w:lang w:val="en-US" w:eastAsia="zh-CN"/>
              </w:rPr>
              <w:t>6.★工作服洗涤要求</w:t>
            </w:r>
          </w:p>
          <w:p>
            <w:pPr>
              <w:pStyle w:val="19"/>
              <w:jc w:val="left"/>
              <w:rPr>
                <w:rFonts w:hint="default"/>
                <w:b/>
                <w:lang w:val="en-US" w:eastAsia="zh-CN"/>
              </w:rPr>
            </w:pPr>
            <w:r>
              <w:rPr>
                <w:rFonts w:hint="eastAsia"/>
                <w:b/>
                <w:lang w:val="en-US" w:eastAsia="zh-CN"/>
              </w:rPr>
              <w:t>陪护人员的工作服不能在采购人病房内洗涤，要求统一交由我院签约的被服洗涤公司进行洗涤，中标供应商自行与洗涤公司签订工作服洗涤协议，洗涤费用由中标供应商自行负担。</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default"/>
                <w:b/>
                <w:lang w:val="en-US" w:eastAsia="zh-CN"/>
              </w:rPr>
            </w:pPr>
            <w:r>
              <w:rPr>
                <w:rFonts w:hint="default"/>
                <w:b/>
                <w:lang w:val="en-US" w:eastAsia="zh-CN"/>
              </w:rPr>
              <w:t>1.★中标供应商应对拟派本项目的服务人员统一建立档案进行管理。中标供应商所提供服务人员与采购人之间没有任何劳动用工关系和雇佣关系，服务人员的收入及工资福利由中标供应商与其协商确定，服务人员在工作中发生的任何意外损伤 （工伤）由中标供应商负责，中标供应商与服务人员之间的争议纠纷与采购人无关。（提供承诺函）</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default"/>
                <w:b/>
                <w:lang w:val="en-US" w:eastAsia="zh-CN"/>
              </w:rPr>
            </w:pPr>
            <w:r>
              <w:rPr>
                <w:rFonts w:hint="eastAsia"/>
                <w:b/>
                <w:lang w:val="en-US" w:eastAsia="zh-CN"/>
              </w:rPr>
              <w:t>1）</w:t>
            </w:r>
            <w:r>
              <w:rPr>
                <w:rFonts w:hint="default"/>
                <w:b/>
                <w:lang w:val="en-US" w:eastAsia="zh-CN"/>
              </w:rPr>
              <w:t>★要求女性年龄在50岁以下或男性55岁以下，陪护人员及护工需持有合法医疗机构开具的健康证明，持续工作1年以上需年度体检（公司存档体检表）。</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eastAsia"/>
                <w:b/>
                <w:lang w:val="en-US" w:eastAsia="zh-CN"/>
              </w:rPr>
            </w:pPr>
            <w:r>
              <w:rPr>
                <w:rFonts w:hint="eastAsia"/>
                <w:b/>
                <w:lang w:val="en-US" w:eastAsia="zh-CN"/>
              </w:rPr>
              <w:t>（1）★陪护人员以及护工岗位须根据采购人的实际需求进行配置，见附件3《患者付费部分护工配置》；附件4《医院付费部分护工配置》。</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eastAsia"/>
                <w:b/>
                <w:lang w:val="en-US" w:eastAsia="zh-CN"/>
              </w:rPr>
            </w:pPr>
            <w:r>
              <w:rPr>
                <w:rFonts w:hint="default"/>
                <w:b/>
                <w:lang w:val="en-US" w:eastAsia="zh-CN"/>
              </w:rPr>
              <w:t>4.★投标人须自行承担拟投入本项目的设备、设施的维修、保养费用；并按照《中华人民共和国劳动合同法》的规定，自行承担派驻本项目所有服务人员的工资、劳务费、加班费、相关保险费、税费及相关管理等费用。如发生事故或劳资纠纷，由投标人解决，采购人不承担任何责任。</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eastAsia"/>
                <w:b/>
                <w:lang w:val="en-US" w:eastAsia="zh-CN"/>
              </w:rPr>
            </w:pPr>
            <w:r>
              <w:rPr>
                <w:rFonts w:hint="default"/>
                <w:b/>
                <w:lang w:val="en-US" w:eastAsia="zh-CN"/>
              </w:rPr>
              <w:t>（8）★一方及其工作人员应当妥善保管在执行本合同期间中知悉、接触、获得的所有关于项目的信息 （包括书面资料、电子文档资料及访谈记录等，特别涉及到项目人数规模、服务人员的人均单价、社保费用标准、内部用工及管理政策等）。本合同的保密义务并不因任何原因而终止。若一方及其工作人员违反本合同的约定，泄露上述信息，或违反规定而保留、复制或拷贝任何文件，应赔偿守约方因此遭受的损失（提供承诺函）。</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eastAsia"/>
                <w:b/>
                <w:lang w:val="en-US" w:eastAsia="zh-CN"/>
              </w:rPr>
            </w:pPr>
            <w:r>
              <w:rPr>
                <w:rFonts w:hint="eastAsia"/>
                <w:b/>
                <w:lang w:val="en-US" w:eastAsia="zh-CN"/>
              </w:rPr>
              <w:t>1.★中标供应商须负责其拟派本项目的所有现场服务人员的人身意外保险，因此产生的一切费用须已包含在投标总价内（提供承诺函）。</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5500" w:type="dxa"/>
            <w:tcBorders>
              <w:top w:val="single" w:color="auto" w:sz="4" w:space="0"/>
              <w:left w:val="single" w:color="auto" w:sz="4" w:space="0"/>
              <w:bottom w:val="single" w:color="auto" w:sz="4" w:space="0"/>
              <w:right w:val="single" w:color="auto" w:sz="4" w:space="0"/>
            </w:tcBorders>
            <w:vAlign w:val="top"/>
          </w:tcPr>
          <w:p>
            <w:pPr>
              <w:pStyle w:val="19"/>
              <w:jc w:val="left"/>
              <w:rPr>
                <w:rFonts w:hint="eastAsia"/>
                <w:b/>
                <w:lang w:val="en-US" w:eastAsia="zh-CN"/>
              </w:rPr>
            </w:pPr>
            <w:r>
              <w:rPr>
                <w:rFonts w:hint="eastAsia"/>
                <w:b/>
                <w:lang w:val="en-US" w:eastAsia="zh-CN"/>
              </w:rPr>
              <w:t>2.★服务期内，为贯彻落实上级卫生管理部门的决策部署、中标供应商必须服从采购人提出的服务模式、人员配置要求、收费模式、收费价格等的调整或转变，例如配合医院落实免陪护服务工作的落实，双方以签订补充协议的方式履行免陪护服务工作。</w:t>
            </w:r>
          </w:p>
        </w:tc>
        <w:tc>
          <w:tcPr>
            <w:tcW w:w="18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c>
          <w:tcPr>
            <w:tcW w:w="132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szCs w:val="24"/>
              </w:rPr>
            </w:pPr>
          </w:p>
        </w:tc>
      </w:tr>
    </w:tbl>
    <w:p>
      <w:pPr>
        <w:spacing w:line="360" w:lineRule="auto"/>
        <w:rPr>
          <w:rFonts w:ascii="宋体" w:hAnsi="宋体"/>
          <w:sz w:val="24"/>
          <w:szCs w:val="24"/>
        </w:rPr>
      </w:pPr>
      <w:r>
        <w:rPr>
          <w:rFonts w:hint="eastAsia" w:ascii="宋体" w:hAnsi="宋体"/>
          <w:sz w:val="24"/>
          <w:szCs w:val="24"/>
        </w:rPr>
        <w:t>说明：</w:t>
      </w:r>
    </w:p>
    <w:p>
      <w:pPr>
        <w:pStyle w:val="10"/>
        <w:shd w:val="clear" w:color="auto" w:fill="FFFFFF"/>
        <w:ind w:firstLine="480"/>
      </w:pPr>
      <w:r>
        <w:rPr>
          <w:rFonts w:hint="eastAsia"/>
        </w:rPr>
        <w:t>1.实质性响应条款一览表后续内容请根据第二章采购需求</w:t>
      </w:r>
      <w:r>
        <w:rPr>
          <w:rStyle w:val="13"/>
          <w:rFonts w:hint="eastAsia"/>
          <w:b w:val="0"/>
        </w:rPr>
        <w:t>★</w:t>
      </w:r>
      <w:r>
        <w:rPr>
          <w:rFonts w:hint="eastAsia"/>
        </w:rPr>
        <w:t>号条款详细列举</w:t>
      </w:r>
    </w:p>
    <w:p>
      <w:pPr>
        <w:pStyle w:val="10"/>
        <w:shd w:val="clear" w:color="auto" w:fill="FFFFFF"/>
        <w:ind w:firstLine="480"/>
      </w:pPr>
      <w:r>
        <w:rPr>
          <w:rFonts w:hint="eastAsia"/>
        </w:rPr>
        <w:t>2.本表所列条款必须一一予以响应，“投标人响应情况”一栏应</w:t>
      </w:r>
      <w:r>
        <w:rPr>
          <w:rStyle w:val="13"/>
          <w:rFonts w:hint="eastAsia"/>
          <w:b w:val="0"/>
        </w:rPr>
        <w:t>填写具体的响应内容，有差异</w:t>
      </w:r>
      <w:r>
        <w:rPr>
          <w:rFonts w:hint="eastAsia"/>
        </w:rPr>
        <w:t>的要具体说明。</w:t>
      </w:r>
    </w:p>
    <w:p>
      <w:pPr>
        <w:pStyle w:val="10"/>
        <w:shd w:val="clear" w:color="auto" w:fill="FFFFFF"/>
        <w:ind w:firstLine="480"/>
      </w:pPr>
      <w:r>
        <w:rPr>
          <w:rFonts w:hint="eastAsia"/>
        </w:rPr>
        <w:t>3.请投标人认真填写本表内容，如填写错误将可能导致投标无效。</w:t>
      </w:r>
    </w:p>
    <w:p>
      <w:pPr>
        <w:rPr>
          <w:rFonts w:ascii="宋体" w:hAnsi="宋体"/>
          <w:sz w:val="24"/>
          <w:szCs w:val="24"/>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OWNhZTY1MTE1NmZhZDlmNzdiZTYwMTExOGYwZTUifQ=="/>
  </w:docVars>
  <w:rsids>
    <w:rsidRoot w:val="002F3044"/>
    <w:rsid w:val="00076C5F"/>
    <w:rsid w:val="000C13F0"/>
    <w:rsid w:val="001079D2"/>
    <w:rsid w:val="00194F3E"/>
    <w:rsid w:val="001B369A"/>
    <w:rsid w:val="002048E3"/>
    <w:rsid w:val="0021128E"/>
    <w:rsid w:val="002F3044"/>
    <w:rsid w:val="003105EE"/>
    <w:rsid w:val="00321F0D"/>
    <w:rsid w:val="00387B33"/>
    <w:rsid w:val="004523E4"/>
    <w:rsid w:val="004B30C6"/>
    <w:rsid w:val="00544002"/>
    <w:rsid w:val="00626F38"/>
    <w:rsid w:val="00706877"/>
    <w:rsid w:val="008103F4"/>
    <w:rsid w:val="008826E0"/>
    <w:rsid w:val="00906CA6"/>
    <w:rsid w:val="009238D2"/>
    <w:rsid w:val="00926E05"/>
    <w:rsid w:val="00967340"/>
    <w:rsid w:val="00A0648E"/>
    <w:rsid w:val="00A1664F"/>
    <w:rsid w:val="00A30155"/>
    <w:rsid w:val="00A50151"/>
    <w:rsid w:val="00A73AE4"/>
    <w:rsid w:val="00AE6255"/>
    <w:rsid w:val="00B47072"/>
    <w:rsid w:val="00BB1460"/>
    <w:rsid w:val="00BB7663"/>
    <w:rsid w:val="00C554C7"/>
    <w:rsid w:val="00C72131"/>
    <w:rsid w:val="00CD0E81"/>
    <w:rsid w:val="00CF3FAB"/>
    <w:rsid w:val="00CF5078"/>
    <w:rsid w:val="00DF0BC4"/>
    <w:rsid w:val="00E33BF2"/>
    <w:rsid w:val="00F84676"/>
    <w:rsid w:val="07723298"/>
    <w:rsid w:val="099A0675"/>
    <w:rsid w:val="0DA303ED"/>
    <w:rsid w:val="0E636820"/>
    <w:rsid w:val="103622EC"/>
    <w:rsid w:val="114C1F67"/>
    <w:rsid w:val="13AD5B51"/>
    <w:rsid w:val="1544534B"/>
    <w:rsid w:val="164171E7"/>
    <w:rsid w:val="1839780B"/>
    <w:rsid w:val="18DF720A"/>
    <w:rsid w:val="1A3F58D1"/>
    <w:rsid w:val="2116296D"/>
    <w:rsid w:val="220B2CE7"/>
    <w:rsid w:val="226E5D84"/>
    <w:rsid w:val="23843D33"/>
    <w:rsid w:val="24215E77"/>
    <w:rsid w:val="242458B5"/>
    <w:rsid w:val="24525F90"/>
    <w:rsid w:val="25A03A79"/>
    <w:rsid w:val="263C6865"/>
    <w:rsid w:val="28FB42D5"/>
    <w:rsid w:val="2AC9163A"/>
    <w:rsid w:val="2AFF4AF5"/>
    <w:rsid w:val="2F6C6341"/>
    <w:rsid w:val="33366B39"/>
    <w:rsid w:val="3700570C"/>
    <w:rsid w:val="3B3F01CE"/>
    <w:rsid w:val="3E863541"/>
    <w:rsid w:val="3FB252F2"/>
    <w:rsid w:val="43A5588B"/>
    <w:rsid w:val="44A20A83"/>
    <w:rsid w:val="456D105F"/>
    <w:rsid w:val="47ED35F9"/>
    <w:rsid w:val="48935B62"/>
    <w:rsid w:val="4C0D48FE"/>
    <w:rsid w:val="4C6943F4"/>
    <w:rsid w:val="4E2067CB"/>
    <w:rsid w:val="52F46CB1"/>
    <w:rsid w:val="5350726F"/>
    <w:rsid w:val="54C46636"/>
    <w:rsid w:val="55917508"/>
    <w:rsid w:val="58EE2354"/>
    <w:rsid w:val="5A8829B9"/>
    <w:rsid w:val="5A930EFA"/>
    <w:rsid w:val="5BCD1EF5"/>
    <w:rsid w:val="5DD16604"/>
    <w:rsid w:val="60A97566"/>
    <w:rsid w:val="61D6726B"/>
    <w:rsid w:val="64952D64"/>
    <w:rsid w:val="66F8151F"/>
    <w:rsid w:val="68285BE3"/>
    <w:rsid w:val="686337D1"/>
    <w:rsid w:val="6C01232D"/>
    <w:rsid w:val="6C3876B4"/>
    <w:rsid w:val="6D013A68"/>
    <w:rsid w:val="6D397F64"/>
    <w:rsid w:val="6DA8798A"/>
    <w:rsid w:val="6EB14965"/>
    <w:rsid w:val="710A5CCE"/>
    <w:rsid w:val="75560EF0"/>
    <w:rsid w:val="763456C8"/>
    <w:rsid w:val="7CC4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paragraph" w:styleId="2">
    <w:name w:val="heading 2"/>
    <w:basedOn w:val="1"/>
    <w:next w:val="1"/>
    <w:qFormat/>
    <w:uiPriority w:val="0"/>
    <w:pPr>
      <w:keepNext/>
      <w:keepLines/>
      <w:adjustRightInd w:val="0"/>
      <w:snapToGrid w:val="0"/>
      <w:spacing w:line="360" w:lineRule="auto"/>
      <w:jc w:val="center"/>
      <w:outlineLvl w:val="1"/>
    </w:pPr>
    <w:rPr>
      <w:rFonts w:ascii="宋体" w:hAnsi="Arial"/>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18"/>
    <w:unhideWhenUsed/>
    <w:qFormat/>
    <w:uiPriority w:val="0"/>
    <w:rPr>
      <w:sz w:val="20"/>
    </w:rPr>
  </w:style>
  <w:style w:type="paragraph" w:styleId="5">
    <w:name w:val="Body Text"/>
    <w:basedOn w:val="1"/>
    <w:next w:val="1"/>
    <w:qFormat/>
    <w:uiPriority w:val="1"/>
    <w:pPr>
      <w:ind w:left="106"/>
    </w:pPr>
    <w:rPr>
      <w:sz w:val="19"/>
      <w:szCs w:val="19"/>
    </w:rPr>
  </w:style>
  <w:style w:type="paragraph" w:styleId="6">
    <w:name w:val="Body Text Indent"/>
    <w:basedOn w:val="1"/>
    <w:next w:val="1"/>
    <w:unhideWhenUsed/>
    <w:qFormat/>
    <w:uiPriority w:val="99"/>
    <w:pPr>
      <w:adjustRightInd w:val="0"/>
      <w:spacing w:line="312" w:lineRule="atLeast"/>
      <w:ind w:firstLine="574"/>
      <w:textAlignment w:val="baseline"/>
    </w:pPr>
    <w:rPr>
      <w:rFonts w:ascii="宋体"/>
      <w:kern w:val="0"/>
      <w:sz w:val="28"/>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line="360" w:lineRule="auto"/>
    </w:pPr>
    <w:rPr>
      <w:rFonts w:ascii="宋体" w:hAnsi="宋体" w:cs="宋体"/>
      <w:sz w:val="24"/>
      <w:szCs w:val="24"/>
    </w:rPr>
  </w:style>
  <w:style w:type="character" w:styleId="13">
    <w:name w:val="Strong"/>
    <w:basedOn w:val="12"/>
    <w:qFormat/>
    <w:uiPriority w:val="22"/>
    <w:rPr>
      <w:b/>
      <w:bCs/>
    </w:rPr>
  </w:style>
  <w:style w:type="character" w:styleId="14">
    <w:name w:val="annotation reference"/>
    <w:qFormat/>
    <w:uiPriority w:val="99"/>
    <w:rPr>
      <w:rFonts w:ascii="Tahoma" w:hAnsi="Tahoma"/>
      <w:kern w:val="2"/>
      <w:sz w:val="21"/>
      <w:szCs w:val="21"/>
    </w:rPr>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99"/>
    <w:rPr>
      <w:sz w:val="18"/>
      <w:szCs w:val="18"/>
    </w:rPr>
  </w:style>
  <w:style w:type="character" w:customStyle="1" w:styleId="17">
    <w:name w:val="批注框文本 Char"/>
    <w:basedOn w:val="12"/>
    <w:link w:val="7"/>
    <w:semiHidden/>
    <w:qFormat/>
    <w:uiPriority w:val="99"/>
    <w:rPr>
      <w:sz w:val="18"/>
      <w:szCs w:val="18"/>
    </w:rPr>
  </w:style>
  <w:style w:type="character" w:customStyle="1" w:styleId="18">
    <w:name w:val="批注文字 Char"/>
    <w:basedOn w:val="12"/>
    <w:link w:val="4"/>
    <w:qFormat/>
    <w:uiPriority w:val="0"/>
    <w:rPr>
      <w:rFonts w:ascii="Times New Roman" w:hAnsi="Times New Roman" w:eastAsia="宋体" w:cs="Times New Roman"/>
      <w:kern w:val="0"/>
      <w:sz w:val="20"/>
      <w:szCs w:val="20"/>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character" w:customStyle="1" w:styleId="20">
    <w:name w:val="font101"/>
    <w:qFormat/>
    <w:uiPriority w:val="0"/>
    <w:rPr>
      <w:rFonts w:ascii="仿宋" w:hAnsi="仿宋" w:eastAsia="仿宋" w:cs="仿宋"/>
      <w:b/>
      <w:bCs/>
      <w:color w:val="000000"/>
      <w:sz w:val="20"/>
      <w:szCs w:val="20"/>
      <w:u w:val="none"/>
    </w:rPr>
  </w:style>
  <w:style w:type="character" w:customStyle="1" w:styleId="21">
    <w:name w:val="font91"/>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4061</Words>
  <Characters>4217</Characters>
  <Lines>4</Lines>
  <Paragraphs>1</Paragraphs>
  <TotalTime>1</TotalTime>
  <ScaleCrop>false</ScaleCrop>
  <LinksUpToDate>false</LinksUpToDate>
  <CharactersWithSpaces>4224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魏晓滨</cp:lastModifiedBy>
  <dcterms:modified xsi:type="dcterms:W3CDTF">2025-07-18T03:41:01Z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281D3E36EFAD4BF58C4A98FC27CE9707</vt:lpwstr>
  </property>
  <property fmtid="{D5CDD505-2E9C-101B-9397-08002B2CF9AE}" pid="4" name="KSOTemplateDocerSaveRecord">
    <vt:lpwstr>eyJoZGlkIjoiN2Y2NDhiNjJmZDEzNTMyMTJkMDU3NTk4YjcxNWQ4ZDQiLCJ1c2VySWQiOiI1NzQ4NTg3In0=</vt:lpwstr>
  </property>
</Properties>
</file>