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440605-2025-05201</w:t>
      </w:r>
    </w:p>
    <w:p>
      <w:pPr>
        <w:pStyle w:val="null3"/>
        <w:jc w:val="center"/>
        <w:outlineLvl w:val="3"/>
      </w:pPr>
      <w:r>
        <w:rPr>
          <w:sz w:val="24"/>
          <w:b/>
        </w:rPr>
        <w:t>采购项目编号：</w:t>
      </w:r>
      <w:r>
        <w:rPr>
          <w:sz w:val="24"/>
          <w:b/>
        </w:rPr>
        <w:t>440605-2025-05201</w:t>
      </w:r>
    </w:p>
    <w:p>
      <w:pPr>
        <w:pStyle w:val="null3"/>
        <w:jc w:val="center"/>
        <w:outlineLvl w:val="3"/>
      </w:pPr>
      <w:r>
        <w:rPr>
          <w:sz w:val="24"/>
          <w:b/>
        </w:rPr>
        <w:t>项目名称：</w:t>
      </w:r>
      <w:r>
        <w:rPr>
          <w:sz w:val="24"/>
          <w:b/>
        </w:rPr>
        <w:t>光学生物测量仪、角膜地形图</w:t>
      </w:r>
    </w:p>
    <w:p>
      <w:pPr>
        <w:pStyle w:val="null3"/>
        <w:jc w:val="center"/>
        <w:outlineLvl w:val="3"/>
      </w:pPr>
      <w:r>
        <w:rPr>
          <w:sz w:val="24"/>
          <w:b/>
        </w:rPr>
        <w:t>采购人：</w:t>
      </w:r>
      <w:r>
        <w:rPr>
          <w:sz w:val="24"/>
          <w:b/>
        </w:rPr>
        <w:t>佛山市南海区第四人民医院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佛山市南海区第四人民医院</w:t>
      </w:r>
      <w:r>
        <w:rPr/>
        <w:t>的委托，采用</w:t>
      </w:r>
      <w:r>
        <w:rPr/>
        <w:t>公开招标</w:t>
      </w:r>
      <w:r>
        <w:rPr/>
        <w:t>方式组织采购</w:t>
      </w:r>
      <w:r>
        <w:rPr/>
        <w:t>光学生物测量仪、角膜地形图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光学生物测量仪、角膜地形图</w:t>
      </w:r>
    </w:p>
    <w:p>
      <w:pPr>
        <w:pStyle w:val="null3"/>
        <w:ind w:firstLine="480"/>
      </w:pPr>
      <w:r>
        <w:rPr/>
        <w:t>采购计划编号：</w:t>
      </w:r>
      <w:r>
        <w:rPr/>
        <w:t>440605-2025-05201</w:t>
      </w:r>
    </w:p>
    <w:p>
      <w:pPr>
        <w:pStyle w:val="null3"/>
        <w:ind w:firstLine="480"/>
      </w:pPr>
      <w:r>
        <w:rPr/>
        <w:t>采购项目编号：</w:t>
      </w:r>
      <w:r>
        <w:rPr/>
        <w:t>440605-2025-05201</w:t>
      </w:r>
    </w:p>
    <w:p>
      <w:pPr>
        <w:pStyle w:val="null3"/>
        <w:ind w:firstLine="480"/>
      </w:pPr>
      <w:r>
        <w:rPr/>
        <w:t>采购方式：</w:t>
      </w:r>
      <w:r>
        <w:rPr/>
        <w:t>公开招标</w:t>
      </w:r>
    </w:p>
    <w:p>
      <w:pPr>
        <w:pStyle w:val="null3"/>
        <w:ind w:firstLine="480"/>
      </w:pPr>
      <w:r>
        <w:rPr/>
        <w:t>预算金额：</w:t>
      </w:r>
      <w:r>
        <w:rPr/>
        <w:t>1,608,000.00</w:t>
      </w:r>
      <w:r>
        <w:rPr/>
        <w:t>元</w:t>
      </w:r>
    </w:p>
    <w:p>
      <w:pPr>
        <w:pStyle w:val="null3"/>
        <w:outlineLvl w:val="3"/>
      </w:pPr>
      <w:r>
        <w:rPr>
          <w:sz w:val="24"/>
          <w:b/>
        </w:rPr>
        <w:t>2.项目内容及需求情况（采购项目技术规格、参数及要求）</w:t>
      </w:r>
    </w:p>
    <w:p>
      <w:pPr>
        <w:pStyle w:val="null3"/>
      </w:pPr>
      <w:r>
        <w:rPr/>
        <w:t>采购包1(光学生物测量仪):</w:t>
      </w:r>
    </w:p>
    <w:p>
      <w:pPr>
        <w:pStyle w:val="null3"/>
      </w:pPr>
      <w:r>
        <w:rPr/>
        <w:t>采购包预算金额：968,000.00元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光学生物测量仪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合同履行期限：自合同签订之日起90天内安装通过验收并交付使用，至合同全部权利义务履行完毕之日止。</w:t>
      </w:r>
    </w:p>
    <w:p>
      <w:pPr>
        <w:pStyle w:val="null3"/>
      </w:pPr>
      <w:r>
        <w:rPr/>
        <w:t>采购包2(角膜地形图):</w:t>
      </w:r>
    </w:p>
    <w:p>
      <w:pPr>
        <w:pStyle w:val="null3"/>
      </w:pPr>
      <w:r>
        <w:rPr/>
        <w:t>采购包预算金额：640,000.00元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角膜地形图</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合同履行期限：自合同签订之日起7天内安装通过验收并交付使用，至合同全部权利义务履行完毕之日止。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采购包1（光学生物测量仪）：</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jc w:val="left"/>
      </w:pPr>
      <w:r>
        <w:rPr/>
        <w:t>采购包2（角膜地形图）：</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outlineLvl w:val="3"/>
      </w:pPr>
      <w:r>
        <w:rPr>
          <w:sz w:val="24"/>
          <w:b/>
        </w:rPr>
        <w:t>3.本项目特定的资格要求：</w:t>
      </w:r>
    </w:p>
    <w:p>
      <w:pPr>
        <w:pStyle w:val="null3"/>
      </w:pPr>
      <w:r>
        <w:rPr/>
        <w:t>采购包1（光学生物测量仪）：</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p>
      <w:pPr>
        <w:pStyle w:val="null3"/>
      </w:pPr>
      <w:r>
        <w:rPr/>
        <w:t>4)本项目不接受联合体投标。（以联合体身份提交投标文件参与投标的，即视为不符合资格要求）</w:t>
      </w:r>
    </w:p>
    <w:p>
      <w:pPr>
        <w:pStyle w:val="null3"/>
      </w:pPr>
      <w:r>
        <w:rPr/>
        <w:t>采购包2（角膜地形图）：</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佛山市南海区第四人民医院</w:t>
      </w:r>
    </w:p>
    <w:p>
      <w:pPr>
        <w:pStyle w:val="null3"/>
        <w:ind w:firstLine="480"/>
      </w:pPr>
      <w:r>
        <w:rPr/>
        <w:t xml:space="preserve"> 地址：</w:t>
      </w:r>
      <w:r>
        <w:rPr/>
        <w:t>佛山市南海区西樵镇樵金路崇南北丫塱</w:t>
      </w:r>
    </w:p>
    <w:p>
      <w:pPr>
        <w:pStyle w:val="null3"/>
        <w:ind w:firstLine="480"/>
      </w:pPr>
      <w:r>
        <w:rPr/>
        <w:t xml:space="preserve"> 联系方式：</w:t>
      </w:r>
      <w:r>
        <w:rPr/>
        <w:t>0757-86866961</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欧小姐、张先生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本项目采购包</w:t>
      </w:r>
      <w:r>
        <w:rPr/>
        <w:t>1</w:t>
      </w:r>
      <w:r>
        <w:rPr/>
        <w:t>采购光学生物测量仪</w:t>
      </w:r>
      <w:r>
        <w:rPr/>
        <w:t>1</w:t>
      </w:r>
      <w:r>
        <w:rPr/>
        <w:t>台；采购包</w:t>
      </w:r>
      <w:r>
        <w:rPr/>
        <w:t>2</w:t>
      </w:r>
      <w:r>
        <w:rPr/>
        <w:t>采购角膜地形图</w:t>
      </w:r>
      <w:r>
        <w:rPr/>
        <w:t>1</w:t>
      </w:r>
      <w:r>
        <w:rPr/>
        <w:t>台，两个采购包组均允许投标人所投产品是国内、外产品。</w:t>
      </w:r>
    </w:p>
    <w:p>
      <w:pPr>
        <w:pStyle w:val="null3"/>
        <w:jc w:val="both"/>
      </w:pPr>
      <w:r>
        <w:rPr>
          <w:b/>
        </w:rPr>
        <w:t>二、说明（以下说明两个采购包均适用）</w:t>
      </w:r>
    </w:p>
    <w:p>
      <w:pPr>
        <w:pStyle w:val="null3"/>
        <w:jc w:val="both"/>
      </w:pPr>
      <w:r>
        <w:rPr/>
        <w:t>1</w:t>
      </w:r>
      <w:r>
        <w:rPr/>
        <w:t>、★投标人所投医疗器械必须具备医疗器械注册</w:t>
      </w:r>
      <w:r>
        <w:rPr/>
        <w:t>/</w:t>
      </w:r>
      <w:r>
        <w:rPr/>
        <w:t>备案证明，包括药品监督管理部门批准的注册证书或者备案凭证。</w:t>
      </w:r>
    </w:p>
    <w:p>
      <w:pPr>
        <w:pStyle w:val="null3"/>
        <w:jc w:val="both"/>
      </w:pPr>
      <w:r>
        <w:rPr/>
        <w:t>2</w:t>
      </w: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t>3</w:t>
      </w:r>
      <w:r>
        <w:rPr/>
        <w:t>、如在各技术参数中某些技术参数仅为某一品牌所特有的，仅起说明作用，并没有任何限制性。投标人在投标中可以选用同等级或更优的同类产品替代，但这些替代要实质上相当于技术规格的要求。</w:t>
      </w:r>
    </w:p>
    <w:p>
      <w:pPr>
        <w:pStyle w:val="null3"/>
        <w:jc w:val="both"/>
      </w:pPr>
      <w:r>
        <w:rPr/>
        <w:t>4</w:t>
      </w:r>
      <w:r>
        <w:rPr/>
        <w:t>、投标人应充分理解项目需求，结合以往同类项目经验，制定相关的管理制度或管理体系，制定相应的项目实施方案及具体措施、安装调试及试运行方案、培训方案、售后服务方案等。</w:t>
      </w:r>
    </w:p>
    <w:p>
      <w:pPr>
        <w:pStyle w:val="null3"/>
        <w:jc w:val="both"/>
      </w:pPr>
      <w:r>
        <w:rPr>
          <w:b/>
        </w:rPr>
        <w:t>三、投标文件编制注意事项</w:t>
      </w:r>
    </w:p>
    <w:p>
      <w:pPr>
        <w:pStyle w:val="null3"/>
        <w:jc w:val="both"/>
      </w:pPr>
      <w:r>
        <w:rPr>
          <w:b/>
        </w:rPr>
        <w:t>1</w:t>
      </w:r>
      <w:r>
        <w:rPr>
          <w:b/>
        </w:rPr>
        <w:t>、《分项报价表》填写说明</w:t>
      </w:r>
    </w:p>
    <w:p>
      <w:pPr>
        <w:pStyle w:val="null3"/>
        <w:jc w:val="both"/>
      </w:pPr>
      <w:r>
        <w:rPr>
          <w:b/>
        </w:rPr>
        <w:t>★</w:t>
      </w:r>
      <w:r>
        <w:rPr/>
        <w:t>投标人填写《分项报价表》的</w:t>
      </w:r>
      <w:r>
        <w:rPr/>
        <w:t>“品目号、序号、货物名称、数量”时，须按本表列明的“品目号、序号、货物名称、数量”进行填报，《分项报价表》的“规格型号、品牌、产地、制造商名称、单价、总价”按自身报价方案如实填报。</w:t>
      </w:r>
    </w:p>
    <w:tbl>
      <w:tblPr>
        <w:tblW w:w="0" w:type="auto"/>
        <w:tblBorders>
          <w:top w:val="none" w:color="000000" w:sz="4"/>
          <w:left w:val="none" w:color="000000" w:sz="4"/>
          <w:bottom w:val="none" w:color="000000" w:sz="4"/>
          <w:right w:val="none" w:color="000000" w:sz="4"/>
          <w:insideH w:val="none"/>
          <w:insideV w:val="none"/>
        </w:tblBorders>
      </w:tblPr>
      <w:tblGrid>
        <w:gridCol w:w="651"/>
        <w:gridCol w:w="575"/>
        <w:gridCol w:w="1543"/>
        <w:gridCol w:w="1014"/>
        <w:gridCol w:w="726"/>
        <w:gridCol w:w="666"/>
        <w:gridCol w:w="1014"/>
        <w:gridCol w:w="696"/>
        <w:gridCol w:w="847"/>
        <w:gridCol w:w="57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品目号</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光学生物测量仪</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r>
              <w:rPr>
                <w:sz w:val="19"/>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W w:w="0" w:type="auto"/>
        <w:tblBorders>
          <w:top w:val="none" w:color="000000" w:sz="4"/>
          <w:left w:val="none" w:color="000000" w:sz="4"/>
          <w:bottom w:val="none" w:color="000000" w:sz="4"/>
          <w:right w:val="none" w:color="000000" w:sz="4"/>
          <w:insideH w:val="none"/>
          <w:insideV w:val="none"/>
        </w:tblBorders>
      </w:tblPr>
      <w:tblGrid>
        <w:gridCol w:w="651"/>
        <w:gridCol w:w="575"/>
        <w:gridCol w:w="1543"/>
        <w:gridCol w:w="1014"/>
        <w:gridCol w:w="726"/>
        <w:gridCol w:w="666"/>
        <w:gridCol w:w="1014"/>
        <w:gridCol w:w="696"/>
        <w:gridCol w:w="847"/>
        <w:gridCol w:w="57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品目号</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角膜地形图</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r>
              <w:rPr>
                <w:sz w:val="19"/>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b/>
        </w:rPr>
        <w:t>2</w:t>
      </w:r>
      <w:r>
        <w:rPr>
          <w:b/>
        </w:rPr>
        <w:t>、本章“具体技术</w:t>
      </w:r>
      <w:r>
        <w:rPr>
          <w:b/>
        </w:rPr>
        <w:t>(</w:t>
      </w:r>
      <w:r>
        <w:rPr>
          <w:b/>
        </w:rPr>
        <w:t>参数</w:t>
      </w:r>
      <w:r>
        <w:rPr>
          <w:b/>
        </w:rPr>
        <w:t>)</w:t>
      </w:r>
      <w:r>
        <w:rPr>
          <w:b/>
        </w:rPr>
        <w:t>要求”内容，投标人应按“第六章 投标文件格式与要求”的“格式十六”格式，在投标文件的“技术和服务要求响应表”中进行响应。</w:t>
      </w:r>
    </w:p>
    <w:p>
      <w:pPr>
        <w:pStyle w:val="null3"/>
        <w:jc w:val="both"/>
      </w:pPr>
      <w:r>
        <w:rPr>
          <w:b/>
        </w:rPr>
        <w:t>3</w:t>
      </w:r>
      <w:r>
        <w:rPr>
          <w:b/>
        </w:rPr>
        <w:t>、本章“主要商务要求”及“其他商务需求”的需求内容，投标人应按“第六章 投标文件格式与要求”的“格式十七”格式，在投标文件的“商务条件响应表”中进行响应。</w:t>
      </w:r>
    </w:p>
    <w:p>
      <w:pPr>
        <w:pStyle w:val="null3"/>
        <w:jc w:val="both"/>
      </w:pPr>
      <w:r>
        <w:rPr>
          <w:b/>
        </w:rPr>
        <w:t>四、附件《政府采购供应商资格信用承诺函》格式</w:t>
      </w:r>
    </w:p>
    <w:p>
      <w:pPr>
        <w:pStyle w:val="null3"/>
        <w:jc w:val="both"/>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jc w:val="both"/>
      </w:pPr>
      <w:r>
        <w:rPr>
          <w:sz w:val="21"/>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采购包1（光学生物测量仪）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自合同签订之日起90天内安装通过验收并交付使用，至合同全部权利义务履行完毕之日止。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1期：支付比例100%,合同签订且设备安装验收合格后，采购人在收到发票后 10个工作日内完成支付。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在收到中标人项目验收建议之日起30个日内进行验收，验收合格后出具验收确认书，验收交付前的保管安全责任由中标人负责。中标人以采购人的名义作为终端客户，负责办理所有产品设备(包括保修卡)的一切保修注册备案手续。 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 3、如合同设备运输和安装调试过程中因事故造成货物的短缺、损坏，中标人应及时安排换装，以保证合同设备安装调试的成功完成。换货的相关费用由中标人承担。 4、所供产品均为近12个月内原厂制造的全新合格产品，且有合法透明的来源渠道，整机无污染、无侵权行为、表面无划损、无任何缺陷隐患，可依常规合法安全使用。如与上述要求不符的，采购人有权拒收。 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1、本包预算金额为¥968,000.00元，报价总价不得超出投标最高限价¥968,000.00元，否则该投标文件为无效标。 2、本项目的报价和结算支付均以人民币为货币单位。 3、投标人报价应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 4、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1、货物的包装均应有良好的防湿、防锈、防潮、防雨、防腐及防碰撞的措施。凡由于包装不良造成的损失和由此产生的费用均由中标人承担。 2、中标人负责合同项下的安装调试，一切费用由中标人负责。 3、中标人必须依照采购文件的要求和报价文件的承诺，将货物安装并调试至正常运行的最佳状态且双方均认为满意。 4、中标人安装时须对各安装场地内的其他设备、设施有良好保护措施。 5、设备验收交付前的保管安全责任由中标人负责。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1、质保期不少于3年，质保期从验收合格之日起计算。</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3、质保期内提供周期上门服务：中标人须在设备验收后，每三个月例行上门检测设备运行状态，维保记录（含服务现场图片）或检测报告留科室及医学装备科备案。 4、中标人或原厂售后服务商（以下统称“售后服务机构”）提供长期稳定可靠的售后服务。有固定售后服务点，并提供常设服务专线和长期的技术支持，需提供固定售后服务点的详细资料。 故障报修响应时间：用户故障报修24小时内响应。提供24小时的热线支持、厂家联系人及电话及本项目供应商联系人及电话，在设备发生故障时，技术人员应4小时内到达现场解决故障。 5、若主要设备的故障在48小时内仍未处理完毕，中标人必须提供不低于相同等级的设备予采购人临时使用或采取应急措施解决，不得影响采购人的正常工作业务。 6、质保期内，产品维修均为上门服务，即由中标人派人员到采购人设备使用现场维修，由此产生的费用均由中标人负担。</w:t>
            </w:r>
          </w:p>
        </w:tc>
      </w:tr>
      <w:tr>
        <w:tc>
          <w:tcPr>
            <w:tcW w:type="dxa" w:w="2076"/>
          </w:tcP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1、为使设备的正常使用，提供两个或以上的培训名额。2、中标人应为采购人的医护人员或技术人员提供操作及维护培训，所需费用由中标人负责。培训主要内容为设备的基本结构、性能、主要部件的构造及原理，日常使用操作、保养与管理，常见故障的排除，紧急情况的处理等，培训地点主要在设备安装现场或者由采购人及中标人双方协商安排。</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中标人保证合同项下提供的产品不侵犯任何第三方的专利、商标或版权等知识产权。否则，中标人须承担对第三方的专利或第三方的专利或版权等知识产权的侵权责任并承担由此而发生的所有费用。依据相关法律法规规定，采购人中标人双方应相互尊重双方及第三方的知识产权、数据信息所有权等权利，双方均对本项目所涉及的知识产权、数据信息有不泄露义务；双方均不得向任何第三方泄露各自从合作方获得的数据、信息等资料；双方均享有因数据、信息泄露给对方造成损失时，获得赔偿的权利。</w:t>
            </w:r>
          </w:p>
        </w:tc>
      </w:tr>
      <w:tr>
        <w:tc>
          <w:tcPr>
            <w:tcW w:type="dxa" w:w="2076"/>
          </w:tcP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医疗器械产品规定</w:t>
            </w:r>
          </w:p>
        </w:tc>
        <w:tc>
          <w:tcPr>
            <w:tcW w:type="dxa" w:w="2076"/>
          </w:tcPr>
          <w:p>
            <w:pPr>
              <w:pStyle w:val="null3"/>
              <w:jc w:val="left"/>
            </w:pPr>
            <w:r>
              <w:rPr/>
              <w:t>1、提供的医疗器械必须为已注册的医疗器械产品。(投标时提供医疗器械注册证扫描件)【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15日以上，采购人有权终止合同，由此造成采购人的经济损失由乙方承担。违约金不足以弥补损失的，中标人应按全额赔偿。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11</w:t>
            </w:r>
          </w:p>
        </w:tc>
        <w:tc>
          <w:tcPr>
            <w:tcW w:type="dxa" w:w="2076"/>
          </w:tcPr>
          <w:p>
            <w:pPr>
              <w:pStyle w:val="null3"/>
              <w:jc w:val="left"/>
            </w:pPr>
            <w:r>
              <w:rPr/>
              <w:t>其他</w:t>
            </w:r>
          </w:p>
        </w:tc>
        <w:tc>
          <w:tcPr>
            <w:tcW w:type="dxa" w:w="2076"/>
          </w:tcPr>
          <w:p>
            <w:pPr>
              <w:pStyle w:val="null3"/>
              <w:jc w:val="left"/>
            </w:pPr>
            <w:r>
              <w:rPr/>
              <w:t>为保证供货如期实施，投标人应在投标时制定项目实施方案及具体措施、安装调试及试运行方案；培训方案；售后服务方案等内容。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光学生物测量仪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968,000.00</w:t>
            </w:r>
          </w:p>
        </w:tc>
        <w:tc>
          <w:tcPr>
            <w:tcW w:type="dxa" w:w="831"/>
          </w:tcPr>
          <w:p>
            <w:pPr>
              <w:pStyle w:val="null3"/>
              <w:jc w:val="right"/>
            </w:pPr>
            <w:r>
              <w:rPr/>
              <w:t>968,000.00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光学生物测量仪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基本功能</w:t>
            </w:r>
          </w:p>
          <w:p>
            <w:pPr>
              <w:pStyle w:val="null3"/>
              <w:jc w:val="both"/>
            </w:pPr>
            <w:r>
              <w:rPr>
                <w:sz w:val="21"/>
              </w:rPr>
              <w:t>1</w:t>
            </w:r>
            <w:r>
              <w:rPr>
                <w:sz w:val="21"/>
              </w:rPr>
              <w:t>、测量眼球生物参数：如眼轴长度、角膜曲率、前房深度、白</w:t>
            </w:r>
            <w:r>
              <w:rPr>
                <w:sz w:val="21"/>
              </w:rPr>
              <w:t>-</w:t>
            </w:r>
            <w:r>
              <w:rPr>
                <w:sz w:val="21"/>
              </w:rPr>
              <w:t>白（角膜直径）、晶体厚度、中央角膜厚度、瞳孔直径、视轴偏心率等，并计算人工晶体度数，可用于人工晶体植入术及青少年视力检测。</w:t>
            </w:r>
          </w:p>
        </w:tc>
      </w:tr>
      <w:tr>
        <w:tc>
          <w:tcPr>
            <w:tcW w:type="dxa" w:w="2076"/>
          </w:tcPr>
          <w:p/>
        </w:tc>
        <w:tc>
          <w:tcPr>
            <w:tcW w:type="dxa" w:w="415"/>
          </w:tcPr>
          <w:p>
            <w:pPr>
              <w:pStyle w:val="null3"/>
            </w:pPr>
            <w:r>
              <w:rPr/>
              <w:t>2</w:t>
            </w:r>
          </w:p>
        </w:tc>
        <w:tc>
          <w:tcPr>
            <w:tcW w:type="dxa" w:w="5814"/>
          </w:tcPr>
          <w:p>
            <w:pPr>
              <w:pStyle w:val="null3"/>
              <w:jc w:val="both"/>
            </w:pPr>
            <w:r>
              <w:rPr>
                <w:sz w:val="21"/>
              </w:rPr>
              <w:t>具体参数</w:t>
            </w:r>
          </w:p>
          <w:p>
            <w:pPr>
              <w:pStyle w:val="null3"/>
              <w:jc w:val="both"/>
            </w:pPr>
            <w:r>
              <w:rPr>
                <w:sz w:val="21"/>
              </w:rPr>
              <w:t>1</w:t>
            </w:r>
            <w:r>
              <w:rPr>
                <w:sz w:val="21"/>
              </w:rPr>
              <w:t>、光源</w:t>
            </w:r>
          </w:p>
          <w:p>
            <w:pPr>
              <w:pStyle w:val="null3"/>
              <w:jc w:val="both"/>
            </w:pPr>
            <w:r>
              <w:rPr>
                <w:sz w:val="21"/>
              </w:rPr>
              <w:t>1.1</w:t>
            </w:r>
            <w:r>
              <w:rPr>
                <w:sz w:val="21"/>
              </w:rPr>
              <w:t>眼轴长测量光源：可调谐激光</w:t>
            </w:r>
          </w:p>
          <w:p>
            <w:pPr>
              <w:pStyle w:val="null3"/>
              <w:jc w:val="both"/>
            </w:pPr>
            <w:r>
              <w:rPr>
                <w:sz w:val="21"/>
              </w:rPr>
              <w:t>1.2</w:t>
            </w:r>
            <w:r>
              <w:rPr>
                <w:sz w:val="21"/>
              </w:rPr>
              <w:t>眼轴长测量光源波长：</w:t>
            </w:r>
            <w:r>
              <w:rPr>
                <w:sz w:val="21"/>
              </w:rPr>
              <w:t>1035nm-1077nm</w:t>
            </w:r>
          </w:p>
          <w:p>
            <w:pPr>
              <w:pStyle w:val="null3"/>
              <w:jc w:val="both"/>
            </w:pPr>
            <w:r>
              <w:rPr>
                <w:sz w:val="21"/>
              </w:rPr>
              <w:t>1.3</w:t>
            </w:r>
            <w:r>
              <w:rPr>
                <w:sz w:val="21"/>
              </w:rPr>
              <w:t>单次测量时间（脉冲持续时间）：</w:t>
            </w:r>
            <w:r>
              <w:rPr>
                <w:sz w:val="21"/>
              </w:rPr>
              <w:t>0.5s</w:t>
            </w:r>
          </w:p>
          <w:p>
            <w:pPr>
              <w:pStyle w:val="null3"/>
              <w:jc w:val="both"/>
            </w:pPr>
            <w:r>
              <w:rPr>
                <w:sz w:val="21"/>
              </w:rPr>
              <w:t>1.4</w:t>
            </w:r>
            <w:r>
              <w:rPr>
                <w:sz w:val="21"/>
              </w:rPr>
              <w:t>最大输出功率 ＜</w:t>
            </w:r>
            <w:r>
              <w:rPr>
                <w:sz w:val="21"/>
              </w:rPr>
              <w:t>1.67mW</w:t>
            </w:r>
          </w:p>
          <w:p>
            <w:pPr>
              <w:pStyle w:val="null3"/>
              <w:jc w:val="both"/>
            </w:pPr>
            <w:r>
              <w:rPr>
                <w:sz w:val="21"/>
              </w:rPr>
              <w:t>2</w:t>
            </w:r>
            <w:r>
              <w:rPr>
                <w:sz w:val="21"/>
              </w:rPr>
              <w:t>、测量生物参数</w:t>
            </w:r>
          </w:p>
          <w:p>
            <w:pPr>
              <w:pStyle w:val="null3"/>
              <w:jc w:val="both"/>
            </w:pPr>
            <w:r>
              <w:rPr>
                <w:sz w:val="21"/>
              </w:rPr>
              <w:t>2.1</w:t>
            </w:r>
            <w:r>
              <w:rPr>
                <w:sz w:val="21"/>
              </w:rPr>
              <w:t>眼轴长度</w:t>
            </w:r>
            <w:r>
              <w:rPr>
                <w:sz w:val="21"/>
              </w:rPr>
              <w:t>AL</w:t>
            </w:r>
            <w:r>
              <w:rPr>
                <w:sz w:val="21"/>
              </w:rPr>
              <w:t>：</w:t>
            </w:r>
            <w:r>
              <w:rPr>
                <w:sz w:val="21"/>
              </w:rPr>
              <w:t>14-38mm</w:t>
            </w:r>
          </w:p>
          <w:p>
            <w:pPr>
              <w:pStyle w:val="null3"/>
              <w:jc w:val="both"/>
            </w:pPr>
            <w:r>
              <w:rPr>
                <w:sz w:val="21"/>
              </w:rPr>
              <w:t>2.2</w:t>
            </w:r>
            <w:r>
              <w:rPr>
                <w:sz w:val="21"/>
              </w:rPr>
              <w:t>角膜曲率半径</w:t>
            </w:r>
            <w:r>
              <w:rPr>
                <w:sz w:val="21"/>
              </w:rPr>
              <w:t>K1/K2</w:t>
            </w:r>
            <w:r>
              <w:rPr>
                <w:sz w:val="21"/>
              </w:rPr>
              <w:t>：</w:t>
            </w:r>
            <w:r>
              <w:rPr>
                <w:sz w:val="21"/>
              </w:rPr>
              <w:t>5-11mm</w:t>
            </w:r>
          </w:p>
          <w:p>
            <w:pPr>
              <w:pStyle w:val="null3"/>
              <w:jc w:val="both"/>
            </w:pPr>
            <w:r>
              <w:rPr>
                <w:sz w:val="21"/>
              </w:rPr>
              <w:t>2.3</w:t>
            </w:r>
            <w:r>
              <w:rPr>
                <w:sz w:val="21"/>
              </w:rPr>
              <w:t>前房深度</w:t>
            </w:r>
            <w:r>
              <w:rPr>
                <w:sz w:val="21"/>
              </w:rPr>
              <w:t>ACD/iACD</w:t>
            </w:r>
            <w:r>
              <w:rPr>
                <w:sz w:val="21"/>
              </w:rPr>
              <w:t>：</w:t>
            </w:r>
            <w:r>
              <w:rPr>
                <w:sz w:val="21"/>
              </w:rPr>
              <w:t>0.7-8mm</w:t>
            </w:r>
          </w:p>
          <w:p>
            <w:pPr>
              <w:pStyle w:val="null3"/>
              <w:jc w:val="both"/>
            </w:pPr>
            <w:r>
              <w:rPr>
                <w:sz w:val="21"/>
              </w:rPr>
              <w:t>2.4</w:t>
            </w:r>
            <w:r>
              <w:rPr>
                <w:sz w:val="21"/>
              </w:rPr>
              <w:t>白</w:t>
            </w:r>
            <w:r>
              <w:rPr>
                <w:sz w:val="21"/>
              </w:rPr>
              <w:t>-</w:t>
            </w:r>
            <w:r>
              <w:rPr>
                <w:sz w:val="21"/>
              </w:rPr>
              <w:t>白角膜直径</w:t>
            </w:r>
            <w:r>
              <w:rPr>
                <w:sz w:val="21"/>
              </w:rPr>
              <w:t>WTW</w:t>
            </w:r>
            <w:r>
              <w:rPr>
                <w:sz w:val="21"/>
              </w:rPr>
              <w:t>：</w:t>
            </w:r>
            <w:r>
              <w:rPr>
                <w:sz w:val="21"/>
              </w:rPr>
              <w:t>8.3-16mm</w:t>
            </w:r>
          </w:p>
          <w:p>
            <w:pPr>
              <w:pStyle w:val="null3"/>
              <w:jc w:val="both"/>
            </w:pPr>
            <w:r>
              <w:rPr>
                <w:sz w:val="21"/>
              </w:rPr>
              <w:t>2.5</w:t>
            </w:r>
            <w:r>
              <w:rPr>
                <w:sz w:val="21"/>
              </w:rPr>
              <w:t>晶体厚度：</w:t>
            </w:r>
            <w:r>
              <w:rPr>
                <w:sz w:val="21"/>
              </w:rPr>
              <w:t>1-10mm</w:t>
            </w:r>
            <w:r>
              <w:rPr>
                <w:sz w:val="21"/>
              </w:rPr>
              <w:t>（晶状体眼）、</w:t>
            </w:r>
            <w:r>
              <w:rPr>
                <w:sz w:val="21"/>
              </w:rPr>
              <w:t>0.13-2.5mm</w:t>
            </w:r>
            <w:r>
              <w:rPr>
                <w:sz w:val="21"/>
              </w:rPr>
              <w:t>（人工晶状体眼）</w:t>
            </w:r>
          </w:p>
          <w:p>
            <w:pPr>
              <w:pStyle w:val="null3"/>
              <w:jc w:val="both"/>
            </w:pPr>
            <w:r>
              <w:rPr>
                <w:sz w:val="21"/>
              </w:rPr>
              <w:t>2.6</w:t>
            </w:r>
            <w:r>
              <w:rPr>
                <w:sz w:val="21"/>
              </w:rPr>
              <w:t>中央角膜厚度</w:t>
            </w:r>
            <w:r>
              <w:rPr>
                <w:sz w:val="21"/>
              </w:rPr>
              <w:t>CCT</w:t>
            </w:r>
            <w:r>
              <w:rPr>
                <w:sz w:val="21"/>
              </w:rPr>
              <w:t>：</w:t>
            </w:r>
            <w:r>
              <w:rPr>
                <w:sz w:val="21"/>
              </w:rPr>
              <w:t>0.2-1.2mm</w:t>
            </w:r>
          </w:p>
          <w:p>
            <w:pPr>
              <w:pStyle w:val="null3"/>
              <w:jc w:val="both"/>
            </w:pPr>
            <w:r>
              <w:rPr>
                <w:sz w:val="21"/>
              </w:rPr>
              <w:t>2.7</w:t>
            </w:r>
            <w:r>
              <w:rPr>
                <w:sz w:val="21"/>
              </w:rPr>
              <w:t>瞳孔直径</w:t>
            </w:r>
            <w:r>
              <w:rPr>
                <w:sz w:val="21"/>
              </w:rPr>
              <w:t>P</w:t>
            </w:r>
            <w:r>
              <w:rPr>
                <w:sz w:val="21"/>
              </w:rPr>
              <w:t>：</w:t>
            </w:r>
            <w:r>
              <w:rPr>
                <w:sz w:val="21"/>
              </w:rPr>
              <w:t>1.5-9.8mm</w:t>
            </w:r>
          </w:p>
          <w:p>
            <w:pPr>
              <w:pStyle w:val="null3"/>
              <w:jc w:val="both"/>
            </w:pPr>
            <w:r>
              <w:rPr>
                <w:sz w:val="21"/>
              </w:rPr>
              <w:t>▲</w:t>
            </w:r>
            <w:r>
              <w:rPr>
                <w:sz w:val="21"/>
              </w:rPr>
              <w:t>2.8</w:t>
            </w:r>
            <w:r>
              <w:rPr>
                <w:sz w:val="21"/>
              </w:rPr>
              <w:t>视轴中心点（</w:t>
            </w:r>
            <w:r>
              <w:rPr>
                <w:sz w:val="21"/>
              </w:rPr>
              <w:t>Px, Py; Ix, Iy</w:t>
            </w:r>
            <w:r>
              <w:rPr>
                <w:sz w:val="21"/>
              </w:rPr>
              <w:t>）</w:t>
            </w:r>
          </w:p>
          <w:p>
            <w:pPr>
              <w:pStyle w:val="null3"/>
              <w:jc w:val="both"/>
            </w:pPr>
            <w:r>
              <w:rPr>
                <w:sz w:val="21"/>
              </w:rPr>
              <w:t>3</w:t>
            </w:r>
            <w:r>
              <w:rPr>
                <w:sz w:val="21"/>
              </w:rPr>
              <w:t>、测量精确度</w:t>
            </w:r>
          </w:p>
          <w:p>
            <w:pPr>
              <w:pStyle w:val="null3"/>
              <w:jc w:val="both"/>
            </w:pPr>
            <w:r>
              <w:rPr>
                <w:sz w:val="21"/>
              </w:rPr>
              <w:t>3.1</w:t>
            </w:r>
            <w:r>
              <w:rPr>
                <w:sz w:val="21"/>
              </w:rPr>
              <w:t>眼轴长度：≤</w:t>
            </w:r>
            <w:r>
              <w:rPr>
                <w:sz w:val="21"/>
              </w:rPr>
              <w:t>0.01mm</w:t>
            </w:r>
          </w:p>
          <w:p>
            <w:pPr>
              <w:pStyle w:val="null3"/>
              <w:jc w:val="both"/>
            </w:pPr>
            <w:r>
              <w:rPr>
                <w:sz w:val="21"/>
              </w:rPr>
              <w:t>3.2</w:t>
            </w:r>
            <w:r>
              <w:rPr>
                <w:sz w:val="21"/>
              </w:rPr>
              <w:t>角膜曲率半径：≤</w:t>
            </w:r>
            <w:r>
              <w:rPr>
                <w:sz w:val="21"/>
              </w:rPr>
              <w:t>0.01mm</w:t>
            </w:r>
          </w:p>
          <w:p>
            <w:pPr>
              <w:pStyle w:val="null3"/>
              <w:jc w:val="both"/>
            </w:pPr>
            <w:r>
              <w:rPr>
                <w:sz w:val="21"/>
              </w:rPr>
              <w:t>3.3</w:t>
            </w:r>
            <w:r>
              <w:rPr>
                <w:sz w:val="21"/>
              </w:rPr>
              <w:t>前房深度：≤</w:t>
            </w:r>
            <w:r>
              <w:rPr>
                <w:sz w:val="21"/>
              </w:rPr>
              <w:t>0.01mm</w:t>
            </w:r>
          </w:p>
          <w:p>
            <w:pPr>
              <w:pStyle w:val="null3"/>
              <w:jc w:val="both"/>
            </w:pPr>
            <w:r>
              <w:rPr>
                <w:sz w:val="21"/>
              </w:rPr>
              <w:t>3.4</w:t>
            </w:r>
            <w:r>
              <w:rPr>
                <w:sz w:val="21"/>
              </w:rPr>
              <w:t>白</w:t>
            </w:r>
            <w:r>
              <w:rPr>
                <w:sz w:val="21"/>
              </w:rPr>
              <w:t>-</w:t>
            </w:r>
            <w:r>
              <w:rPr>
                <w:sz w:val="21"/>
              </w:rPr>
              <w:t>白角膜直径：≤</w:t>
            </w:r>
            <w:r>
              <w:rPr>
                <w:sz w:val="21"/>
              </w:rPr>
              <w:t>0.1mm</w:t>
            </w:r>
          </w:p>
          <w:p>
            <w:pPr>
              <w:pStyle w:val="null3"/>
              <w:jc w:val="both"/>
            </w:pPr>
            <w:r>
              <w:rPr>
                <w:sz w:val="21"/>
              </w:rPr>
              <w:t>3.5</w:t>
            </w:r>
            <w:r>
              <w:rPr>
                <w:sz w:val="21"/>
              </w:rPr>
              <w:t>晶体厚度：≤</w:t>
            </w:r>
            <w:r>
              <w:rPr>
                <w:sz w:val="21"/>
              </w:rPr>
              <w:t>0.01mm</w:t>
            </w:r>
          </w:p>
          <w:p>
            <w:pPr>
              <w:pStyle w:val="null3"/>
              <w:jc w:val="both"/>
            </w:pPr>
            <w:r>
              <w:rPr>
                <w:sz w:val="21"/>
              </w:rPr>
              <w:t>3.6</w:t>
            </w:r>
            <w:r>
              <w:rPr>
                <w:sz w:val="21"/>
              </w:rPr>
              <w:t>中央角膜厚度：≤</w:t>
            </w:r>
            <w:r>
              <w:rPr>
                <w:sz w:val="21"/>
              </w:rPr>
              <w:t>1</w:t>
            </w:r>
            <w:r>
              <w:rPr>
                <w:sz w:val="21"/>
              </w:rPr>
              <w:t>μ</w:t>
            </w:r>
            <w:r>
              <w:rPr>
                <w:sz w:val="21"/>
              </w:rPr>
              <w:t>m</w:t>
            </w:r>
          </w:p>
          <w:p>
            <w:pPr>
              <w:pStyle w:val="null3"/>
              <w:jc w:val="both"/>
            </w:pPr>
            <w:r>
              <w:rPr>
                <w:sz w:val="21"/>
              </w:rPr>
              <w:t>3.7</w:t>
            </w:r>
            <w:r>
              <w:rPr>
                <w:sz w:val="21"/>
              </w:rPr>
              <w:t>瞳孔直径：≤</w:t>
            </w:r>
            <w:r>
              <w:rPr>
                <w:sz w:val="21"/>
              </w:rPr>
              <w:t>0.1mm</w:t>
            </w:r>
          </w:p>
          <w:p>
            <w:pPr>
              <w:pStyle w:val="null3"/>
              <w:jc w:val="both"/>
            </w:pPr>
            <w:r>
              <w:rPr>
                <w:sz w:val="21"/>
              </w:rPr>
              <w:t>4</w:t>
            </w:r>
            <w:r>
              <w:rPr>
                <w:sz w:val="21"/>
              </w:rPr>
              <w:t>、重复性</w:t>
            </w:r>
          </w:p>
          <w:p>
            <w:pPr>
              <w:pStyle w:val="null3"/>
              <w:jc w:val="both"/>
            </w:pPr>
            <w:r>
              <w:rPr>
                <w:sz w:val="21"/>
              </w:rPr>
              <w:t>▲</w:t>
            </w:r>
            <w:r>
              <w:rPr>
                <w:sz w:val="21"/>
              </w:rPr>
              <w:t>4.1</w:t>
            </w:r>
            <w:r>
              <w:rPr>
                <w:sz w:val="21"/>
              </w:rPr>
              <w:t>眼轴长度：≤</w:t>
            </w:r>
            <w:r>
              <w:rPr>
                <w:sz w:val="21"/>
              </w:rPr>
              <w:t>9</w:t>
            </w:r>
            <w:r>
              <w:rPr>
                <w:sz w:val="21"/>
              </w:rPr>
              <w:t>μ</w:t>
            </w:r>
            <w:r>
              <w:rPr>
                <w:sz w:val="21"/>
              </w:rPr>
              <w:t>m</w:t>
            </w:r>
          </w:p>
          <w:p>
            <w:pPr>
              <w:pStyle w:val="null3"/>
              <w:jc w:val="both"/>
            </w:pPr>
            <w:r>
              <w:rPr>
                <w:sz w:val="21"/>
              </w:rPr>
              <w:t>4.2</w:t>
            </w:r>
            <w:r>
              <w:rPr>
                <w:sz w:val="21"/>
              </w:rPr>
              <w:t>角膜曲率：≤</w:t>
            </w:r>
            <w:r>
              <w:rPr>
                <w:sz w:val="21"/>
              </w:rPr>
              <w:t>0.07D</w:t>
            </w:r>
            <w:r>
              <w:rPr>
                <w:sz w:val="21"/>
              </w:rPr>
              <w:t>，柱镜度数＞</w:t>
            </w:r>
            <w:r>
              <w:rPr>
                <w:sz w:val="21"/>
              </w:rPr>
              <w:t xml:space="preserve">0.75 D </w:t>
            </w:r>
            <w:r>
              <w:rPr>
                <w:sz w:val="21"/>
              </w:rPr>
              <w:t>轴向</w:t>
            </w:r>
            <w:r>
              <w:rPr>
                <w:sz w:val="21"/>
              </w:rPr>
              <w:t>4.5</w:t>
            </w:r>
            <w:r>
              <w:rPr>
                <w:sz w:val="21"/>
              </w:rPr>
              <w:t>°</w:t>
            </w:r>
          </w:p>
          <w:p>
            <w:pPr>
              <w:pStyle w:val="null3"/>
              <w:jc w:val="both"/>
            </w:pPr>
            <w:r>
              <w:rPr>
                <w:sz w:val="21"/>
              </w:rPr>
              <w:t>4.3</w:t>
            </w:r>
            <w:r>
              <w:rPr>
                <w:sz w:val="21"/>
              </w:rPr>
              <w:t>前房深度：≤</w:t>
            </w:r>
            <w:r>
              <w:rPr>
                <w:sz w:val="21"/>
              </w:rPr>
              <w:t>10</w:t>
            </w:r>
            <w:r>
              <w:rPr>
                <w:sz w:val="21"/>
              </w:rPr>
              <w:t>μ</w:t>
            </w:r>
            <w:r>
              <w:rPr>
                <w:sz w:val="21"/>
              </w:rPr>
              <w:t>m</w:t>
            </w:r>
          </w:p>
          <w:p>
            <w:pPr>
              <w:pStyle w:val="null3"/>
              <w:jc w:val="both"/>
            </w:pPr>
            <w:r>
              <w:rPr>
                <w:sz w:val="21"/>
              </w:rPr>
              <w:t>4.4</w:t>
            </w:r>
            <w:r>
              <w:rPr>
                <w:sz w:val="21"/>
              </w:rPr>
              <w:t>白</w:t>
            </w:r>
            <w:r>
              <w:rPr>
                <w:sz w:val="21"/>
              </w:rPr>
              <w:t>-</w:t>
            </w:r>
            <w:r>
              <w:rPr>
                <w:sz w:val="21"/>
              </w:rPr>
              <w:t>白角膜直径：≤</w:t>
            </w:r>
            <w:r>
              <w:rPr>
                <w:sz w:val="21"/>
              </w:rPr>
              <w:t>90</w:t>
            </w:r>
            <w:r>
              <w:rPr>
                <w:sz w:val="21"/>
              </w:rPr>
              <w:t>μ</w:t>
            </w:r>
            <w:r>
              <w:rPr>
                <w:sz w:val="21"/>
              </w:rPr>
              <w:t>m</w:t>
            </w:r>
          </w:p>
          <w:p>
            <w:pPr>
              <w:pStyle w:val="null3"/>
              <w:jc w:val="both"/>
            </w:pPr>
            <w:r>
              <w:rPr>
                <w:sz w:val="21"/>
              </w:rPr>
              <w:t>4.5</w:t>
            </w:r>
            <w:r>
              <w:rPr>
                <w:sz w:val="21"/>
              </w:rPr>
              <w:t>晶体厚度：≤</w:t>
            </w:r>
            <w:r>
              <w:rPr>
                <w:sz w:val="21"/>
              </w:rPr>
              <w:t>19</w:t>
            </w:r>
            <w:r>
              <w:rPr>
                <w:sz w:val="21"/>
              </w:rPr>
              <w:t>μ</w:t>
            </w:r>
            <w:r>
              <w:rPr>
                <w:sz w:val="21"/>
              </w:rPr>
              <w:t>m</w:t>
            </w:r>
          </w:p>
          <w:p>
            <w:pPr>
              <w:pStyle w:val="null3"/>
              <w:jc w:val="both"/>
            </w:pPr>
            <w:r>
              <w:rPr>
                <w:sz w:val="21"/>
              </w:rPr>
              <w:t>4.6</w:t>
            </w:r>
            <w:r>
              <w:rPr>
                <w:sz w:val="21"/>
              </w:rPr>
              <w:t>中央角膜厚度：≤</w:t>
            </w:r>
            <w:r>
              <w:rPr>
                <w:sz w:val="21"/>
              </w:rPr>
              <w:t>2</w:t>
            </w:r>
            <w:r>
              <w:rPr>
                <w:sz w:val="21"/>
              </w:rPr>
              <w:t>μ</w:t>
            </w:r>
            <w:r>
              <w:rPr>
                <w:sz w:val="21"/>
              </w:rPr>
              <w:t>m</w:t>
            </w:r>
          </w:p>
          <w:p>
            <w:pPr>
              <w:pStyle w:val="null3"/>
              <w:jc w:val="both"/>
            </w:pPr>
            <w:r>
              <w:rPr>
                <w:sz w:val="21"/>
              </w:rPr>
              <w:t>5</w:t>
            </w:r>
            <w:r>
              <w:rPr>
                <w:sz w:val="21"/>
              </w:rPr>
              <w:t>、测量原理</w:t>
            </w:r>
          </w:p>
          <w:p>
            <w:pPr>
              <w:pStyle w:val="null3"/>
              <w:jc w:val="both"/>
            </w:pPr>
            <w:r>
              <w:rPr>
                <w:sz w:val="21"/>
              </w:rPr>
              <w:t>▲</w:t>
            </w:r>
            <w:r>
              <w:rPr>
                <w:sz w:val="21"/>
              </w:rPr>
              <w:t>5.1</w:t>
            </w:r>
            <w:r>
              <w:rPr>
                <w:sz w:val="21"/>
              </w:rPr>
              <w:t>测量原理：扫频</w:t>
            </w:r>
            <w:r>
              <w:rPr>
                <w:sz w:val="21"/>
              </w:rPr>
              <w:t>OCT</w:t>
            </w:r>
            <w:r>
              <w:rPr>
                <w:sz w:val="21"/>
              </w:rPr>
              <w:t>测量技术</w:t>
            </w:r>
          </w:p>
          <w:p>
            <w:pPr>
              <w:pStyle w:val="null3"/>
              <w:jc w:val="both"/>
            </w:pPr>
            <w:r>
              <w:rPr>
                <w:sz w:val="21"/>
              </w:rPr>
              <w:t>▲</w:t>
            </w:r>
            <w:r>
              <w:rPr>
                <w:sz w:val="21"/>
              </w:rPr>
              <w:t>5.2</w:t>
            </w:r>
            <w:r>
              <w:rPr>
                <w:sz w:val="21"/>
              </w:rPr>
              <w:t>可视化测量，可呈现角膜顶点至视网膜层的</w:t>
            </w:r>
            <w:r>
              <w:rPr>
                <w:sz w:val="21"/>
              </w:rPr>
              <w:t>OCT</w:t>
            </w:r>
            <w:r>
              <w:rPr>
                <w:sz w:val="21"/>
              </w:rPr>
              <w:t>全程图像</w:t>
            </w:r>
          </w:p>
          <w:p>
            <w:pPr>
              <w:pStyle w:val="null3"/>
              <w:jc w:val="both"/>
            </w:pPr>
            <w:r>
              <w:rPr>
                <w:sz w:val="21"/>
              </w:rPr>
              <w:t>▲</w:t>
            </w:r>
            <w:r>
              <w:rPr>
                <w:sz w:val="21"/>
              </w:rPr>
              <w:t>5.3</w:t>
            </w:r>
            <w:r>
              <w:rPr>
                <w:sz w:val="21"/>
              </w:rPr>
              <w:t>固视确认功能，可显示眼底</w:t>
            </w:r>
            <w:r>
              <w:rPr>
                <w:sz w:val="21"/>
              </w:rPr>
              <w:t>OCT</w:t>
            </w:r>
            <w:r>
              <w:rPr>
                <w:sz w:val="21"/>
              </w:rPr>
              <w:t>影像，</w:t>
            </w:r>
            <w:r>
              <w:rPr>
                <w:sz w:val="21"/>
              </w:rPr>
              <w:t>100%</w:t>
            </w:r>
            <w:r>
              <w:rPr>
                <w:sz w:val="21"/>
              </w:rPr>
              <w:t>真视轴</w:t>
            </w:r>
          </w:p>
          <w:p>
            <w:pPr>
              <w:pStyle w:val="null3"/>
              <w:jc w:val="both"/>
            </w:pPr>
            <w:r>
              <w:rPr>
                <w:sz w:val="21"/>
              </w:rPr>
              <w:t>5.4</w:t>
            </w:r>
            <w:r>
              <w:rPr>
                <w:sz w:val="21"/>
              </w:rPr>
              <w:t>角膜曲率测量：远心光学技术</w:t>
            </w:r>
          </w:p>
          <w:p>
            <w:pPr>
              <w:pStyle w:val="null3"/>
              <w:jc w:val="both"/>
            </w:pPr>
            <w:r>
              <w:rPr>
                <w:sz w:val="21"/>
              </w:rPr>
              <w:t>5.4</w:t>
            </w:r>
            <w:r>
              <w:rPr>
                <w:sz w:val="21"/>
              </w:rPr>
              <w:t>测量方式：非接触式</w:t>
            </w:r>
          </w:p>
          <w:p>
            <w:pPr>
              <w:pStyle w:val="null3"/>
              <w:jc w:val="both"/>
            </w:pPr>
            <w:r>
              <w:rPr>
                <w:sz w:val="21"/>
              </w:rPr>
              <w:t>5.5</w:t>
            </w:r>
            <w:r>
              <w:rPr>
                <w:sz w:val="21"/>
              </w:rPr>
              <w:t>测量模式可自动</w:t>
            </w:r>
            <w:r>
              <w:rPr>
                <w:sz w:val="21"/>
              </w:rPr>
              <w:t>/</w:t>
            </w:r>
            <w:r>
              <w:rPr>
                <w:sz w:val="21"/>
              </w:rPr>
              <w:t>手动测量切换</w:t>
            </w:r>
          </w:p>
          <w:p>
            <w:pPr>
              <w:pStyle w:val="null3"/>
              <w:jc w:val="both"/>
            </w:pPr>
            <w:r>
              <w:rPr>
                <w:sz w:val="21"/>
              </w:rPr>
              <w:t>5.6</w:t>
            </w:r>
            <w:r>
              <w:rPr>
                <w:sz w:val="21"/>
              </w:rPr>
              <w:t>左右眼识别方式：自动识别</w:t>
            </w:r>
          </w:p>
          <w:p>
            <w:pPr>
              <w:pStyle w:val="null3"/>
              <w:jc w:val="both"/>
            </w:pPr>
            <w:r>
              <w:rPr>
                <w:sz w:val="21"/>
              </w:rPr>
              <w:t>5.7</w:t>
            </w:r>
            <w:r>
              <w:rPr>
                <w:sz w:val="21"/>
              </w:rPr>
              <w:t>可测眼睛：正常眼</w:t>
            </w:r>
            <w:r>
              <w:rPr>
                <w:sz w:val="21"/>
              </w:rPr>
              <w:t>,</w:t>
            </w:r>
            <w:r>
              <w:rPr>
                <w:sz w:val="21"/>
              </w:rPr>
              <w:t>硅油眼，无晶体眼和人工晶体眼</w:t>
            </w:r>
            <w:r>
              <w:rPr>
                <w:sz w:val="21"/>
              </w:rPr>
              <w:t>,</w:t>
            </w:r>
            <w:r>
              <w:rPr>
                <w:sz w:val="21"/>
              </w:rPr>
              <w:t>角膜屈光手术后眼，有晶体人工晶体眼</w:t>
            </w:r>
          </w:p>
          <w:p>
            <w:pPr>
              <w:pStyle w:val="null3"/>
              <w:jc w:val="both"/>
            </w:pPr>
            <w:r>
              <w:rPr>
                <w:sz w:val="21"/>
              </w:rPr>
              <w:t>6.</w:t>
            </w:r>
            <w:r>
              <w:rPr>
                <w:sz w:val="21"/>
              </w:rPr>
              <w:t>全内置第五代人工晶体计算公式：</w:t>
            </w:r>
          </w:p>
          <w:p>
            <w:pPr>
              <w:pStyle w:val="null3"/>
              <w:jc w:val="both"/>
            </w:pPr>
            <w:r>
              <w:rPr>
                <w:sz w:val="21"/>
              </w:rPr>
              <w:t>▲</w:t>
            </w:r>
            <w:r>
              <w:rPr>
                <w:sz w:val="21"/>
              </w:rPr>
              <w:t>6.1.Barrett Suite: Barrett Universal ll</w:t>
            </w:r>
            <w:r>
              <w:rPr>
                <w:sz w:val="21"/>
              </w:rPr>
              <w:t>、</w:t>
            </w:r>
            <w:r>
              <w:rPr>
                <w:sz w:val="21"/>
              </w:rPr>
              <w:t>Barrett TK Universal ll, Barrett Toric</w:t>
            </w:r>
            <w:r>
              <w:rPr>
                <w:sz w:val="21"/>
              </w:rPr>
              <w:t>、</w:t>
            </w:r>
            <w:r>
              <w:rPr>
                <w:sz w:val="21"/>
              </w:rPr>
              <w:t>Barrett Tk Toric, Barrett True K</w:t>
            </w:r>
          </w:p>
          <w:p>
            <w:pPr>
              <w:pStyle w:val="null3"/>
              <w:jc w:val="both"/>
            </w:pPr>
            <w:r>
              <w:rPr>
                <w:sz w:val="21"/>
              </w:rPr>
              <w:t>▲</w:t>
            </w:r>
            <w:r>
              <w:rPr>
                <w:sz w:val="21"/>
              </w:rPr>
              <w:t>6.2.Haigis Suite: Haigis, Haigis-L, Haigis-T Hoffer Q</w:t>
            </w:r>
            <w:r>
              <w:rPr>
                <w:sz w:val="21"/>
              </w:rPr>
              <w:t>、</w:t>
            </w:r>
            <w:r>
              <w:rPr>
                <w:sz w:val="21"/>
              </w:rPr>
              <w:t>Holladay 1 and 2</w:t>
            </w:r>
            <w:r>
              <w:rPr>
                <w:sz w:val="21"/>
              </w:rPr>
              <w:t>、</w:t>
            </w:r>
            <w:r>
              <w:rPr>
                <w:sz w:val="21"/>
              </w:rPr>
              <w:t>SRK/T</w:t>
            </w:r>
          </w:p>
          <w:p>
            <w:pPr>
              <w:pStyle w:val="null3"/>
              <w:jc w:val="both"/>
            </w:pPr>
            <w:r>
              <w:rPr>
                <w:sz w:val="21"/>
              </w:rPr>
              <w:t>▲</w:t>
            </w:r>
            <w:r>
              <w:rPr>
                <w:sz w:val="21"/>
              </w:rPr>
              <w:t xml:space="preserve">6.3 </w:t>
            </w:r>
            <w:r>
              <w:rPr>
                <w:sz w:val="21"/>
              </w:rPr>
              <w:t>散光晶体计算：具有</w:t>
            </w:r>
            <w:r>
              <w:rPr>
                <w:sz w:val="21"/>
              </w:rPr>
              <w:t>Haigis-T</w:t>
            </w:r>
            <w:r>
              <w:rPr>
                <w:sz w:val="21"/>
              </w:rPr>
              <w:t>公式法，可在测量机器上直接计算散光矫正型人工晶状体的球镜和柱镜度数</w:t>
            </w:r>
          </w:p>
          <w:p>
            <w:pPr>
              <w:pStyle w:val="null3"/>
              <w:jc w:val="both"/>
            </w:pPr>
            <w:r>
              <w:rPr>
                <w:sz w:val="21"/>
              </w:rPr>
              <w:t>6.4</w:t>
            </w:r>
            <w:r>
              <w:rPr>
                <w:sz w:val="21"/>
              </w:rPr>
              <w:t>有晶体眼人工晶体植入度数计算</w:t>
            </w:r>
          </w:p>
          <w:p>
            <w:pPr>
              <w:pStyle w:val="null3"/>
              <w:jc w:val="both"/>
            </w:pPr>
            <w:r>
              <w:rPr>
                <w:sz w:val="21"/>
              </w:rPr>
              <w:t>▲</w:t>
            </w:r>
            <w:r>
              <w:rPr>
                <w:sz w:val="21"/>
              </w:rPr>
              <w:t>6.5</w:t>
            </w:r>
            <w:r>
              <w:rPr>
                <w:sz w:val="21"/>
              </w:rPr>
              <w:t>专用光学人工晶体常数数据库，具有</w:t>
            </w:r>
            <w:r>
              <w:rPr>
                <w:sz w:val="21"/>
              </w:rPr>
              <w:t>300</w:t>
            </w:r>
            <w:r>
              <w:rPr>
                <w:sz w:val="21"/>
              </w:rPr>
              <w:t>款以上晶体光学</w:t>
            </w:r>
            <w:r>
              <w:rPr>
                <w:sz w:val="21"/>
              </w:rPr>
              <w:t>A</w:t>
            </w:r>
            <w:r>
              <w:rPr>
                <w:sz w:val="21"/>
              </w:rPr>
              <w:t>常数，保证各种人工晶体度数精确</w:t>
            </w:r>
          </w:p>
          <w:p>
            <w:pPr>
              <w:pStyle w:val="null3"/>
              <w:jc w:val="both"/>
            </w:pPr>
            <w:r>
              <w:rPr>
                <w:sz w:val="21"/>
              </w:rPr>
              <w:t>6.6</w:t>
            </w:r>
            <w:r>
              <w:rPr>
                <w:sz w:val="21"/>
              </w:rPr>
              <w:t>个性化光学人工晶体常数优化功能</w:t>
            </w:r>
          </w:p>
          <w:p>
            <w:pPr>
              <w:pStyle w:val="null3"/>
              <w:jc w:val="both"/>
            </w:pPr>
            <w:r>
              <w:rPr>
                <w:sz w:val="21"/>
              </w:rPr>
              <w:t>7</w:t>
            </w:r>
            <w:r>
              <w:rPr>
                <w:sz w:val="21"/>
              </w:rPr>
              <w:t>、数据传输</w:t>
            </w:r>
          </w:p>
          <w:p>
            <w:pPr>
              <w:pStyle w:val="null3"/>
              <w:jc w:val="both"/>
            </w:pPr>
            <w:r>
              <w:rPr>
                <w:sz w:val="21"/>
              </w:rPr>
              <w:t>7.1</w:t>
            </w:r>
            <w:r>
              <w:rPr>
                <w:sz w:val="21"/>
              </w:rPr>
              <w:t>可以传输至网络连接或者网络连接打印机</w:t>
            </w:r>
          </w:p>
          <w:p>
            <w:pPr>
              <w:pStyle w:val="null3"/>
              <w:jc w:val="both"/>
            </w:pPr>
            <w:r>
              <w:rPr>
                <w:sz w:val="21"/>
              </w:rPr>
              <w:t>8</w:t>
            </w:r>
            <w:r>
              <w:rPr>
                <w:sz w:val="21"/>
              </w:rPr>
              <w:t>、设备配置清单</w:t>
            </w:r>
          </w:p>
          <w:tbl>
            <w:tblPr>
              <w:tblInd w:type="dxa" w:w="120"/>
              <w:tblBorders>
                <w:top w:val="none" w:color="000000" w:sz="4"/>
                <w:left w:val="none" w:color="000000" w:sz="4"/>
                <w:bottom w:val="none" w:color="000000" w:sz="4"/>
                <w:right w:val="none" w:color="000000" w:sz="4"/>
                <w:insideH w:val="none"/>
                <w:insideV w:val="none"/>
              </w:tblBorders>
            </w:tblPr>
            <w:tblGrid>
              <w:gridCol w:w="753"/>
              <w:gridCol w:w="1634"/>
              <w:gridCol w:w="895"/>
              <w:gridCol w:w="767"/>
              <w:gridCol w:w="1549"/>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光学生物测量仪主机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电动升降台</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激光图文输出系统</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下巴托（电脑额托）</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采购包2（角膜地形图）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自合同签订之日起7天内安装通过验收并交付使用，至合同全部权利义务履行完毕之日止。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1期：支付比例100%,合同签订且设备安装验收合格后，采购人在收到发票后 10个工作日内完成支付。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在收到中标人项目验收建议之日起30个日内进行验收，验收合格后出具验收确认书，验收交付前的保管安全责任由中标人负责。中标人以采购人的名义作为终端客户，负责办理所有产品设备(包括保修卡)的一切保修注册备案手续。 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 3、如合同设备运输和安装调试过程中因事故造成货物的短缺、损坏，中标人应及时安排换装，以保证合同设备安装调试的成功完成。换货的相关费用由中标人承担。 4、所供产品均为近12个月内原厂制造的全新合格产品，且有合法透明的来源渠道，整机无污染、无侵权行为、表面无划损、无任何缺陷隐患，可依常规合法安全使用。如与上述要求不符的，采购人有权拒收。 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1、本包预算金额为¥640,000.00元，报价总价不得超出投标最高限价¥640,000.00元，否则该投标文件为无效标。 2、本项目的报价和结算支付均以人民币为货币单位。 3、投标人报价应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 4、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1、货物的包装均应有良好的防湿、防锈、防潮、防雨、防腐及防碰撞的措施。凡由于包装不良造成的损失和由此产生的费用均由中标人承担。 2、中标人负责合同项下的安装调试，一切费用由中标人负责。 3、中标人必须依照采购文件的要求和报价文件的承诺，将货物安装并调试至正常运行的最佳状态且双方均认为满意。 4、中标人安装时须对各安装场地内的其他设备、设施有良好保护措施。 5、设备验收交付前的保管安全责任由中标人负责。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1、质保期不少于3年，质保期从验收合格之日起计算。</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3、质保期内提供周期上门服务：中标人须在设备验收后，每三个月例行上门检测设备运行状态，维保记录（含服务现场图片）或检测报告留科室及医学装备科备案。 4、中标人或原厂售后服务商（以下统称“售后服务机构”）提供长期稳定可靠的售后服务。有固定售后服务点，并提供常设服务专线和长期的技术支持，需提供固定售后服务点的详细资料。 故障报修响应时间：用户故障报修24小时内响应。提供24小时的热线支持、厂家联系人及电话及本项目供应商联系人及电话，在设备发生故障时，技术人员应4小时内到达现场解决故障。 5、若主要设备的故障在48小时内仍未处理完毕，中标人必须提供不低于相同等级的设备予采购人临时使用或采取应急措施解决，不得影响采购人的正常工作业务。 6、质保期内，产品维修均为上门服务，即由中标人派人员到采购人设备使用现场维修，由此产生的费用均由中标人负担。</w:t>
            </w:r>
          </w:p>
        </w:tc>
      </w:tr>
      <w:tr>
        <w:tc>
          <w:tcPr>
            <w:tcW w:type="dxa" w:w="2076"/>
          </w:tcP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1、为使设备的正常使用，提供两个或以上的培训名额。2、中标人应为采购人的医护人员或技术人员提供操作及维护培训，所需费用由中标人负责。培训主要内容为设备的基本结构、性能、主要部件的构造及原理，日常使用操作、保养与管理，常见故障的排除，紧急情况的处理等，培训地点主要在设备安装现场或者由采购人及中标人双方协商安排。</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中标人保证合同项下提供的产品不侵犯任何第三方的专利、商标或版权等知识产权。否则，中标人须承担对第三方的专利或第三方的专利或版权等知识产权的侵权责任并承担由此而发生的所有费用。依据相关法律法规规定，采购人中标人双方应相互尊重双方及第三方的知识产权、数据信息所有权等权利，双方均对本项目所涉及的知识产权、数据信息有不泄露义务；双方均不得向任何第三方泄露各自从合作方获得的数据、信息等资料；双方均享有因数据、信息泄露给对方造成损失时，获得赔偿的权利。</w:t>
            </w:r>
          </w:p>
        </w:tc>
      </w:tr>
      <w:tr>
        <w:tc>
          <w:tcPr>
            <w:tcW w:type="dxa" w:w="2076"/>
          </w:tcP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医疗器械产品规定</w:t>
            </w:r>
          </w:p>
        </w:tc>
        <w:tc>
          <w:tcPr>
            <w:tcW w:type="dxa" w:w="2076"/>
          </w:tcPr>
          <w:p>
            <w:pPr>
              <w:pStyle w:val="null3"/>
              <w:jc w:val="left"/>
            </w:pPr>
            <w:r>
              <w:rPr/>
              <w:t>1、提供的医疗器械必须为已注册的医疗器械产品。(投标时提供医疗器械注册证扫描件)【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15日以上，采购人有权终止合同，由此造成采购人的经济损失由乙方承担。违约金不足以弥补损失的，中标人应按全额赔偿。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11</w:t>
            </w:r>
          </w:p>
        </w:tc>
        <w:tc>
          <w:tcPr>
            <w:tcW w:type="dxa" w:w="2076"/>
          </w:tcPr>
          <w:p>
            <w:pPr>
              <w:pStyle w:val="null3"/>
              <w:jc w:val="left"/>
            </w:pPr>
            <w:r>
              <w:rPr/>
              <w:t>其他</w:t>
            </w:r>
          </w:p>
        </w:tc>
        <w:tc>
          <w:tcPr>
            <w:tcW w:type="dxa" w:w="2076"/>
          </w:tcPr>
          <w:p>
            <w:pPr>
              <w:pStyle w:val="null3"/>
              <w:jc w:val="left"/>
            </w:pPr>
            <w:r>
              <w:rPr/>
              <w:t>为保证供货如期实施，投标人应在投标时制定项目实施方案及具体措施、安装调试及试运行方案；培训方案；售后服务方案等内容。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角膜地形图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角膜地形图</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技术参数</w:t>
            </w:r>
          </w:p>
          <w:p>
            <w:pPr>
              <w:pStyle w:val="null3"/>
              <w:jc w:val="both"/>
            </w:pPr>
            <w:r>
              <w:rPr/>
              <w:t>1</w:t>
            </w:r>
            <w:r>
              <w:rPr/>
              <w:t>、具有角膜前后表面切向曲率图</w:t>
            </w:r>
            <w:r>
              <w:rPr/>
              <w:t>/</w:t>
            </w:r>
            <w:r>
              <w:rPr/>
              <w:t>前后表面轴向曲率图</w:t>
            </w:r>
            <w:r>
              <w:rPr/>
              <w:t>/</w:t>
            </w:r>
            <w:r>
              <w:rPr/>
              <w:t>前后表面高斯曲率图</w:t>
            </w:r>
            <w:r>
              <w:rPr/>
              <w:t>/</w:t>
            </w:r>
            <w:r>
              <w:rPr/>
              <w:t>前后表面高度图</w:t>
            </w:r>
            <w:r>
              <w:rPr/>
              <w:t>/</w:t>
            </w:r>
            <w:r>
              <w:rPr/>
              <w:t>前后表面屈光力图</w:t>
            </w:r>
            <w:r>
              <w:rPr/>
              <w:t>/</w:t>
            </w:r>
            <w:r>
              <w:rPr/>
              <w:t>角膜厚度分布图</w:t>
            </w:r>
            <w:r>
              <w:rPr/>
              <w:t>/</w:t>
            </w:r>
            <w:r>
              <w:rPr/>
              <w:t>前房深度图等地形图功能</w:t>
            </w:r>
          </w:p>
          <w:p>
            <w:pPr>
              <w:pStyle w:val="null3"/>
              <w:jc w:val="both"/>
            </w:pPr>
            <w:r>
              <w:rPr/>
              <w:t>▲2</w:t>
            </w:r>
            <w:r>
              <w:rPr/>
              <w:t>、地形图测量点数：前后表面测量点数</w:t>
            </w:r>
            <w:r>
              <w:rPr/>
              <w:t>≥290000</w:t>
            </w:r>
            <w:r>
              <w:rPr/>
              <w:t>个</w:t>
            </w:r>
          </w:p>
          <w:p>
            <w:pPr>
              <w:pStyle w:val="null3"/>
              <w:jc w:val="both"/>
            </w:pPr>
            <w:r>
              <w:rPr/>
              <w:t>3</w:t>
            </w:r>
            <w:r>
              <w:rPr/>
              <w:t>、个性化报告打印：可任选四张或多张地形图报告打印，提供对比图差值图</w:t>
            </w:r>
          </w:p>
          <w:p>
            <w:pPr>
              <w:pStyle w:val="null3"/>
              <w:jc w:val="both"/>
            </w:pPr>
            <w:r>
              <w:rPr/>
              <w:t>4</w:t>
            </w:r>
            <w:r>
              <w:rPr/>
              <w:t>、具有采集引导功能</w:t>
            </w:r>
            <w:r>
              <w:rPr/>
              <w:t>,</w:t>
            </w:r>
            <w:r>
              <w:rPr/>
              <w:t>并通过质量监控提示数据的可靠性</w:t>
            </w:r>
          </w:p>
          <w:p>
            <w:pPr>
              <w:pStyle w:val="null3"/>
              <w:jc w:val="both"/>
            </w:pPr>
            <w:r>
              <w:rPr/>
              <w:t>▲5</w:t>
            </w:r>
            <w:r>
              <w:rPr/>
              <w:t>、早期圆锥角膜分析筛查，可将角膜分为：正常角膜，临界（疑似圆锥），圆锥角膜，近视术后，其他</w:t>
            </w:r>
          </w:p>
          <w:p>
            <w:pPr>
              <w:pStyle w:val="null3"/>
              <w:jc w:val="both"/>
            </w:pPr>
            <w:r>
              <w:rPr/>
              <w:t>6</w:t>
            </w:r>
            <w:r>
              <w:rPr/>
              <w:t>、疑似圆锥角膜</w:t>
            </w:r>
            <w:r>
              <w:rPr/>
              <w:t>△Z</w:t>
            </w:r>
            <w:r>
              <w:rPr/>
              <w:t>值的分析软件及定量确定圆锥角膜位置、面积及大小</w:t>
            </w:r>
          </w:p>
          <w:p>
            <w:pPr>
              <w:pStyle w:val="null3"/>
              <w:jc w:val="both"/>
            </w:pPr>
            <w:r>
              <w:rPr/>
              <w:t>7</w:t>
            </w:r>
            <w:r>
              <w:rPr/>
              <w:t>、角膜厚度变化率趋势图和角膜厚度空间分布图</w:t>
            </w:r>
          </w:p>
          <w:p>
            <w:pPr>
              <w:pStyle w:val="null3"/>
              <w:jc w:val="both"/>
            </w:pPr>
            <w:r>
              <w:rPr/>
              <w:t>8</w:t>
            </w:r>
            <w:r>
              <w:rPr/>
              <w:t>、全角膜厚度测量（自动显示中央角膜和最薄点角膜厚度及位置）。</w:t>
            </w:r>
          </w:p>
          <w:p>
            <w:pPr>
              <w:pStyle w:val="null3"/>
              <w:jc w:val="both"/>
            </w:pPr>
            <w:r>
              <w:rPr/>
              <w:t>9</w:t>
            </w:r>
            <w:r>
              <w:rPr/>
              <w:t>、具有圆锥角膜及干眼检查随访功能</w:t>
            </w:r>
          </w:p>
          <w:p>
            <w:pPr>
              <w:pStyle w:val="null3"/>
              <w:jc w:val="both"/>
            </w:pPr>
            <w:r>
              <w:rPr/>
              <w:t>▲10</w:t>
            </w:r>
            <w:r>
              <w:rPr/>
              <w:t>、不同光线下的瞳孔直径测量及瞳孔中心位置的测量</w:t>
            </w:r>
          </w:p>
          <w:p>
            <w:pPr>
              <w:pStyle w:val="null3"/>
              <w:jc w:val="both"/>
            </w:pPr>
            <w:r>
              <w:rPr/>
              <w:t>11</w:t>
            </w:r>
            <w:r>
              <w:rPr/>
              <w:t>、提供</w:t>
            </w:r>
            <w:r>
              <w:rPr/>
              <w:t>kappa</w:t>
            </w:r>
            <w:r>
              <w:rPr/>
              <w:t>角</w:t>
            </w:r>
            <w:r>
              <w:rPr/>
              <w:t>,alpha</w:t>
            </w:r>
            <w:r>
              <w:rPr/>
              <w:t>角，明暗瞳孔直径，球差，慧差，高阶像差等数据，辅助白内障晶体优选</w:t>
            </w:r>
          </w:p>
          <w:p>
            <w:pPr>
              <w:pStyle w:val="null3"/>
              <w:jc w:val="both"/>
            </w:pPr>
            <w:r>
              <w:rPr/>
              <w:t>12</w:t>
            </w:r>
            <w:r>
              <w:rPr/>
              <w:t>、提供全角膜散光、轴位及平均屈光力，指导</w:t>
            </w:r>
            <w:r>
              <w:rPr/>
              <w:t>Toric</w:t>
            </w:r>
            <w:r>
              <w:rPr/>
              <w:t>晶体的植入</w:t>
            </w:r>
          </w:p>
          <w:p>
            <w:pPr>
              <w:pStyle w:val="null3"/>
              <w:jc w:val="both"/>
            </w:pPr>
            <w:r>
              <w:rPr/>
              <w:t>13</w:t>
            </w:r>
            <w:r>
              <w:rPr/>
              <w:t>、视觉质量分析功能，具有对比敏感度、点扩散函数、调制解调函数等</w:t>
            </w:r>
          </w:p>
          <w:p>
            <w:pPr>
              <w:pStyle w:val="null3"/>
              <w:jc w:val="both"/>
            </w:pPr>
            <w:r>
              <w:rPr/>
              <w:t>14</w:t>
            </w:r>
            <w:r>
              <w:rPr/>
              <w:t>、青光眼分析筛查功能，具有房角角度、前房容积及深度等测量功能，并提供</w:t>
            </w:r>
            <w:r>
              <w:rPr/>
              <w:t>5</w:t>
            </w:r>
            <w:r>
              <w:rPr/>
              <w:t>种校准眼内压公式（</w:t>
            </w:r>
            <w:r>
              <w:rPr/>
              <w:t>Ehlers</w:t>
            </w:r>
            <w:r>
              <w:rPr/>
              <w:t>、</w:t>
            </w:r>
            <w:r>
              <w:rPr/>
              <w:t>Shah</w:t>
            </w:r>
            <w:r>
              <w:rPr/>
              <w:t>、</w:t>
            </w:r>
            <w:r>
              <w:rPr/>
              <w:t>Dresdner</w:t>
            </w:r>
            <w:r>
              <w:rPr/>
              <w:t>、</w:t>
            </w:r>
            <w:r>
              <w:rPr/>
              <w:t>Orssengo/Pye</w:t>
            </w:r>
            <w:r>
              <w:rPr/>
              <w:t>、</w:t>
            </w:r>
            <w:r>
              <w:rPr/>
              <w:t>Kohlhaas</w:t>
            </w:r>
            <w:r>
              <w:rPr/>
              <w:t>）</w:t>
            </w:r>
          </w:p>
          <w:p>
            <w:pPr>
              <w:pStyle w:val="null3"/>
              <w:jc w:val="both"/>
            </w:pPr>
            <w:r>
              <w:rPr/>
              <w:t>15</w:t>
            </w:r>
            <w:r>
              <w:rPr/>
              <w:t>、角膜接触镜的适配及分析功能</w:t>
            </w:r>
          </w:p>
          <w:p>
            <w:pPr>
              <w:pStyle w:val="null3"/>
              <w:jc w:val="both"/>
            </w:pPr>
            <w:r>
              <w:rPr/>
              <w:t>▲16</w:t>
            </w:r>
            <w:r>
              <w:rPr/>
              <w:t>、地形图数据采集方式：大</w:t>
            </w:r>
            <w:r>
              <w:rPr/>
              <w:t>Placido</w:t>
            </w:r>
            <w:r>
              <w:rPr/>
              <w:t>盘投影结合</w:t>
            </w:r>
            <w:r>
              <w:rPr/>
              <w:t>Scheimpflug</w:t>
            </w:r>
            <w:r>
              <w:rPr/>
              <w:t>相机旋转拍摄</w:t>
            </w:r>
          </w:p>
          <w:p>
            <w:pPr>
              <w:pStyle w:val="null3"/>
              <w:jc w:val="both"/>
            </w:pPr>
            <w:r>
              <w:rPr/>
              <w:t>17</w:t>
            </w:r>
            <w:r>
              <w:rPr/>
              <w:t>、</w:t>
            </w:r>
            <w:r>
              <w:rPr/>
              <w:t>Placido</w:t>
            </w:r>
            <w:r>
              <w:rPr/>
              <w:t>盘测量环数：</w:t>
            </w:r>
            <w:r>
              <w:rPr/>
              <w:t>≥22</w:t>
            </w:r>
            <w:r>
              <w:rPr/>
              <w:t>环</w:t>
            </w:r>
          </w:p>
          <w:p>
            <w:pPr>
              <w:pStyle w:val="null3"/>
              <w:jc w:val="both"/>
            </w:pPr>
            <w:r>
              <w:rPr/>
              <w:t>18</w:t>
            </w:r>
            <w:r>
              <w:rPr/>
              <w:t>、工作距离：</w:t>
            </w:r>
            <w:r>
              <w:rPr/>
              <w:t>≥74mm</w:t>
            </w:r>
          </w:p>
          <w:p>
            <w:pPr>
              <w:pStyle w:val="null3"/>
              <w:jc w:val="both"/>
            </w:pPr>
            <w:r>
              <w:rPr/>
              <w:t>19</w:t>
            </w:r>
            <w:r>
              <w:rPr/>
              <w:t>、光源：</w:t>
            </w:r>
          </w:p>
          <w:p>
            <w:pPr>
              <w:pStyle w:val="null3"/>
              <w:jc w:val="both"/>
            </w:pPr>
            <w:r>
              <w:rPr/>
              <w:t xml:space="preserve">19.1 Placido </w:t>
            </w:r>
            <w:r>
              <w:rPr/>
              <w:t xml:space="preserve">盘 </w:t>
            </w:r>
            <w:r>
              <w:rPr/>
              <w:t>LED @400-700nm</w:t>
            </w:r>
          </w:p>
          <w:p>
            <w:pPr>
              <w:pStyle w:val="null3"/>
              <w:jc w:val="both"/>
            </w:pPr>
            <w:r>
              <w:rPr/>
              <w:t>19.2 Scheimpflug LED</w:t>
            </w:r>
            <w:r>
              <w:rPr/>
              <w:t>（</w:t>
            </w:r>
            <w:r>
              <w:rPr/>
              <w:t>475nm</w:t>
            </w:r>
            <w:r>
              <w:rPr/>
              <w:t>，</w:t>
            </w:r>
            <w:r>
              <w:rPr/>
              <w:t>UV-free</w:t>
            </w:r>
            <w:r>
              <w:rPr/>
              <w:t>）</w:t>
            </w:r>
          </w:p>
          <w:p>
            <w:pPr>
              <w:pStyle w:val="null3"/>
              <w:jc w:val="both"/>
            </w:pPr>
            <w:r>
              <w:rPr/>
              <w:t>20</w:t>
            </w:r>
            <w:r>
              <w:rPr/>
              <w:t>、角膜地形图覆盖范围：</w:t>
            </w:r>
            <w:r>
              <w:rPr/>
              <w:t>12mm</w:t>
            </w:r>
          </w:p>
          <w:p>
            <w:pPr>
              <w:pStyle w:val="null3"/>
              <w:jc w:val="both"/>
            </w:pPr>
            <w:r>
              <w:rPr/>
              <w:t>21</w:t>
            </w:r>
            <w:r>
              <w:rPr/>
              <w:t>、屈光度测量范围：</w:t>
            </w:r>
            <w:r>
              <w:rPr/>
              <w:t>1—100D</w:t>
            </w:r>
          </w:p>
          <w:p>
            <w:pPr>
              <w:pStyle w:val="null3"/>
              <w:jc w:val="both"/>
            </w:pPr>
            <w:r>
              <w:rPr/>
              <w:t>22</w:t>
            </w:r>
            <w:r>
              <w:rPr/>
              <w:t>、通过视频记录功能，软件自动分析泪膜破裂时间即</w:t>
            </w:r>
            <w:r>
              <w:rPr/>
              <w:t>BUT</w:t>
            </w:r>
          </w:p>
          <w:p>
            <w:pPr>
              <w:pStyle w:val="null3"/>
              <w:jc w:val="both"/>
            </w:pPr>
            <w:r>
              <w:rPr/>
              <w:t>23</w:t>
            </w:r>
            <w:r>
              <w:rPr/>
              <w:t>、可使用红外透射技术采集睑板腺图像，使用工具画出睑板腺轮廓后，仪器会自动对其量化分析，且对结果自动进行</w:t>
            </w:r>
            <w:r>
              <w:rPr/>
              <w:t>Class</w:t>
            </w:r>
            <w:r>
              <w:rPr/>
              <w:t>分级</w:t>
            </w:r>
          </w:p>
          <w:p>
            <w:pPr>
              <w:pStyle w:val="null3"/>
              <w:jc w:val="both"/>
            </w:pPr>
            <w:r>
              <w:rPr/>
              <w:t>24</w:t>
            </w:r>
            <w:r>
              <w:rPr/>
              <w:t>、根据临床需求，睑板腺功能障碍的</w:t>
            </w:r>
            <w:r>
              <w:rPr/>
              <w:t>Class</w:t>
            </w:r>
            <w:r>
              <w:rPr/>
              <w:t>分级共分为</w:t>
            </w:r>
            <w:r>
              <w:rPr/>
              <w:t>5</w:t>
            </w:r>
            <w:r>
              <w:rPr/>
              <w:t>个等级，分别为</w:t>
            </w:r>
            <w:r>
              <w:rPr/>
              <w:t>0</w:t>
            </w:r>
            <w:r>
              <w:rPr/>
              <w:t>，</w:t>
            </w:r>
            <w:r>
              <w:rPr/>
              <w:t>1</w:t>
            </w:r>
            <w:r>
              <w:rPr/>
              <w:t>，</w:t>
            </w:r>
            <w:r>
              <w:rPr/>
              <w:t>2</w:t>
            </w:r>
            <w:r>
              <w:rPr/>
              <w:t>，</w:t>
            </w:r>
            <w:r>
              <w:rPr/>
              <w:t>3</w:t>
            </w:r>
            <w:r>
              <w:rPr/>
              <w:t>，</w:t>
            </w:r>
            <w:r>
              <w:rPr/>
              <w:t>4</w:t>
            </w:r>
            <w:r>
              <w:rPr/>
              <w:t>级</w:t>
            </w:r>
          </w:p>
          <w:p>
            <w:pPr>
              <w:pStyle w:val="null3"/>
              <w:jc w:val="both"/>
            </w:pPr>
            <w:r>
              <w:rPr/>
              <w:t>25</w:t>
            </w:r>
            <w:r>
              <w:rPr/>
              <w:t>、结膜和角膜缘充血拍摄分析</w:t>
            </w:r>
          </w:p>
          <w:p>
            <w:pPr>
              <w:pStyle w:val="null3"/>
              <w:jc w:val="both"/>
            </w:pPr>
            <w:r>
              <w:rPr/>
              <w:t>26</w:t>
            </w:r>
            <w:r>
              <w:rPr/>
              <w:t>、脂质层拍摄分析功能</w:t>
            </w:r>
          </w:p>
          <w:p>
            <w:pPr>
              <w:pStyle w:val="null3"/>
              <w:jc w:val="both"/>
            </w:pPr>
            <w:r>
              <w:rPr/>
              <w:t>▲27</w:t>
            </w:r>
            <w:r>
              <w:rPr/>
              <w:t>、提供</w:t>
            </w:r>
            <w:r>
              <w:rPr/>
              <w:t>OSDI</w:t>
            </w:r>
            <w:r>
              <w:rPr/>
              <w:t>评分表及完整的干眼综合报告</w:t>
            </w:r>
          </w:p>
          <w:p>
            <w:pPr>
              <w:pStyle w:val="null3"/>
              <w:jc w:val="both"/>
            </w:pPr>
            <w:r>
              <w:rPr/>
              <w:t>28</w:t>
            </w:r>
            <w:r>
              <w:rPr/>
              <w:t>、荧光模式拍摄，并提供黄色滤光镜头</w:t>
            </w:r>
          </w:p>
          <w:p>
            <w:pPr>
              <w:pStyle w:val="null3"/>
              <w:jc w:val="both"/>
            </w:pPr>
            <w:r>
              <w:rPr/>
              <w:t>▲29</w:t>
            </w:r>
            <w:r>
              <w:rPr/>
              <w:t>、具有扩展性：可与其他检查设备联机（如数码裂隙灯、眼底相机）共享数据库，联机使用</w:t>
            </w:r>
          </w:p>
          <w:p>
            <w:pPr>
              <w:pStyle w:val="null3"/>
              <w:jc w:val="both"/>
            </w:pPr>
            <w:r>
              <w:rPr/>
              <w:t>30</w:t>
            </w:r>
            <w:r>
              <w:rPr/>
              <w:t>、计算人工晶体度数功能</w:t>
            </w:r>
          </w:p>
          <w:p>
            <w:pPr>
              <w:pStyle w:val="null3"/>
              <w:jc w:val="both"/>
            </w:pPr>
            <w:r>
              <w:rPr/>
              <w:t>31</w:t>
            </w:r>
            <w:r>
              <w:rPr/>
              <w:t>、设备配置清单</w:t>
            </w:r>
          </w:p>
          <w:tbl>
            <w:tblPr>
              <w:tblInd w:type="dxa" w:w="120"/>
              <w:tblBorders>
                <w:top w:val="none" w:color="000000" w:sz="4"/>
                <w:left w:val="none" w:color="000000" w:sz="4"/>
                <w:bottom w:val="none" w:color="000000" w:sz="4"/>
                <w:right w:val="none" w:color="000000" w:sz="4"/>
                <w:insideH w:val="none"/>
                <w:insideV w:val="none"/>
              </w:tblBorders>
            </w:tblPr>
            <w:tblGrid>
              <w:gridCol w:w="625"/>
              <w:gridCol w:w="1012"/>
              <w:gridCol w:w="610"/>
              <w:gridCol w:w="595"/>
              <w:gridCol w:w="2709"/>
            </w:tblGrid>
            <w:tr>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额托支架（含手柄）</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w:t>
                  </w:r>
                  <w:r>
                    <w:rPr>
                      <w:sz w:val="21"/>
                    </w:rPr>
                    <w:t>/</w:t>
                  </w:r>
                  <w:r>
                    <w:rPr>
                      <w:sz w:val="21"/>
                    </w:rPr>
                    <w:t>导轨罩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额托纸</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防尘罩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增强镜头</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操作说明</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Phoenix</w:t>
                  </w:r>
                  <w:r>
                    <w:rPr>
                      <w:sz w:val="21"/>
                    </w:rPr>
                    <w:t>软件</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软件配置</w:t>
                  </w:r>
                </w:p>
                <w:p>
                  <w:pPr>
                    <w:pStyle w:val="null3"/>
                    <w:jc w:val="center"/>
                  </w:p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膜地形图分析功能、动静态瞳孔计功能、角膜镜拍摄分析功能、泪膜破裂分析功能、睑板腺拍摄分析功能、眼前节断层图拍摄功能、智能圆锥角筛查功能、波前像差分析功能、视觉质量分析功能、青光眼分析及眼压校正功能、基质环植入分析功能、角膜接触镜适配功能、圆锥角膜随访功能、泪河高度测量分析功能、眼红分析功能干眼综合报告、白内障</w:t>
                  </w:r>
                  <w:r>
                    <w:rPr>
                      <w:sz w:val="21"/>
                    </w:rPr>
                    <w:t>IOL</w:t>
                  </w:r>
                  <w:r>
                    <w:rPr>
                      <w:sz w:val="21"/>
                    </w:rPr>
                    <w:t>计算软件。</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图文工作站</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激光图文输出系统</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电动升降台</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佛山市南海区第四人民医院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 。 招标代理服务费收费采用差额定率累进法计算方式。按中华人民共和国国家发展计划委员会颁发的计价格[2002]1980号、国家发改办[2003]857号及发改价格〔2011〕534号文规定的“货物类”计算。实际缴纳招标代理服务费=计算得出的招标代理服务费×65%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采购包1(光学生物测量仪)：综合评分法,是指投标文件满足招标文件全部实质性要求，且按照评审因素的量化指标评审得分最高的投标人为中标候选人的评标方法。（最低报价不是中标的唯一依据。）</w:t>
      </w:r>
    </w:p>
    <w:p>
      <w:pPr>
        <w:pStyle w:val="null3"/>
      </w:pPr>
      <w:r>
        <w:rPr/>
        <w:t>采购包2(角膜地形图)：综合评分法,是指投标文件满足招标文件全部实质性要求，且按照评审因素的量化指标评审得分最高的投标人为中标候选人的评标方法。（最低报价不是中标的唯一依据。）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采购包1（光学生物测量仪）：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评标价格＝投标总价-小型和微型企业产品的价格×10％ 注：投标人认为符合《政府采购促进中小企业发展管理办法》、《三部门联合发布关于促进残疾人就业政府采购政策的通知》及《关于政府采购支持监狱企业发展有关问题的通知》中规定的，按所属类型提供相对应的资料，不提供或不满足要求的，不享受政策。投标人不重复享受政策。投标人认为不符合的，投标文件格式中相关格式可无需填写。其评标价格即为投标总价。</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采购包2（角膜地形图）：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评标价格＝投标总价-小型和微型企业产品的价格×10％ 注：投标人认为符合《政府采购促进中小企业发展管理办法》、《三部门联合发布关于促进残疾人就业政府采购政策的通知》及《关于政府采购支持监狱企业发展有关问题的通知》中规定的，按所属类型提供相对应的资料，不提供或不满足要求的，不享受政策。投标人不重复享受政策。投标人认为不符合的，投标文件格式中相关格式可无需填写。其评标价格即为投标总价。</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采购包1（光学生物测量仪）：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医疗器械产品规定</w:t>
            </w:r>
          </w:p>
        </w:tc>
        <w:tc>
          <w:tcPr>
            <w:tcW w:type="dxa" w:w="4238"/>
          </w:tcPr>
          <w:p>
            <w:pPr>
              <w:pStyle w:val="null3"/>
            </w:pPr>
            <w:r>
              <w:rPr/>
              <w:t>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本采购包不属于专门面向中小企业采购</w:t>
            </w:r>
          </w:p>
        </w:tc>
        <w:tc>
          <w:tcPr>
            <w:tcW w:type="dxa" w:w="4238"/>
          </w:tcPr>
          <w:p>
            <w:pPr>
              <w:pStyle w:val="null3"/>
            </w:pP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pPr>
      <w:r>
        <w:rPr/>
        <w:t>采购包2（角膜地形图）：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医疗器械产品规定</w:t>
            </w:r>
          </w:p>
        </w:tc>
        <w:tc>
          <w:tcPr>
            <w:tcW w:type="dxa" w:w="4238"/>
          </w:tcPr>
          <w:p>
            <w:pPr>
              <w:pStyle w:val="null3"/>
            </w:pPr>
            <w:r>
              <w:rPr/>
              <w:t>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本采购包不属于专门面向中小企业采购</w:t>
            </w:r>
          </w:p>
        </w:tc>
        <w:tc>
          <w:tcPr>
            <w:tcW w:type="dxa" w:w="4238"/>
          </w:tcPr>
          <w:p>
            <w:pPr>
              <w:pStyle w:val="null3"/>
            </w:pP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ind w:firstLine="480"/>
      </w:pPr>
      <w:r>
        <w:rPr/>
        <w:t>表二符合性审查表：</w:t>
      </w:r>
    </w:p>
    <w:p>
      <w:pPr>
        <w:pStyle w:val="null3"/>
      </w:pPr>
      <w:r>
        <w:rPr/>
        <w:t>采购包1（光学生物测量仪）：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pPr>
      <w:r>
        <w:rPr/>
        <w:t>采购包2（角膜地形图）：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采购包1(光学生物测量仪):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(9.0分)</w:t>
            </w:r>
          </w:p>
        </w:tc>
        <w:tc>
          <w:tcPr>
            <w:tcW w:type="dxa" w:w="5076"/>
          </w:tcPr>
          <w:p>
            <w:pPr>
              <w:pStyle w:val="null3"/>
              <w:jc w:val="left"/>
            </w:pPr>
            <w:r>
              <w:rPr/>
              <w:t>对“第二章 采购需求”的“二、光学生物测量仪参数及配置”中所有带“▲”的条款（共9项）的响应情况进行评审：每满足或正偏离一项的得1分，满分9分。 注：（1）以最细一级条款作为单项条款，含有下一级条款且本身仅作为标题的不计入条款数量。（2）投标人应在《技术和服务要求响应表》中按表格要求如实填写响应/偏离情况。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则提供投标产品彩页或产品使用说明书或厂家公开发布的印刷资料作为技术证明文件，并标记出参数所在位置，未提供上述技术证明文件的视为不响应，不得分（如相关技术证明文件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一般技术要求响应程度 (16.0分)</w:t>
            </w:r>
          </w:p>
        </w:tc>
        <w:tc>
          <w:tcPr>
            <w:tcW w:type="dxa" w:w="5076"/>
          </w:tcPr>
          <w:p>
            <w:pPr>
              <w:pStyle w:val="null3"/>
              <w:jc w:val="left"/>
            </w:pPr>
            <w:r>
              <w:rPr/>
              <w:t>对“第二章 采购需求”的“二、光学生物测量仪参数及配置 （二）具体参数”中所有不带“▲”的条款（共32项）的响应情况进行评审：每满足或正偏离一项的得0.5分，满分16分。 注：（1）以最细一级条款作为单项条款，含有下一级条款且本身仅作为标题的不计入条款数量，“配置清单”合计为1项。（2）投标人应在《技术和服务要求响应表》中按表格要求如实填写响应/偏离情况。 投标人应清晰标记反映响应的技术参数内容在证明材料中的位置。（3）未按要求提供相关材料或无法凭所提供资料判断是否得分的或证明材料不清晰导致无法识别的，均不得分。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(9.0分)</w:t>
            </w:r>
          </w:p>
        </w:tc>
        <w:tc>
          <w:tcPr>
            <w:tcW w:type="dxa" w:w="5076"/>
          </w:tcPr>
          <w:p>
            <w:pPr>
              <w:pStyle w:val="null3"/>
              <w:jc w:val="left"/>
            </w:pPr>
            <w:r>
              <w:rPr/>
              <w:t>根据投标人的项目实施方案及具体措施（包括但不限于供货实施流程、各项工作时间计划、各环节时间安排、随货物配有关的单证资料内容及其管理等）进行评审： 1.有详细完善的项目实施方案，工作内容完善，各阶段服务计划详尽，随货物配有关的资料内容及其管理等内容详细清晰并能有效落实，完全满足且优于采购需求的，得9分； 2.有部分项目实施方案，工作内容和各阶段服务计划缺乏针对性，随货物配有关的资料内容及其管理等内容完整，能够满足采购需求，但缺乏针对性，得5分； 3.只有基本的项目内部管理制度和管理办法实施框架，工作内容有欠缺的，缺乏完整的随货物配有关的资料内容及其管理等内容，不完全满足采购需求的，得2分； 4.不提供或其他情形的，不得分。</w:t>
            </w:r>
          </w:p>
        </w:tc>
      </w:tr>
      <w:tr>
        <w:tc>
          <w:tcPr>
            <w:tcW w:type="dxa" w:w="922"/>
            <w:gridSpan w:val="2"/>
            <w:vMerge/>
          </w:tcPr>
          <w:p/>
        </w:tc>
        <w:tc>
          <w:tcPr>
            <w:tcW w:type="dxa" w:w="2307"/>
          </w:tcPr>
          <w:p>
            <w:pPr>
              <w:pStyle w:val="null3"/>
              <w:jc w:val="left"/>
            </w:pPr>
            <w:r>
              <w:rPr/>
              <w:t>安装调试及试运行方案 (8.0分)</w:t>
            </w:r>
          </w:p>
        </w:tc>
        <w:tc>
          <w:tcPr>
            <w:tcW w:type="dxa" w:w="5076"/>
          </w:tcPr>
          <w:p>
            <w:pPr>
              <w:pStyle w:val="null3"/>
              <w:jc w:val="left"/>
            </w:pPr>
            <w:r>
              <w:rPr/>
              <w:t>根据投标人的安装调试及试运行方案（包括但不限于设备安装、试运行、调试、迁移等）进行评审： 1.安装调试方案具体详细，针对性强，前期准备工作充足，有详细完整并能有效落实的试运行方案，完全满足且优于采购需求的，得8分； 2.安装调试方案基本完整，针对性有所欠缺，前期准备工作不充分，有试运行方案，能够满足采购需求的，得5分； 3.安装调试方案表述内容有欠缺的，没有前期准备工作，缺少能有效落实的试运行方案，不完全满足采购需求的，得2分； 4.不提供或其他情形的，不得分。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据投标人的培训方案（包括但不限于操作培训、维护培训、设备基本结构、性能、主要部件的构造及原理分析等）进行评审： 1.具备完善的培训方案、培训流程和培训措施，工作内容完善并能有效落实，完全满足且优于采购需求的，得8分； 2.培训方案、培训流程和培训措施部分完整，工作内容有缺乏的，能跟满足采购需求的，得5分； 3.缺乏能落实的培训方案、培训流程和培训措施等，方案无针对性，不完全满足采购需求的，得2分； 4.不提供或其他情形的，不得分。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同类产品项目业绩 (8.0分)</w:t>
            </w:r>
          </w:p>
        </w:tc>
        <w:tc>
          <w:tcPr>
            <w:tcW w:type="dxa" w:w="5076"/>
          </w:tcPr>
          <w:p>
            <w:pPr>
              <w:pStyle w:val="null3"/>
              <w:jc w:val="left"/>
            </w:pPr>
            <w:r>
              <w:rPr/>
              <w:t>2022年1月1日至今（以合同签订时间为准），投标人独立承接的所投产品业绩的，每提供一项得2分，累计最高得8分。 注：提供以上业绩对应的合同关键页（包括但不限于项目名称、项目内容、签订时间、双方盖章页）扫描件，还需提供验收合格证明材料。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用户服务评价 (4.0分)</w:t>
            </w:r>
          </w:p>
        </w:tc>
        <w:tc>
          <w:tcPr>
            <w:tcW w:type="dxa" w:w="5076"/>
          </w:tcPr>
          <w:p>
            <w:pPr>
              <w:pStyle w:val="null3"/>
              <w:jc w:val="left"/>
            </w:pPr>
            <w:r>
              <w:rPr/>
              <w:t>提供上述的2022年1月1日至今（以合同签订时间为准）的同类项目业绩中获得用户单位履约情况评价的，评价情况为“满意或类似好评”的方可计分：每提供一项得1分，满分4分，不提供不得分。 注：（1）同一项目提供多项履约情况评价的，按一项计算；（2）须与投标人上述提供的2022年1月1日至今的同类项目的用户单位一致方可得分； （3）未按要求提供相关材料或无法凭所提供资料判断是否得分的或证明材料不清晰导致无法识别的，均不得分。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根据售后服务方案（包括固定售后服务点情况，售后服务便利性，响应时间情况，售后服务技术力量、应急措施等）进行评审： 1.售后服务点健全，临时性、阶段性工作及突发事件预案准备充分详尽，售后服务技术力量和应急处理能力强，完全满足且优于采购需求的，得8分； 2.有售后服务点，临时性、阶段性工作及突发事件预案准备充分，有针对本项目的应急措施和售后服务技术力量，能够满足采购需求的，得5分； 3.售后服务点不健全，临时性、阶段性工作及突发事件预案准备不充分，缺乏健全的应急措施和售后服务技术力量，不完全满足采购需求的，得2分；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采购包2(角膜地形图):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(12.0分)</w:t>
            </w:r>
          </w:p>
        </w:tc>
        <w:tc>
          <w:tcPr>
            <w:tcW w:type="dxa" w:w="5076"/>
          </w:tcPr>
          <w:p>
            <w:pPr>
              <w:pStyle w:val="null3"/>
              <w:jc w:val="left"/>
            </w:pPr>
            <w:r>
              <w:rPr/>
              <w:t>对“第二章 采购需求”的“三、角膜地形图参数及配置”中所有带“▲”的条款（共6项）的响应情况进行评审：每满足或正偏离一项的得2分，满分12分。 注：（1）以最细一级条款作为单项条款，含有下一级条款且本身仅作为标题的不计入条款数量。（2）投标人应在《技术和服务要求响应表》中按表格要求如实填写响应/偏离情况。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则提供投标产品彩页或产品使用说明书或厂家公开发布的印刷资料作为技术证明文件，并标记出参数所在位置，未提供上述技术证明文件的视为不响应，不得分（如相关技术证明文件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一般技术要求响应程度 (13.0分)</w:t>
            </w:r>
          </w:p>
        </w:tc>
        <w:tc>
          <w:tcPr>
            <w:tcW w:type="dxa" w:w="5076"/>
          </w:tcPr>
          <w:p>
            <w:pPr>
              <w:pStyle w:val="null3"/>
              <w:jc w:val="left"/>
            </w:pPr>
            <w:r>
              <w:rPr/>
              <w:t>对“第二章 采购需求”的“三、角膜地形图参数及配置”中所有不带“▲”的条款（共26项）的响应情况进行评审：每满足或正偏离一项的得0.5分，满分13分。 注：（1）以最细一级条款作为单项条款，含有下一级条款且本身仅作为标题的不计入条款数量，“配置清单”合计为1项。（2）投标人应在《技术和服务要求响应表》中按表格要求如实填写响应/偏离情况。 投标人应清晰标记反映响应的技术参数内容在证明材料中的位置。（3）未按要求提供相关材料或无法凭所提供资料判断是否得分的或证明材料不清晰导致无法识别的，均不得分。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(9.0分)</w:t>
            </w:r>
          </w:p>
        </w:tc>
        <w:tc>
          <w:tcPr>
            <w:tcW w:type="dxa" w:w="5076"/>
          </w:tcPr>
          <w:p>
            <w:pPr>
              <w:pStyle w:val="null3"/>
              <w:jc w:val="left"/>
            </w:pPr>
            <w:r>
              <w:rPr/>
              <w:t>根据投标人的项目实施方案及具体措施（包括但不限于供货实施流程、各项工作时间计划、各环节时间安排、随货物配有关的单证资料内容及其管理等）进行评审： 1.有详细完善的项目实施方案，工作内容完善，各阶段服务计划详尽，随货物配有关的资料内容及其管理等内容详细清晰并能有效落实，完全满足且优于采购需求的，得9分； 2.有项目实施方案，工作内容和各阶段服务计划缺乏针对性，随货物配有关的资料内容及其管理等内容完整，能够满足采购需求，但缺乏针对性，得5分； 3.只有基本的项目内部管理制度和管理办法实施框架，工作内容有欠缺的，缺乏完整的随货物配有关的资料内容及其管理等内容，不完全满足采购需求的，得2分； 4.不提供或其他情形的，不得分。</w:t>
            </w:r>
          </w:p>
        </w:tc>
      </w:tr>
      <w:tr>
        <w:tc>
          <w:tcPr>
            <w:tcW w:type="dxa" w:w="922"/>
            <w:gridSpan w:val="2"/>
            <w:vMerge/>
          </w:tcPr>
          <w:p/>
        </w:tc>
        <w:tc>
          <w:tcPr>
            <w:tcW w:type="dxa" w:w="2307"/>
          </w:tcPr>
          <w:p>
            <w:pPr>
              <w:pStyle w:val="null3"/>
              <w:jc w:val="left"/>
            </w:pPr>
            <w:r>
              <w:rPr/>
              <w:t>安装调试及试运行方案 (8.0分)</w:t>
            </w:r>
          </w:p>
        </w:tc>
        <w:tc>
          <w:tcPr>
            <w:tcW w:type="dxa" w:w="5076"/>
          </w:tcPr>
          <w:p>
            <w:pPr>
              <w:pStyle w:val="null3"/>
              <w:jc w:val="left"/>
            </w:pPr>
            <w:r>
              <w:rPr/>
              <w:t>根据投标人的安装调试及试运行方案（包括但不限于设备安装、试运行、调试、迁移等）进行评审： 1.安装调试方案具体详细，针对性强，前期准备工作充足，有详细完整并能有效落实的试运行方案，完全满足且优于采购需求的，得8分； 2.安装调试方案基本完整，针对性有所欠缺，前期准备工作不充分，有试运行方案，能够满足采购需求的，得5分； 3.安装调试方案表述内容有欠缺的，没有前期准备工作，缺少能有效落实的试运行方案，不完全满足采购需求的，得2分； 4.不提供或其他情形的，不得分。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根据投标人的培训方案（包括但不限于操作培训、维护培训、设备基本结构、性能、主要部件的构造及原理分析等）进行评审： 1.具备完善的培训方案、培训流程和培训措施，工作内容完善并能有效落实，完全满足且优于采购需求的，得8分； 2.培训方案、培训流程和培训措施部分完整，工作内容有缺乏的，能够满足采购需求的，得5分； 3.缺乏能落实的培训方案、培训流程和培训措施等，方案无针对性，不完全满足采购需求的，得2分； 4.不提供或其他情形的，不得分。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同类产品项目业绩 (10.0分)</w:t>
            </w:r>
          </w:p>
        </w:tc>
        <w:tc>
          <w:tcPr>
            <w:tcW w:type="dxa" w:w="5076"/>
          </w:tcPr>
          <w:p>
            <w:pPr>
              <w:pStyle w:val="null3"/>
              <w:jc w:val="left"/>
            </w:pPr>
            <w:r>
              <w:rPr/>
              <w:t>2022年1月1日至今（以合同签订时间为准），投标人独立承接的所投产品业绩的，每提供一项得2分，累计最高得10分。 注：提供以上业绩对应的合同关键页（包括但不限于项目名称、项目内容、签订时间、双方盖章页）扫描件，还需提供验收合格证明材料。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在招标文件要求的质保期（3年）基础上增加1年得2分，最高得2分。 注：投标时提供加盖投标人公章的承诺函，不提供的不得分。质保期增加幅度不足1年的不计分。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根据售后服务方案（包括固定售后服务点情况，售后服务便利性，响应时间情况，售后服务技术力量、应急措施等）进行评审： 1.售后服务点健全，临时性、阶段性工作及突发事件预案准备充分详尽，售后服务技术力量和应急处理能力强，完全满足且优于采购需求的，得8分； 2.有售后服务点，临时性、阶段性工作及突发事件预案准备充分，有针对本项目的应急措施和售后服务技术力量，能够满足采购需求的，得5分； 3.售后服务点不健全，临时性、阶段性工作及突发事件预案准备不充分，缺乏健全的应急措施和售后服务技术力量，不完全满足采购需求的，得2分；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ind w:firstLine="843"/>
        <w:jc w:val="both"/>
      </w:pPr>
      <w:r>
        <w:rPr>
          <w:sz w:val="28"/>
          <w:b/>
        </w:rPr>
        <w:t>项目编号：</w:t>
      </w:r>
      <w:r>
        <w:rPr>
          <w:sz w:val="28"/>
          <w:b/>
          <w:u w:val="single"/>
        </w:rPr>
        <w:t>440605-2025-XXXXX</w:t>
      </w:r>
    </w:p>
    <w:p>
      <w:pPr>
        <w:pStyle w:val="null3"/>
        <w:ind w:firstLine="843"/>
        <w:jc w:val="both"/>
      </w:pPr>
      <w:r>
        <w:rPr>
          <w:sz w:val="28"/>
          <w:b/>
        </w:rPr>
        <w:t>项目名称：</w:t>
      </w:r>
      <w:r>
        <w:rPr>
          <w:sz w:val="28"/>
          <w:b/>
          <w:u w:val="single"/>
        </w:rPr>
        <w:t>光学生物测量仪、角膜地形图（采购包号）</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佛山市南海区第四人民医院</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（中标人名称）</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2025</w:t>
            </w:r>
            <w:r>
              <w:rPr>
                <w:sz w:val="28"/>
                <w:u w:val="single"/>
              </w:rPr>
              <w:t>年   月    日</w:t>
            </w:r>
          </w:p>
        </w:tc>
      </w:tr>
    </w:tbl>
    <w:p>
      <w:pPr>
        <w:pStyle w:val="null3"/>
        <w:jc w:val="center"/>
      </w:pPr>
      <w:r>
        <w:rPr>
          <w:sz w:val="21"/>
        </w:rPr>
        <w:t>注：本合同仅为合同的参考文本，可根据项目的具体要求进行修订。</w:t>
      </w:r>
    </w:p>
    <w:p>
      <w:pPr>
        <w:pStyle w:val="null3"/>
        <w:jc w:val="both"/>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项目名称</w:t>
            </w:r>
            <w:r>
              <w:rPr>
                <w:sz w:val="16"/>
                <w:b/>
              </w:rPr>
              <w:t>：</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光学生物测量仪、角膜地形图（采购包号）</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440605-2025-XXXXX</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甲</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佛山市南海区第四人民医院</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乙</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（中标人名称）</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合同性质：</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color w:val="000000"/>
                <w:u w:val="single"/>
              </w:rPr>
              <w:t>本合同为中小企业预留合同</w:t>
            </w:r>
            <w:r>
              <w:rPr>
                <w:sz w:val="19"/>
                <w:b/>
                <w:i/>
                <w:color w:val="FF0000"/>
                <w:u w:val="single"/>
              </w:rPr>
              <w:t>（非专门面向中小企业采购的请删除此项）</w:t>
            </w:r>
          </w:p>
        </w:tc>
      </w:tr>
    </w:tbl>
    <w:p>
      <w:pPr>
        <w:pStyle w:val="null3"/>
        <w:jc w:val="both"/>
      </w:pPr>
      <w:r>
        <w:rPr/>
        <w:t>根据《中华人民共和国政府采购法》《中华人民共和国民法典》和本项目采购文件的要求，经双方协商，本着平等互利和诚实信用的原则，一致同意签订本合同如下。</w:t>
      </w:r>
    </w:p>
    <w:p>
      <w:pPr>
        <w:pStyle w:val="null3"/>
        <w:jc w:val="both"/>
      </w:pPr>
      <w:r>
        <w:rPr>
          <w:b/>
        </w:rPr>
        <w:t>一、项目主要内容：</w:t>
      </w:r>
      <w:r>
        <w:rPr>
          <w:color w:val="000000"/>
        </w:rPr>
        <w:t>见附件《</w:t>
      </w:r>
      <w:r>
        <w:rPr>
          <w:color w:val="000000"/>
        </w:rPr>
        <w:t>***</w:t>
      </w:r>
      <w:r>
        <w:rPr>
          <w:color w:val="000000"/>
        </w:rPr>
        <w:t>参数及配置》。</w:t>
      </w:r>
    </w:p>
    <w:p>
      <w:pPr>
        <w:pStyle w:val="null3"/>
        <w:jc w:val="both"/>
      </w:pPr>
      <w:r>
        <w:rPr>
          <w:b/>
        </w:rPr>
        <w:t>二、产品及服务供应清单：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664"/>
        <w:gridCol w:w="1389"/>
        <w:gridCol w:w="1163"/>
        <w:gridCol w:w="695"/>
        <w:gridCol w:w="815"/>
        <w:gridCol w:w="982"/>
        <w:gridCol w:w="680"/>
        <w:gridCol w:w="1057"/>
        <w:gridCol w:w="861"/>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r>
              <w:rPr>
                <w:sz w:val="19"/>
              </w:rPr>
              <w:t>)</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1472"/>
        <w:gridCol w:w="6128"/>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合同条款</w:t>
            </w:r>
          </w:p>
        </w:tc>
        <w:tc>
          <w:tcPr>
            <w:tcW w:type="dxa" w:w="6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人民币小写：</w:t>
            </w:r>
          </w:p>
          <w:p>
            <w:pPr>
              <w:pStyle w:val="null3"/>
              <w:jc w:val="both"/>
            </w:pPr>
            <w:r>
              <w:rPr>
                <w:sz w:val="19"/>
              </w:rPr>
              <w:t>大写：</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合同总额内容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、本项目的报价和结算支付均以人民币为货币单位。</w:t>
            </w:r>
          </w:p>
          <w:p>
            <w:pPr>
              <w:pStyle w:val="null3"/>
              <w:jc w:val="both"/>
            </w:pPr>
            <w:r>
              <w:rPr>
                <w:sz w:val="19"/>
              </w:rPr>
              <w:t>2</w:t>
            </w:r>
            <w:r>
              <w:rPr>
                <w:sz w:val="19"/>
              </w:rPr>
              <w:t>、合同总额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合同履约期限</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自合同签订之日起天内安装通过验收并交付使用，至合同全部权利义务履行完毕之日止。</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4</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交货及安装地点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shd w:fill="FFFFFF" w:val="clear"/>
              </w:rPr>
              <w:t>甲方（用户）指定地点。详细地址为：佛山市南海区西樵镇樵金公路与碧霞一路交汇处佛山市南海区第四人民医院。</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质量保证期</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shd w:fill="FFFFFF" w:val="clear"/>
              </w:rPr>
              <w:t>1</w:t>
            </w:r>
            <w:r>
              <w:rPr>
                <w:sz w:val="19"/>
                <w:shd w:fill="FFFFFF" w:val="clear"/>
              </w:rPr>
              <w:t>、乙方所提供的产品质量保证期（简称“质保期”）为</w:t>
            </w:r>
            <w:r>
              <w:rPr>
                <w:sz w:val="19"/>
              </w:rPr>
              <w:t xml:space="preserve">   </w:t>
            </w:r>
            <w:r>
              <w:rPr>
                <w:sz w:val="19"/>
                <w:shd w:fill="FFFFFF" w:val="clear"/>
              </w:rPr>
              <w:t>年。</w:t>
            </w:r>
            <w:r>
              <w:rPr>
                <w:sz w:val="19"/>
              </w:rPr>
              <w:t>质保期从验收合格之日起计算。</w:t>
            </w:r>
            <w:r>
              <w:rPr>
                <w:sz w:val="19"/>
              </w:rPr>
              <w:t>（若国家或生产厂家对本项目所涉及的货物的质保期规定高于乙方承诺的质保期，则按国家或生产厂家的规定执行。）</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付款方式</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合同签订且设备安装验收合格后，甲方在收到发票后</w:t>
            </w:r>
            <w:r>
              <w:rPr>
                <w:sz w:val="19"/>
              </w:rPr>
              <w:t xml:space="preserve">10 </w:t>
            </w:r>
            <w:r>
              <w:rPr>
                <w:sz w:val="19"/>
              </w:rPr>
              <w:t>个工作日内完成支付。</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7</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付款要求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r>
              <w:rPr>
                <w:sz w:val="19"/>
                <w:color w:val="000000"/>
              </w:rPr>
              <w:t>）乙方须向甲方提供依法纳税的发票。</w:t>
            </w:r>
            <w:r>
              <w:rPr>
                <w:sz w:val="19"/>
                <w:color w:val="000000"/>
              </w:rPr>
              <w:t>2</w:t>
            </w:r>
            <w:r>
              <w:rPr>
                <w:sz w:val="19"/>
                <w:color w:val="000000"/>
              </w:rPr>
              <w:t>）货款以支票或转账方式转入乙方的银行账户。</w:t>
            </w:r>
            <w:r>
              <w:rPr>
                <w:sz w:val="19"/>
                <w:color w:val="000000"/>
              </w:rPr>
              <w:t>3</w:t>
            </w:r>
            <w:r>
              <w:rPr>
                <w:sz w:val="19"/>
                <w:color w:val="000000"/>
              </w:rPr>
              <w:t>）收款方、出具发票方、合同乙方均必须与中标（成交）供应商名称一致。</w:t>
            </w:r>
            <w:r>
              <w:rPr>
                <w:sz w:val="19"/>
                <w:color w:val="000000"/>
              </w:rPr>
              <w:t>4</w:t>
            </w:r>
            <w:r>
              <w:rPr>
                <w:sz w:val="19"/>
                <w:color w:val="000000"/>
              </w:rPr>
              <w:t>）由于甲方使用的是财政资金，甲方在前款规定的付款时间为向政府采购支付部门提出办理财政支付申请手续的时间（不含政府财政支付部门审核的时间），在规定时间内提出支付申请手续后即视为甲方已经按期支付。因财政支付审批流程及办理手续而造成合同费用支付进度有所推延，导致甲方逾期付款的，甲方不承担逾期付款的责任。由于财政拨款特殊性，合同金额的支付时间以财政拨款支付日期为准。</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8</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人员要求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为使项目按质、按量、按时及有序实施，乙方对本项目应建立一个完善和稳定的项目团队和管理机构。项目团队至少需配备一名项目负责人、一名安装调试工程师。</w:t>
            </w:r>
          </w:p>
        </w:tc>
      </w:tr>
    </w:tbl>
    <w:p>
      <w:pPr>
        <w:pStyle w:val="null3"/>
      </w:pPr>
      <w:r>
        <w:rPr>
          <w:b/>
        </w:rPr>
        <w:t>四、包装及安装调试：</w:t>
      </w:r>
    </w:p>
    <w:p>
      <w:pPr>
        <w:pStyle w:val="null3"/>
      </w:pPr>
      <w:r>
        <w:rPr/>
        <w:t>1</w:t>
      </w:r>
      <w:r>
        <w:rPr/>
        <w:t>、货物的包装均应有良好的防湿、防锈、防潮、防雨、防腐及防碰撞的措施。凡由于包装不良造成的损失和由此产生的费用均由乙方承担。</w:t>
      </w:r>
    </w:p>
    <w:p>
      <w:pPr>
        <w:pStyle w:val="null3"/>
      </w:pPr>
      <w:r>
        <w:rPr/>
        <w:t>2</w:t>
      </w:r>
      <w:r>
        <w:rPr/>
        <w:t>、乙方负责合同项下的安装调试，一切费用由乙方负责。</w:t>
      </w:r>
    </w:p>
    <w:p>
      <w:pPr>
        <w:pStyle w:val="null3"/>
      </w:pPr>
      <w:r>
        <w:rPr/>
        <w:t>3</w:t>
      </w:r>
      <w:r>
        <w:rPr/>
        <w:t>、乙方必须依照采购文件的要求和报价文件的承诺，将货物安装并调试至正常运行的最佳状态且双方均认为满意。</w:t>
      </w:r>
    </w:p>
    <w:p>
      <w:pPr>
        <w:pStyle w:val="null3"/>
      </w:pPr>
      <w:r>
        <w:rPr/>
        <w:t>4</w:t>
      </w:r>
      <w:r>
        <w:rPr/>
        <w:t>、乙方安装时须对各安装场地内的其他设备、设施有良好保护措施。</w:t>
      </w:r>
    </w:p>
    <w:p>
      <w:pPr>
        <w:pStyle w:val="null3"/>
      </w:pPr>
      <w:r>
        <w:rPr/>
        <w:t>5</w:t>
      </w:r>
      <w:r>
        <w:rPr/>
        <w:t>、设备验收交付前的保管安全责任由乙方负责。</w:t>
      </w:r>
    </w:p>
    <w:p>
      <w:pPr>
        <w:pStyle w:val="null3"/>
      </w:pPr>
      <w:r>
        <w:rPr>
          <w:b/>
        </w:rPr>
        <w:t>五、验收标准与要求：</w:t>
      </w:r>
    </w:p>
    <w:p>
      <w:pPr>
        <w:pStyle w:val="null3"/>
        <w:ind w:firstLine="480"/>
        <w:jc w:val="both"/>
      </w:pPr>
      <w:r>
        <w:rPr/>
        <w:t>1</w:t>
      </w:r>
      <w:r>
        <w:rPr/>
        <w:t>、交付验收：在设备安装调试至正常运行的最佳状态且双方均认为满意后，在收到乙方项目验收建议之日起</w:t>
      </w:r>
      <w:r>
        <w:rPr/>
        <w:t>30</w:t>
      </w:r>
      <w:r>
        <w:rPr/>
        <w:t>个工作日内进行验收，验收合格后出具验收确认书，验收交付前的保管安全责任由乙方负责。乙方以甲方的名义作为终端客户，负责办理所有产品设备</w:t>
      </w:r>
      <w:r>
        <w:rPr/>
        <w:t>(</w:t>
      </w:r>
      <w:r>
        <w:rPr/>
        <w:t>包括保修卡</w:t>
      </w:r>
      <w:r>
        <w:rPr/>
        <w:t>)</w:t>
      </w:r>
      <w:r>
        <w:rPr/>
        <w:t>的一切保修注册备案手续。</w:t>
      </w:r>
    </w:p>
    <w:p>
      <w:pPr>
        <w:pStyle w:val="null3"/>
        <w:ind w:firstLine="480"/>
        <w:jc w:val="both"/>
      </w:pPr>
      <w:r>
        <w:rPr/>
        <w:t>2</w:t>
      </w:r>
      <w:r>
        <w:rPr/>
        <w:t>、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w:t>
      </w:r>
    </w:p>
    <w:p>
      <w:pPr>
        <w:pStyle w:val="null3"/>
        <w:ind w:firstLine="480"/>
        <w:jc w:val="both"/>
      </w:pPr>
      <w:r>
        <w:rPr/>
        <w:t>3</w:t>
      </w:r>
      <w:r>
        <w:rPr/>
        <w:t>、如合同设备运输和安装调试过程中因事故造成货物的短缺、损坏，乙方应及时安排换装，以保证合同设备安装调试的成功完成。换货的相关费用由乙方承担。</w:t>
      </w:r>
    </w:p>
    <w:p>
      <w:pPr>
        <w:pStyle w:val="null3"/>
        <w:ind w:firstLine="480"/>
        <w:jc w:val="both"/>
      </w:pPr>
      <w:r>
        <w:rPr/>
        <w:t>4</w:t>
      </w:r>
      <w:r>
        <w:rPr/>
        <w:t>、所供产品均为近</w:t>
      </w:r>
      <w:r>
        <w:rPr/>
        <w:t>12</w:t>
      </w:r>
      <w:r>
        <w:rPr/>
        <w:t>个月内原厂制造的全新合格产品，且有合法透明的来源渠道，整机无污染、无侵权行为、表面无划损、无任何缺陷隐患，可依常规合法安全使用。如与上述要求不符的，甲方有权拒收。</w:t>
      </w:r>
    </w:p>
    <w:p>
      <w:pPr>
        <w:pStyle w:val="null3"/>
        <w:ind w:firstLine="480"/>
        <w:jc w:val="both"/>
      </w:pPr>
      <w:r>
        <w:rPr/>
        <w:t>5</w:t>
      </w:r>
      <w:r>
        <w:rPr/>
        <w:t>、包装标准为原厂制造商未启封全新包装，序列号、包装箱号与出厂批号一致，并可追索查阅。</w:t>
      </w:r>
    </w:p>
    <w:p>
      <w:pPr>
        <w:pStyle w:val="null3"/>
        <w:ind w:firstLine="480"/>
        <w:jc w:val="both"/>
      </w:pPr>
      <w:r>
        <w:rPr/>
        <w:t>6</w:t>
      </w:r>
      <w:r>
        <w:rPr/>
        <w:t>、甲方组成验收小组按国家有关规定、规范进行验收，必要时邀请相关的专业人员或机构参与验收。</w:t>
      </w:r>
    </w:p>
    <w:p>
      <w:pPr>
        <w:pStyle w:val="null3"/>
        <w:ind w:firstLine="480"/>
        <w:jc w:val="both"/>
      </w:pPr>
      <w:r>
        <w:rPr/>
        <w:t>7</w:t>
      </w:r>
      <w:r>
        <w:rPr/>
        <w:t>、其他验收要求：</w:t>
      </w:r>
      <w:r>
        <w:rPr>
          <w:u w:val="single"/>
        </w:rPr>
        <w:t>（补充内容不得对招标文件和投标文件作实质性修改）</w:t>
      </w:r>
    </w:p>
    <w:p>
      <w:pPr>
        <w:pStyle w:val="null3"/>
      </w:pPr>
      <w:r>
        <w:rPr>
          <w:b/>
        </w:rPr>
        <w:t>六、售后服务要求：</w:t>
      </w:r>
    </w:p>
    <w:p>
      <w:pPr>
        <w:pStyle w:val="null3"/>
        <w:ind w:firstLine="480"/>
      </w:pPr>
      <w:r>
        <w:rPr/>
        <w:t>1</w:t>
      </w:r>
      <w:r>
        <w:rPr/>
        <w:t>、质量保证期（简称“质保期”）内乙方对所供货物实行包修、包换、包退、包维护保养，质保期内甲方对乙方享有追索权。</w:t>
      </w:r>
    </w:p>
    <w:p>
      <w:pPr>
        <w:pStyle w:val="null3"/>
        <w:ind w:firstLine="480"/>
      </w:pPr>
      <w:r>
        <w:rPr/>
        <w:t>2</w:t>
      </w:r>
      <w:r>
        <w:rPr/>
        <w:t>、质保期内，如货物非人为因素出现故障而造成短期停用时，则质保期和维修期相应顺延。如货物因自身故障致停用时间累计超过</w:t>
      </w:r>
      <w:r>
        <w:rPr/>
        <w:t>5</w:t>
      </w:r>
      <w:r>
        <w:rPr/>
        <w:t>天时，则质保期在状态恢复正常时归零重新计算或对故障设备予以重新更换。</w:t>
      </w:r>
    </w:p>
    <w:p>
      <w:pPr>
        <w:pStyle w:val="null3"/>
        <w:ind w:firstLine="480"/>
      </w:pPr>
      <w:r>
        <w:rPr/>
        <w:t>3</w:t>
      </w:r>
      <w:r>
        <w:rPr/>
        <w:t>、质保期内提供周期上门服务：乙方须在设备验收后，每三个月例行上门检测设备运行状态，维保记录（含服务现场图片）或检测报告留科室及医学装备科备案。</w:t>
      </w:r>
    </w:p>
    <w:p>
      <w:pPr>
        <w:pStyle w:val="null3"/>
        <w:ind w:firstLine="480"/>
      </w:pPr>
      <w:r>
        <w:rPr/>
        <w:t>4</w:t>
      </w:r>
      <w:r>
        <w:rPr/>
        <w:t>、乙方或原厂售后服务商（以下统称“售后服务机构”）提供长期稳定可靠的售后服务。有固定售后服务点，并提供常设服务专线和长期的技术支持，需提供固定售后服务点的详细资料。</w:t>
      </w:r>
    </w:p>
    <w:p>
      <w:pPr>
        <w:pStyle w:val="null3"/>
        <w:ind w:firstLine="480"/>
      </w:pPr>
      <w:r>
        <w:rPr/>
        <w:t>故障报修响应时间：用户故障报修</w:t>
      </w:r>
      <w:r>
        <w:rPr/>
        <w:t>24</w:t>
      </w:r>
      <w:r>
        <w:rPr/>
        <w:t>小时内响应。提供</w:t>
      </w:r>
      <w:r>
        <w:rPr/>
        <w:t>24</w:t>
      </w:r>
      <w:r>
        <w:rPr/>
        <w:t>小时的热线支持</w:t>
      </w:r>
      <w:r>
        <w:rPr/>
        <w:t>(       )</w:t>
      </w:r>
      <w:r>
        <w:rPr/>
        <w:t>、厂家联系人</w:t>
      </w:r>
      <w:r>
        <w:rPr/>
        <w:t>(       )</w:t>
      </w:r>
      <w:r>
        <w:rPr/>
        <w:t>及电话及</w:t>
      </w:r>
      <w:r>
        <w:rPr/>
        <w:t>(       )</w:t>
      </w:r>
      <w:r>
        <w:rPr/>
        <w:t>本项目供应商联系人</w:t>
      </w:r>
      <w:r>
        <w:rPr/>
        <w:t>(       )</w:t>
      </w:r>
      <w:r>
        <w:rPr/>
        <w:t>及电话</w:t>
      </w:r>
      <w:r>
        <w:rPr/>
        <w:t>(       )</w:t>
      </w:r>
      <w:r>
        <w:rPr/>
        <w:t>，在设备发生故障时，技术人员应</w:t>
      </w:r>
      <w:r>
        <w:rPr/>
        <w:t>4</w:t>
      </w:r>
      <w:r>
        <w:rPr/>
        <w:t>小时内到达现场解决故障。</w:t>
      </w:r>
    </w:p>
    <w:p>
      <w:pPr>
        <w:pStyle w:val="null3"/>
        <w:ind w:firstLine="480"/>
      </w:pPr>
      <w:r>
        <w:rPr/>
        <w:t>5</w:t>
      </w:r>
      <w:r>
        <w:rPr/>
        <w:t>、若主要设备的故障在</w:t>
      </w:r>
      <w:r>
        <w:rPr/>
        <w:t>48</w:t>
      </w:r>
      <w:r>
        <w:rPr/>
        <w:t>小时内仍未处理完毕，乙方必须提供不低于相同等级的设备予甲方临时使用或采取应急措施解决，不得影响甲方的正常工作业务。</w:t>
      </w:r>
    </w:p>
    <w:p>
      <w:pPr>
        <w:pStyle w:val="null3"/>
        <w:ind w:firstLine="480"/>
      </w:pPr>
      <w:r>
        <w:rPr/>
        <w:t>6</w:t>
      </w:r>
      <w:r>
        <w:rPr/>
        <w:t>、质保期内，产品维修均为上门服务，即由乙方派人员到甲方设备使用现场维修，由此产生的费用均由乙方负担。</w:t>
      </w:r>
    </w:p>
    <w:p>
      <w:pPr>
        <w:pStyle w:val="null3"/>
      </w:pPr>
      <w:r>
        <w:rPr>
          <w:b/>
        </w:rPr>
        <w:t>七、技术培训</w:t>
      </w:r>
    </w:p>
    <w:p>
      <w:pPr>
        <w:pStyle w:val="null3"/>
        <w:ind w:firstLine="400"/>
      </w:pPr>
      <w:r>
        <w:rPr/>
        <w:t>1</w:t>
      </w:r>
      <w:r>
        <w:rPr/>
        <w:t>、为使设备的正常使用，提供两个或以上的培训名额。</w:t>
      </w:r>
    </w:p>
    <w:p>
      <w:pPr>
        <w:pStyle w:val="null3"/>
        <w:ind w:firstLine="400"/>
      </w:pPr>
      <w:r>
        <w:rPr/>
        <w:t>2</w:t>
      </w:r>
      <w:r>
        <w:rPr/>
        <w:t>、乙方应为甲方的医护人员或技术人员提供操作及维护培训，所需费用由乙方负责。培训主要内容为设备的基本结构、性能、主要部件的构造及原理，日常使用操作、保养与管理，常见故障的排除，紧急情况的处理等，培训地点主要在设备安装现场或者由甲方及乙方双方协商安排。</w:t>
      </w:r>
    </w:p>
    <w:p>
      <w:pPr>
        <w:pStyle w:val="null3"/>
      </w:pPr>
      <w:r>
        <w:rPr>
          <w:b/>
        </w:rPr>
        <w:t>八、知识产权和要求：</w:t>
      </w:r>
    </w:p>
    <w:p>
      <w:pPr>
        <w:pStyle w:val="null3"/>
        <w:ind w:firstLine="480"/>
      </w:pPr>
      <w:r>
        <w:rPr/>
        <w:t>乙方保证合同项下提供的产品不侵犯任何第三方的专利、商标或版权等知识产权。否则，乙方须承担对第三方的专利或第三方的专利或版权等知识产权的侵权责任并承担由此而发生的所有费用。依据相关法律法规规定，甲方乙方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p>
      <w:pPr>
        <w:pStyle w:val="null3"/>
      </w:pPr>
      <w:r>
        <w:rPr>
          <w:b/>
        </w:rPr>
        <w:t>九、乙方承诺供货后提供的资料内容</w:t>
      </w:r>
    </w:p>
    <w:p>
      <w:pPr>
        <w:pStyle w:val="null3"/>
        <w:ind w:firstLine="480"/>
      </w:pPr>
      <w:r>
        <w:rPr/>
        <w:t>1</w:t>
      </w:r>
      <w:r>
        <w:rPr/>
        <w:t>、产品必须提供出厂合格证，并提供甲方名下终端客户保修注册资料。</w:t>
      </w:r>
    </w:p>
    <w:p>
      <w:pPr>
        <w:pStyle w:val="null3"/>
        <w:ind w:firstLine="480"/>
      </w:pPr>
      <w:r>
        <w:rPr/>
        <w:t>2</w:t>
      </w:r>
      <w:r>
        <w:rPr/>
        <w:t>、关键产品</w:t>
      </w:r>
      <w:r>
        <w:rPr/>
        <w:t>/</w:t>
      </w:r>
      <w:r>
        <w:rPr/>
        <w:t>主机设备的用户手册、保修手册、有关单证资料及配备件、随机工具等交付给甲方，使用操作及安全须知等重要资料应附有中文说明。</w:t>
      </w:r>
    </w:p>
    <w:p>
      <w:pPr>
        <w:pStyle w:val="null3"/>
      </w:pPr>
      <w:r>
        <w:rPr>
          <w:b/>
        </w:rPr>
        <w:t>十、违约责任：</w:t>
      </w:r>
    </w:p>
    <w:p>
      <w:pPr>
        <w:pStyle w:val="null3"/>
        <w:ind w:firstLine="480"/>
        <w:jc w:val="both"/>
      </w:pPr>
      <w:r>
        <w:rPr/>
        <w:t>1</w:t>
      </w:r>
      <w:r>
        <w:rPr/>
        <w:t>、乙方未按要求履行合同义务，须从违约之日起每日按合同总额的</w:t>
      </w:r>
      <w:r>
        <w:rPr>
          <w:u w:val="single"/>
        </w:rPr>
        <w:t xml:space="preserve"> </w:t>
      </w:r>
      <w:r>
        <w:rPr>
          <w:u w:val="single"/>
        </w:rPr>
        <w:t>3</w:t>
      </w:r>
      <w:r>
        <w:rPr>
          <w:u w:val="single"/>
        </w:rPr>
        <w:t>‰</w:t>
      </w:r>
      <w:r>
        <w:rPr/>
        <w:t>比例向甲方支付违约金；逾期</w:t>
      </w:r>
      <w:r>
        <w:rPr>
          <w:u w:val="single"/>
        </w:rPr>
        <w:t xml:space="preserve"> </w:t>
      </w:r>
      <w:r>
        <w:rPr>
          <w:u w:val="single"/>
        </w:rPr>
        <w:t>15</w:t>
      </w:r>
      <w:r>
        <w:rPr/>
        <w:t>日以上，甲方有权终止合同，由此造成甲方的经济损失由乙方承担。违约金不足以弥补损失的，乙方应按全额赔偿。</w:t>
      </w:r>
    </w:p>
    <w:p>
      <w:pPr>
        <w:pStyle w:val="null3"/>
        <w:ind w:firstLine="480"/>
        <w:jc w:val="both"/>
      </w:pPr>
      <w:r>
        <w:rPr/>
        <w:t>2</w:t>
      </w:r>
      <w:r>
        <w:rPr/>
        <w:t>、甲方未按要求履行合同义务，或无故拖延验收、付款，甲方须向乙方支付滞纳金，标准为每日按逾期应付款总额的</w:t>
      </w:r>
      <w:r>
        <w:rPr>
          <w:u w:val="single"/>
        </w:rPr>
        <w:t xml:space="preserve"> </w:t>
      </w:r>
      <w:r>
        <w:rPr>
          <w:u w:val="single"/>
        </w:rPr>
        <w:t>3</w:t>
      </w:r>
      <w:r>
        <w:rPr>
          <w:u w:val="single"/>
        </w:rPr>
        <w:t>‰</w:t>
      </w:r>
      <w:r>
        <w:rPr/>
        <w:t>计算，但累计总额不超过逾期应付款的</w:t>
      </w:r>
      <w:r>
        <w:rPr/>
        <w:t>5%</w:t>
      </w:r>
      <w:r>
        <w:rPr/>
        <w:t>。</w:t>
      </w:r>
    </w:p>
    <w:p>
      <w:pPr>
        <w:pStyle w:val="null3"/>
      </w:pPr>
      <w:r>
        <w:rPr>
          <w:b/>
        </w:rPr>
        <w:t>十一、提出异议的时间和方法：</w:t>
      </w:r>
    </w:p>
    <w:p>
      <w:pPr>
        <w:pStyle w:val="null3"/>
        <w:ind w:firstLine="480"/>
        <w:jc w:val="both"/>
      </w:pPr>
      <w:r>
        <w:rPr/>
        <w:t>1</w:t>
      </w:r>
      <w:r>
        <w:rPr/>
        <w:t>、甲方在验收后</w:t>
      </w:r>
      <w:r>
        <w:rPr>
          <w:u w:val="single"/>
        </w:rPr>
        <w:t>30</w:t>
      </w:r>
      <w:r>
        <w:rPr/>
        <w:t>天内如对货物的型号、规格、质量有异议时，应在妥善保管货物的同时，即向乙方提出书面异议。</w:t>
      </w:r>
    </w:p>
    <w:p>
      <w:pPr>
        <w:pStyle w:val="null3"/>
        <w:ind w:firstLine="480"/>
        <w:jc w:val="both"/>
      </w:pPr>
      <w:r>
        <w:rPr/>
        <w:t>2</w:t>
      </w:r>
      <w:r>
        <w:rPr/>
        <w:t>、乙方在接到甲方书面异议后，应在</w:t>
      </w:r>
      <w:r>
        <w:rPr/>
        <w:t>3</w:t>
      </w:r>
      <w:r>
        <w:rPr/>
        <w:t>天内负责处理并函复甲方处理情况，否则，即视为默认甲方提出的异议和处理意见。</w:t>
      </w:r>
    </w:p>
    <w:p>
      <w:pPr>
        <w:pStyle w:val="null3"/>
        <w:ind w:firstLine="480"/>
        <w:jc w:val="both"/>
      </w:pPr>
      <w:r>
        <w:rPr/>
        <w:t>3</w:t>
      </w:r>
      <w:r>
        <w:rPr/>
        <w:t>、甲方因违章操作、保管、保养不善等人为造成货物损毁，所提出的异议乙方有权不予接受。</w:t>
      </w:r>
    </w:p>
    <w:p>
      <w:pPr>
        <w:pStyle w:val="null3"/>
        <w:ind w:firstLine="480"/>
        <w:jc w:val="both"/>
      </w:pPr>
      <w:r>
        <w:rPr/>
        <w:t>4</w:t>
      </w:r>
      <w:r>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b/>
        </w:rPr>
        <w:t>十二、争议的解决：</w:t>
      </w:r>
    </w:p>
    <w:p>
      <w:pPr>
        <w:pStyle w:val="null3"/>
        <w:ind w:firstLine="480"/>
        <w:jc w:val="both"/>
      </w:pPr>
      <w:r>
        <w:rPr/>
        <w:t>1</w:t>
      </w:r>
      <w:r>
        <w:rPr/>
        <w:t>、合同履行过程中发生的任何争议，如双方未能通过友好协商解决，应向甲方所在管辖地的人民法院提起诉讼。对所交付标的物质量有争议的，统一由佛山市辖属的专业检测机构进行终局鉴定，鉴定结果符合质量技术标准时，鉴定费由委托方承担；否则鉴定费由乙方承担。</w:t>
      </w:r>
    </w:p>
    <w:p>
      <w:pPr>
        <w:pStyle w:val="null3"/>
        <w:ind w:firstLine="480"/>
        <w:jc w:val="both"/>
      </w:pPr>
      <w:r>
        <w:rPr/>
        <w:t>2</w:t>
      </w:r>
      <w:r>
        <w:rPr/>
        <w:t>、法院审理期间，除提交法院审理的事项外，其它无争议的事项和条款仍应继续履行。</w:t>
      </w:r>
    </w:p>
    <w:p>
      <w:pPr>
        <w:pStyle w:val="null3"/>
      </w:pPr>
      <w:r>
        <w:rPr>
          <w:b/>
        </w:rPr>
        <w:t>十三、不可抗力：</w:t>
      </w:r>
    </w:p>
    <w:p>
      <w:pPr>
        <w:pStyle w:val="null3"/>
        <w:ind w:firstLine="400"/>
        <w:jc w:val="both"/>
      </w:pPr>
      <w:r>
        <w:rPr/>
        <w:t>由于不可抗力原因不能履行合同时，应在不可抗力事件结束后</w:t>
      </w:r>
      <w:r>
        <w:rPr/>
        <w:t>48</w:t>
      </w:r>
      <w:r>
        <w:rPr/>
        <w:t>小时内向对方通报，以减轻可能给对方造成的损失，在取得有关机构的不可抗力证明或双方谅解确认后，允许延期履行或修订合同，并根据情况可部分或全部免于承担违约责任。</w:t>
      </w:r>
    </w:p>
    <w:p>
      <w:pPr>
        <w:pStyle w:val="null3"/>
      </w:pPr>
      <w:r>
        <w:rPr>
          <w:b/>
        </w:rPr>
        <w:t>十四、税费：</w:t>
      </w:r>
    </w:p>
    <w:p>
      <w:pPr>
        <w:pStyle w:val="null3"/>
        <w:ind w:firstLine="480"/>
        <w:jc w:val="both"/>
      </w:pPr>
      <w:r>
        <w:rPr/>
        <w:t>1</w:t>
      </w:r>
      <w:r>
        <w:rPr/>
        <w:t>、本合同实施过程中所发生的一切税费及不可预见费均由乙方承担。</w:t>
      </w:r>
    </w:p>
    <w:p>
      <w:pPr>
        <w:pStyle w:val="null3"/>
        <w:ind w:firstLine="480"/>
        <w:jc w:val="both"/>
      </w:pPr>
      <w:r>
        <w:rPr/>
        <w:t>2</w:t>
      </w:r>
      <w:r>
        <w:rPr/>
        <w:t>、乙方依照税务规章优先在合同履约地开具发票及纳税，咨询：</w:t>
      </w:r>
      <w:r>
        <w:rPr/>
        <w:t>0757-12366</w:t>
      </w:r>
      <w:r>
        <w:rPr/>
        <w:t>。</w:t>
      </w:r>
    </w:p>
    <w:p>
      <w:pPr>
        <w:pStyle w:val="null3"/>
      </w:pPr>
      <w:r>
        <w:rPr>
          <w:b/>
        </w:rPr>
        <w:t>十五、合同生效与合同备案：</w:t>
      </w:r>
    </w:p>
    <w:p>
      <w:pPr>
        <w:pStyle w:val="null3"/>
        <w:ind w:firstLine="480"/>
        <w:jc w:val="both"/>
      </w:pPr>
      <w:r>
        <w:rPr/>
        <w:t>1</w:t>
      </w:r>
      <w:r>
        <w:rPr/>
        <w:t>、本合同在甲乙双方法定代表人或其授权代表签字并加盖公章后生效。</w:t>
      </w:r>
    </w:p>
    <w:p>
      <w:pPr>
        <w:pStyle w:val="null3"/>
        <w:ind w:firstLine="480"/>
        <w:jc w:val="both"/>
      </w:pPr>
      <w:r>
        <w:rPr/>
        <w:t>2</w:t>
      </w:r>
      <w:r>
        <w:rPr/>
        <w:t>、自甲方自采购合同签订之日起</w:t>
      </w:r>
      <w:r>
        <w:rPr/>
        <w:t>2</w:t>
      </w:r>
      <w:r>
        <w:rPr/>
        <w:t>个工作日内，将采购合同在省采购网上公告，但采购合同中涉及国家秘密、商业秘密的内容除外。此合同公开视为采购合同备案。乙方应配合甲方的采购合同网上公告工作。</w:t>
      </w:r>
    </w:p>
    <w:p>
      <w:pPr>
        <w:pStyle w:val="null3"/>
      </w:pPr>
      <w:r>
        <w:rPr>
          <w:b/>
        </w:rPr>
        <w:t>十六、乙方应提供的资料内容：</w:t>
      </w:r>
    </w:p>
    <w:p>
      <w:pPr>
        <w:pStyle w:val="null3"/>
        <w:ind w:firstLine="480"/>
      </w:pPr>
      <w:r>
        <w:rPr/>
        <w:t>1</w:t>
      </w:r>
      <w:r>
        <w:rPr/>
        <w:t>、产品必须提供出厂合格证，并提供甲方名下终端客户保修注册资料。</w:t>
      </w:r>
    </w:p>
    <w:p>
      <w:pPr>
        <w:pStyle w:val="null3"/>
        <w:ind w:firstLine="480"/>
      </w:pPr>
      <w:r>
        <w:rPr/>
        <w:t>2</w:t>
      </w:r>
      <w:r>
        <w:rPr/>
        <w:t>、关键产品</w:t>
      </w:r>
      <w:r>
        <w:rPr/>
        <w:t>/</w:t>
      </w:r>
      <w:r>
        <w:rPr/>
        <w:t>主机设备的用户手册、保修手册、有关单证资料及配备件、随机工具等交付给甲方，使用操作及安全须知等重要资料应附有中文说明。</w:t>
      </w:r>
    </w:p>
    <w:p>
      <w:pPr>
        <w:pStyle w:val="null3"/>
        <w:ind w:firstLine="480"/>
      </w:pPr>
      <w:r>
        <w:rPr/>
        <w:t>3</w:t>
      </w:r>
      <w:r>
        <w:rPr/>
        <w:t>、提供的医疗器械必须为已注册的医疗器械产品。</w:t>
      </w:r>
    </w:p>
    <w:p>
      <w:pPr>
        <w:pStyle w:val="null3"/>
        <w:ind w:firstLine="480"/>
      </w:pPr>
      <w:r>
        <w:rPr/>
        <w:t>4</w:t>
      </w:r>
      <w:r>
        <w:rPr/>
        <w:t>、提供的医疗器械须有说明书、标签，其内容应当与注册的相关内容一致，确保真实、准确。</w:t>
      </w:r>
    </w:p>
    <w:p>
      <w:pPr>
        <w:pStyle w:val="null3"/>
      </w:pPr>
      <w:r>
        <w:rPr>
          <w:b/>
        </w:rPr>
        <w:t>十七、关于政府采购合同融资</w:t>
      </w:r>
    </w:p>
    <w:p>
      <w:pPr>
        <w:pStyle w:val="null3"/>
        <w:ind w:firstLine="480"/>
        <w:jc w:val="both"/>
      </w:pPr>
      <w:r>
        <w:rPr/>
        <w:t>1</w:t>
      </w:r>
      <w:r>
        <w:rPr/>
        <w:t>、乙方是否已申请政府采购合同融资：</w:t>
      </w:r>
      <w:r>
        <w:rPr>
          <w:u w:val="single"/>
        </w:rPr>
        <w:t xml:space="preserve">  </w:t>
      </w:r>
      <w:r>
        <w:rPr>
          <w:u w:val="single"/>
        </w:rPr>
        <w:t>是</w:t>
      </w:r>
      <w:r>
        <w:rPr>
          <w:u w:val="single"/>
        </w:rPr>
        <w:t xml:space="preserve">/ </w:t>
      </w:r>
      <w:r>
        <w:rPr>
          <w:u w:val="single"/>
        </w:rPr>
        <w:t xml:space="preserve">否  </w:t>
      </w:r>
      <w:r>
        <w:rPr/>
        <w:t>；</w:t>
      </w:r>
    </w:p>
    <w:p>
      <w:pPr>
        <w:pStyle w:val="null3"/>
        <w:ind w:firstLine="200"/>
        <w:jc w:val="both"/>
      </w:pPr>
      <w:r>
        <w:rPr/>
        <w:t>融资银行及联系方式：。</w:t>
      </w:r>
    </w:p>
    <w:p>
      <w:pPr>
        <w:pStyle w:val="null3"/>
        <w:ind w:firstLine="480"/>
        <w:jc w:val="both"/>
      </w:pPr>
      <w:r>
        <w:rPr/>
        <w:t>2</w:t>
      </w:r>
      <w:r>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b/>
        </w:rPr>
        <w:t>十八、其它：</w:t>
      </w:r>
    </w:p>
    <w:p>
      <w:pPr>
        <w:pStyle w:val="null3"/>
        <w:ind w:firstLine="480"/>
        <w:jc w:val="both"/>
      </w:pPr>
      <w:r>
        <w:rPr/>
        <w:t>1</w:t>
      </w:r>
      <w:r>
        <w:rPr/>
        <w:t>、所有经一方或双方签署确认的文件（包括会议纪要、补充协议、往来信函）、招标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t>2</w:t>
      </w:r>
      <w:r>
        <w:rPr/>
        <w:t>、如一方（包括联系人）地址、电话、传真号码有变更，应在变更后</w:t>
      </w:r>
      <w:r>
        <w:rPr/>
        <w:t>3</w:t>
      </w:r>
      <w:r>
        <w:rPr/>
        <w:t>个工作日内书面通知对方联系人或负责人，否则，因此造成的损失由未履行通知义务方承担相应责任。</w:t>
      </w:r>
    </w:p>
    <w:p>
      <w:pPr>
        <w:pStyle w:val="null3"/>
        <w:ind w:firstLine="480"/>
        <w:jc w:val="both"/>
      </w:pPr>
      <w:r>
        <w:rPr/>
        <w:t>3</w:t>
      </w:r>
      <w:r>
        <w:rPr/>
        <w:t>、未经甲方书面同意，乙方不得擅自向第三方转让其主体性和关键性合同义务。</w:t>
      </w:r>
    </w:p>
    <w:p>
      <w:pPr>
        <w:pStyle w:val="null3"/>
        <w:ind w:firstLine="480"/>
        <w:jc w:val="both"/>
      </w:pPr>
      <w:r>
        <w:rPr/>
        <w:t>4</w:t>
      </w:r>
      <w:r>
        <w:rPr/>
        <w:t>、本合同一式份，甲方执份，乙方执份，鉴证单位</w:t>
      </w:r>
      <w:r>
        <w:rPr>
          <w:u w:val="single"/>
        </w:rPr>
        <w:t>壹</w:t>
      </w:r>
      <w:r>
        <w:rPr/>
        <w:t>份。</w:t>
      </w:r>
    </w:p>
    <w:p>
      <w:pPr>
        <w:pStyle w:val="null3"/>
        <w:ind w:firstLine="480"/>
        <w:jc w:val="both"/>
      </w:pPr>
      <w:r>
        <w:rPr/>
        <w:t>5</w:t>
      </w:r>
      <w:r>
        <w:rPr/>
        <w:t>、本合同（含附件）共计页</w:t>
      </w:r>
      <w:r>
        <w:rPr/>
        <w:t>A4</w:t>
      </w:r>
      <w:r>
        <w:rPr/>
        <w:t>纸张，缺页之合同为无效合同。</w:t>
      </w:r>
    </w:p>
    <w:p>
      <w:pPr>
        <w:pStyle w:val="null3"/>
        <w:ind w:firstLine="480"/>
        <w:jc w:val="both"/>
      </w:pPr>
      <w:r>
        <w:rPr/>
        <w:t>6</w:t>
      </w:r>
      <w:r>
        <w:rPr/>
        <w:t>、本合同签约履约地点：广东省佛山市南海区西樵镇樵金公路与碧霞一路交汇处佛山市南海区第四人民医院。</w:t>
      </w:r>
    </w:p>
    <w:p>
      <w:pPr>
        <w:pStyle w:val="null3"/>
        <w:ind w:firstLine="480"/>
        <w:jc w:val="both"/>
      </w:pPr>
      <w:r>
        <w:rPr/>
        <w:t>7</w:t>
      </w:r>
      <w:r>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t>8</w:t>
      </w:r>
      <w:r>
        <w:rPr/>
        <w:t>、乙方完全遵守《中华人民共和国民法典》有关规定和《中华人民共和国妇女权益保障法》中关于“劳动和社会保障权益”的有关要求。</w:t>
      </w:r>
    </w:p>
    <w:p>
      <w:pPr>
        <w:pStyle w:val="null3"/>
        <w:ind w:firstLine="480"/>
        <w:jc w:val="both"/>
      </w:pPr>
      <w:r>
        <w:rPr/>
        <w:t>9</w:t>
      </w:r>
      <w:r>
        <w:rPr/>
        <w:t>、双方均已对以上各条款及附件作充分了解，并明确理解由此而产生的相关权责。</w:t>
      </w:r>
    </w:p>
    <w:p>
      <w:pPr>
        <w:pStyle w:val="null3"/>
        <w:ind w:firstLine="400"/>
        <w:jc w:val="both"/>
      </w:pPr>
      <w:r>
        <w:rPr/>
        <w:t>合同鉴证单位：国义招标股份有限公司佛山分公司（盖章）</w:t>
      </w:r>
    </w:p>
    <w:p>
      <w:pPr>
        <w:pStyle w:val="null3"/>
        <w:ind w:firstLine="400"/>
      </w:pPr>
      <w:r>
        <w:rPr/>
        <w:t>合同鉴证意见：与招标文件确定的事项相符。</w:t>
      </w:r>
    </w:p>
    <w:p>
      <w:pPr>
        <w:pStyle w:val="null3"/>
        <w:ind w:firstLine="400"/>
      </w:pPr>
      <w:r>
        <w:rPr/>
        <w:t>合同鉴证日期：</w:t>
      </w:r>
      <w:r>
        <w:rPr/>
        <w:t>2025</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3860"/>
        <w:gridCol w:w="4446"/>
      </w:tblGrid>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rPr>
              <w:t>甲方（盖章）：佛山市南海区第四人民医院</w:t>
            </w:r>
          </w:p>
          <w:p>
            <w:pPr>
              <w:pStyle w:val="null3"/>
            </w:pPr>
            <w:r>
              <w:rPr>
                <w:sz w:val="19"/>
              </w:rPr>
              <w:t>法定代表人或其授权代表：</w:t>
            </w:r>
          </w:p>
          <w:p>
            <w:pPr>
              <w:pStyle w:val="null3"/>
            </w:pPr>
            <w:r>
              <w:rPr>
                <w:sz w:val="19"/>
              </w:rPr>
              <w:t>地址：佛山市南海区西樵镇樵金公路与碧霞一路交汇处</w:t>
            </w:r>
          </w:p>
          <w:p>
            <w:pPr>
              <w:pStyle w:val="null3"/>
            </w:pPr>
            <w:r>
              <w:rPr>
                <w:sz w:val="19"/>
              </w:rPr>
              <w:t>电话：</w:t>
            </w:r>
            <w:r>
              <w:rPr>
                <w:sz w:val="19"/>
              </w:rPr>
              <w:t>0757-86866961</w:t>
            </w:r>
          </w:p>
          <w:p>
            <w:pPr>
              <w:pStyle w:val="null3"/>
            </w:pPr>
            <w:r>
              <w:rPr>
                <w:sz w:val="19"/>
              </w:rPr>
              <w:t>传真：</w:t>
            </w:r>
          </w:p>
          <w:p>
            <w:pPr>
              <w:pStyle w:val="null3"/>
            </w:pPr>
            <w:r>
              <w:rPr>
                <w:sz w:val="19"/>
              </w:rPr>
              <w:t>日期：</w:t>
            </w:r>
            <w:r>
              <w:rPr>
                <w:sz w:val="19"/>
              </w:rPr>
              <w:t>2025</w:t>
            </w:r>
            <w:r>
              <w:rPr>
                <w:sz w:val="19"/>
              </w:rPr>
              <w:t>年  月  日</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rPr>
              <w:t>乙方（盖章）：</w:t>
            </w:r>
          </w:p>
          <w:p>
            <w:pPr>
              <w:pStyle w:val="null3"/>
            </w:pPr>
            <w:r>
              <w:rPr>
                <w:sz w:val="19"/>
              </w:rPr>
              <w:t>法定代表人或其授权代表：</w:t>
            </w:r>
          </w:p>
          <w:p>
            <w:pPr>
              <w:pStyle w:val="null3"/>
            </w:pPr>
            <w:r>
              <w:rPr>
                <w:sz w:val="19"/>
              </w:rPr>
              <w:t>地址：</w:t>
            </w:r>
          </w:p>
          <w:p>
            <w:pPr>
              <w:pStyle w:val="null3"/>
            </w:pPr>
            <w:r>
              <w:rPr>
                <w:sz w:val="19"/>
              </w:rPr>
              <w:t>电话：</w:t>
            </w:r>
          </w:p>
          <w:p>
            <w:pPr>
              <w:pStyle w:val="null3"/>
            </w:pPr>
            <w:r>
              <w:rPr>
                <w:sz w:val="19"/>
              </w:rPr>
              <w:t>传真：</w:t>
            </w:r>
          </w:p>
          <w:p>
            <w:pPr>
              <w:pStyle w:val="null3"/>
            </w:pPr>
            <w:r>
              <w:rPr>
                <w:sz w:val="19"/>
              </w:rPr>
              <w:t>日期：</w:t>
            </w:r>
            <w:r>
              <w:rPr>
                <w:sz w:val="19"/>
              </w:rPr>
              <w:t>2025</w:t>
            </w:r>
            <w:r>
              <w:rPr>
                <w:sz w:val="19"/>
              </w:rPr>
              <w:t>年  月  日</w:t>
            </w:r>
          </w:p>
        </w:tc>
      </w:tr>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开户名称：</w:t>
            </w:r>
          </w:p>
          <w:p>
            <w:pPr>
              <w:pStyle w:val="null3"/>
            </w:pPr>
            <w:r>
              <w:rPr>
                <w:sz w:val="19"/>
              </w:rPr>
              <w:t>银行账号：</w:t>
            </w:r>
          </w:p>
          <w:p>
            <w:pPr>
              <w:pStyle w:val="null3"/>
            </w:pPr>
            <w:r>
              <w:rPr>
                <w:sz w:val="19"/>
              </w:rPr>
              <w:t>开户行：</w:t>
            </w:r>
          </w:p>
        </w:tc>
      </w:tr>
    </w:tbl>
    <w:p>
      <w:pPr>
        <w:pStyle w:val="null3"/>
        <w:ind w:firstLine="480"/>
        <w:jc w:val="both"/>
      </w:pPr>
      <w:r>
        <w:rPr/>
        <w:t>合同附件清单</w:t>
      </w:r>
    </w:p>
    <w:p>
      <w:pPr>
        <w:pStyle w:val="null3"/>
      </w:pPr>
      <w:r>
        <w:rPr/>
        <w:t>（签合同时补充）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440605-2025-05201</w:t>
      </w:r>
    </w:p>
    <w:p>
      <w:pPr>
        <w:pStyle w:val="null3"/>
        <w:jc w:val="center"/>
        <w:outlineLvl w:val="3"/>
      </w:pPr>
      <w:r>
        <w:rPr>
          <w:sz w:val="24"/>
          <w:b/>
        </w:rPr>
        <w:t>采购项目编号：</w:t>
      </w:r>
      <w:r>
        <w:rPr>
          <w:sz w:val="24"/>
          <w:b/>
        </w:rPr>
        <w:t>440605-2025-05201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光学生物测量仪、角膜地形图</w:t>
      </w:r>
      <w:r>
        <w:rPr>
          <w:u w:val="single"/>
        </w:rPr>
        <w:t>”</w:t>
      </w:r>
      <w:r>
        <w:rPr/>
        <w:t>项目的招标[采购项目编号为：</w:t>
      </w:r>
      <w:r>
        <w:rPr>
          <w:u w:val="single"/>
        </w:rPr>
        <w:t>440605-2025-05201</w:t>
      </w:r>
      <w:r>
        <w:rPr/>
        <w:t>]，我方愿参与投标。</w:t>
      </w:r>
    </w:p>
    <w:p>
      <w:pPr>
        <w:pStyle w:val="null3"/>
        <w:ind w:firstLine="480"/>
      </w:pPr>
      <w:r>
        <w:rPr/>
        <w:t>我方确认收到贵方提供的</w:t>
      </w:r>
      <w:r>
        <w:rPr>
          <w:u w:val="single"/>
        </w:rPr>
        <w:t>“</w:t>
      </w:r>
      <w:r>
        <w:rPr>
          <w:u w:val="single"/>
        </w:rPr>
        <w:t>光学生物测量仪、角膜地形图</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光学生物测量仪、角膜地形图</w:t>
      </w:r>
      <w:r>
        <w:rPr/>
        <w:t>”项目采购[采购项目编号为</w:t>
      </w:r>
      <w:r>
        <w:rPr/>
        <w:t>440605-2025-05201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佛山市南海区第四人民医院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光学生物测量仪、角膜地形图</w:t>
      </w:r>
      <w:r>
        <w:rPr/>
        <w:t>招标中获中标（采购项目编号：</w:t>
      </w:r>
      <w:r>
        <w:rPr/>
        <w:t>440605-2025-05201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光学生物测量仪、角膜地形图</w:t>
      </w:r>
      <w:r>
        <w:rPr/>
        <w:t>”项目（采购项目编号：</w:t>
      </w:r>
      <w:r>
        <w:rPr/>
        <w:t>440605-2025-05201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