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440101-2025-13386</w:t>
      </w:r>
    </w:p>
    <w:p>
      <w:pPr>
        <w:pStyle w:val="null3"/>
        <w:jc w:val="center"/>
        <w:outlineLvl w:val="3"/>
      </w:pPr>
      <w:r>
        <w:rPr>
          <w:sz w:val="24"/>
          <w:b/>
        </w:rPr>
        <w:t>采购项目编号：</w:t>
      </w:r>
      <w:r>
        <w:rPr>
          <w:sz w:val="24"/>
          <w:b/>
        </w:rPr>
        <w:t>0724-2531Z2633819</w:t>
      </w:r>
    </w:p>
    <w:p>
      <w:pPr>
        <w:pStyle w:val="null3"/>
        <w:jc w:val="center"/>
        <w:outlineLvl w:val="3"/>
      </w:pPr>
      <w:r>
        <w:rPr>
          <w:sz w:val="24"/>
          <w:b/>
        </w:rPr>
        <w:t>项目名称：</w:t>
      </w:r>
      <w:r>
        <w:rPr>
          <w:sz w:val="24"/>
          <w:b/>
        </w:rPr>
        <w:t>广州市第一人民医院南沙医院病原微生物检测技术平台及部分检验外送合作项目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广州市第一人民医院南沙医院病原微生物检测技术平台及部分检验外送合作项目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广州市第一人民医院南沙医院病原微生物检测技术平台及部分检验外送合作项目</w:t>
      </w:r>
    </w:p>
    <w:p>
      <w:pPr>
        <w:pStyle w:val="null3"/>
        <w:ind w:firstLine="480"/>
      </w:pPr>
      <w:r>
        <w:rPr/>
        <w:t>采购计划编号：</w:t>
      </w:r>
      <w:r>
        <w:rPr/>
        <w:t>440101-2025-13386</w:t>
      </w:r>
    </w:p>
    <w:p>
      <w:pPr>
        <w:pStyle w:val="null3"/>
        <w:ind w:firstLine="480"/>
      </w:pPr>
      <w:r>
        <w:rPr/>
        <w:t>采购项目编号：</w:t>
      </w:r>
      <w:r>
        <w:rPr/>
        <w:t>0724-2531Z2633819</w:t>
      </w:r>
    </w:p>
    <w:p>
      <w:pPr>
        <w:pStyle w:val="null3"/>
        <w:ind w:firstLine="480"/>
      </w:pPr>
      <w:r>
        <w:rPr/>
        <w:t>采购方式：</w:t>
      </w:r>
      <w:r>
        <w:rPr/>
        <w:t>公开招标</w:t>
      </w:r>
    </w:p>
    <w:p>
      <w:pPr>
        <w:pStyle w:val="null3"/>
        <w:ind w:firstLine="480"/>
      </w:pPr>
      <w:r>
        <w:rPr/>
        <w:t>预算金额：</w:t>
      </w:r>
      <w:r>
        <w:rPr/>
        <w:t>6,220,000.00</w:t>
      </w:r>
      <w:r>
        <w:rPr/>
        <w:t>元</w:t>
      </w:r>
    </w:p>
    <w:p>
      <w:pPr>
        <w:pStyle w:val="null3"/>
        <w:outlineLvl w:val="3"/>
      </w:pPr>
      <w:r>
        <w:rPr>
          <w:sz w:val="24"/>
          <w:b/>
        </w:rPr>
        <w:t>2.项目内容及需求情况（采购项目技术规格、参数及要求）</w:t>
      </w:r>
    </w:p>
    <w:p>
      <w:pPr>
        <w:pStyle w:val="null3"/>
      </w:pPr>
      <w:r>
        <w:rPr/>
        <w:t>采购包1(病原微生物检测技术平台及部分检验外送服务):</w:t>
      </w:r>
    </w:p>
    <w:p>
      <w:pPr>
        <w:pStyle w:val="null3"/>
      </w:pPr>
      <w:r>
        <w:rPr/>
        <w:t>采购包预算金额：6,220,000.00元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病原微生物检测技术平台及部分检验外送</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6,220,000.00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合同履行期限：自合同签订生效之日起3年，或中标（合同）金额用完为止，以先到的条件为准。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采购包1（病原微生物检测技术平台及部分检验外送服务）：</w:t>
      </w:r>
      <w:r>
        <w:rPr/>
        <w:t>本采购包不属于专门面向中小微企业采购的项目。（供应商如需提供《中小企业声明函》，本项目标的按照《中小企业划分标准规定》（工信部联企业[2011]300号）划分行业为：其他未列明行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采购包1（病原微生物检测技术平台及部分检验外送服务）：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须具备有效的《医疗机构执业许可证》，且诊疗科目须包含医学检验科。提供复印件并加盖公章。如投标人所提供许可证名称与投标人名称不一致，需同时提供两者之间的说明文件。（如国家另有规定，则适用其规定）。（投标文件中提供复印件作为证明材料）</w:t>
      </w:r>
    </w:p>
    <w:p>
      <w:pPr>
        <w:pStyle w:val="null3"/>
      </w:pPr>
      <w:r>
        <w:rPr/>
        <w:t>8)投标人具备《临床基因扩增检验实验室技术审核合格证书》或《临床基因扩增检验实验室技术验收合格证书》。如投标人所提供许可证名称与投标人名称不一致，需同时提供两者之间的说明文件。（如国家另有规定，则适用其规定）。（投标文件中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020-28693717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w:t>
      </w:r>
    </w:p>
    <w:tbl>
      <w:tblPr>
        <w:tblW w:w="0" w:type="auto"/>
        <w:tblBorders>
          <w:top w:val="none" w:color="000000" w:sz="4"/>
          <w:left w:val="none" w:color="000000" w:sz="4"/>
          <w:bottom w:val="none" w:color="000000" w:sz="4"/>
          <w:right w:val="none" w:color="000000" w:sz="4"/>
          <w:insideH w:val="none"/>
          <w:insideV w:val="none"/>
        </w:tblBorders>
      </w:tblPr>
      <w:tblGrid>
        <w:gridCol w:w="2498"/>
        <w:gridCol w:w="710"/>
        <w:gridCol w:w="1445"/>
        <w:gridCol w:w="3652"/>
      </w:tblGrid>
      <w:tr>
        <w:tc>
          <w:tcPr>
            <w:tcW w:type="dxa" w:w="2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c>
          <w:tcPr>
            <w:tcW w:type="dxa" w:w="3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服务期限</w:t>
            </w:r>
          </w:p>
        </w:tc>
      </w:tr>
      <w:tr>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病原微生物检测技术平台及部分检验外送服务</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662</w:t>
            </w:r>
            <w:r>
              <w:rPr>
                <w:sz w:val="21"/>
                <w:color w:val="000000"/>
              </w:rPr>
              <w:t>万元</w:t>
            </w:r>
          </w:p>
        </w:tc>
        <w:tc>
          <w:tcPr>
            <w:tcW w:type="dxa" w:w="3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合同签订生效之日起</w:t>
            </w:r>
            <w:r>
              <w:rPr>
                <w:sz w:val="21"/>
                <w:color w:val="000000"/>
              </w:rPr>
              <w:t>3</w:t>
            </w:r>
            <w:r>
              <w:rPr>
                <w:sz w:val="21"/>
                <w:color w:val="000000"/>
              </w:rPr>
              <w:t>年，或</w:t>
            </w:r>
            <w:r>
              <w:rPr>
                <w:sz w:val="21"/>
                <w:color w:val="000000"/>
              </w:rPr>
              <w:t>合同金额</w:t>
            </w:r>
            <w:r>
              <w:rPr>
                <w:sz w:val="21"/>
                <w:color w:val="000000"/>
              </w:rPr>
              <w:t>用完为止，以先到的条件为准</w:t>
            </w:r>
            <w:r>
              <w:rPr>
                <w:sz w:val="21"/>
                <w:color w:val="000000"/>
              </w:rPr>
              <w:t>。</w:t>
            </w:r>
          </w:p>
        </w:tc>
      </w:tr>
    </w:tbl>
    <w:p>
      <w:pPr>
        <w:pStyle w:val="null3"/>
        <w:ind w:left="210" w:right="195" w:firstLine="453"/>
      </w:pPr>
      <w:r>
        <w:rPr>
          <w:color w:val="000000"/>
        </w:rPr>
        <w:t>详细技术规范请参阅招标文件中的用户需求书。投标人必须对本项目的全部内容进行投标报价，如有缺漏或报价超出本项目的采购预算，将导致投标无效。</w:t>
      </w:r>
    </w:p>
    <w:p>
      <w:pPr>
        <w:pStyle w:val="null3"/>
        <w:ind w:left="210" w:right="195" w:firstLine="453"/>
      </w:pPr>
      <w:r>
        <w:rPr>
          <w:sz w:val="21"/>
          <w:color w:val="000000"/>
        </w:rPr>
        <w:t>本项目采购本国服务。</w:t>
      </w:r>
    </w:p>
    <w:p>
      <w:pPr>
        <w:pStyle w:val="null3"/>
      </w:pPr>
      <w:r>
        <w:rPr>
          <w:b/>
          <w:color w:val="000000"/>
        </w:rPr>
        <w:t>说明：投标人应对以下《用户需求书》的全部内容，逐条响应并填写《格式十五：技术和服务要求响应表》，仅对其中部分技术或服务内容的响应都被视为无效投标。</w:t>
      </w:r>
    </w:p>
    <w:p>
      <w:pPr>
        <w:pStyle w:val="null3"/>
      </w:pPr>
      <w:r>
        <w:rPr>
          <w:sz w:val="21"/>
          <w:b/>
          <w:color w:val="000000"/>
        </w:rPr>
        <w:t>用户需求书</w:t>
      </w:r>
    </w:p>
    <w:p>
      <w:pPr>
        <w:pStyle w:val="null3"/>
        <w:jc w:val="both"/>
      </w:pPr>
      <w:r>
        <w:rPr>
          <w:sz w:val="21"/>
          <w:b/>
          <w:color w:val="000000"/>
        </w:rPr>
        <w:t>说明：打</w:t>
      </w:r>
      <w:r>
        <w:rPr>
          <w:sz w:val="21"/>
          <w:b/>
          <w:color w:val="000000"/>
        </w:rPr>
        <w:t>“★”号条款为实质性条款，若有任何一条负偏离或不满足则导致投标（响应）无效。</w:t>
      </w:r>
    </w:p>
    <w:p>
      <w:pPr>
        <w:pStyle w:val="null3"/>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pPr>
      <w:r>
        <w:rPr>
          <w:sz w:val="21"/>
          <w:b/>
          <w:color w:val="000000"/>
        </w:rPr>
        <w:t>一、</w:t>
      </w:r>
      <w:r>
        <w:rPr>
          <w:sz w:val="21"/>
          <w:b/>
          <w:color w:val="000000"/>
        </w:rPr>
        <w:t>项目具体采购内容及服务要求</w:t>
      </w:r>
    </w:p>
    <w:p>
      <w:pPr>
        <w:pStyle w:val="null3"/>
        <w:jc w:val="both"/>
      </w:pPr>
      <w:r>
        <w:rPr>
          <w:sz w:val="21"/>
          <w:b/>
          <w:color w:val="000000"/>
        </w:rPr>
        <w:t>（一）</w:t>
      </w:r>
      <w:r>
        <w:rPr>
          <w:sz w:val="21"/>
          <w:b/>
          <w:color w:val="000000"/>
        </w:rPr>
        <w:t>项目背景：</w:t>
      </w:r>
    </w:p>
    <w:p>
      <w:pPr>
        <w:pStyle w:val="null3"/>
        <w:ind w:firstLine="420"/>
        <w:jc w:val="both"/>
      </w:pPr>
      <w:r>
        <w:rPr>
          <w:sz w:val="21"/>
          <w:color w:val="000000"/>
        </w:rPr>
        <w:t>广州市第一人民医院南沙医院地处粤港澳大湾区几何中心的广州南沙新区，由广州市人民政府与南沙区人民政府按照公立医院三级甲等医院标准共同投资兴建，属于广州市第一人民医院（华南理工大学附属二院）的院区。经过十多年发展，广州市第一人民医院南沙医院已建成近千张床位、专科齐全和设备一流的高水平现代化</w:t>
      </w:r>
      <w:r>
        <w:rPr>
          <w:sz w:val="21"/>
          <w:color w:val="000000"/>
        </w:rPr>
        <w:t>“花园式”医院和南沙自贸区的区域性诊疗中心、疑难病诊疗中心和重症救治中心。</w:t>
      </w:r>
    </w:p>
    <w:p>
      <w:pPr>
        <w:pStyle w:val="null3"/>
        <w:jc w:val="both"/>
      </w:pPr>
      <w:r>
        <w:rPr>
          <w:sz w:val="21"/>
          <w:b/>
          <w:color w:val="000000"/>
        </w:rPr>
        <w:t>（二）</w:t>
      </w:r>
      <w:r>
        <w:rPr>
          <w:sz w:val="21"/>
          <w:b/>
          <w:color w:val="000000"/>
        </w:rPr>
        <w:t>项目名称：</w:t>
      </w:r>
      <w:r>
        <w:rPr>
          <w:sz w:val="21"/>
          <w:color w:val="000000"/>
        </w:rPr>
        <w:t>广州市第一人民医院南沙医院病原微生物检测技术平台及部分检验外送合作项目</w:t>
      </w:r>
    </w:p>
    <w:p>
      <w:pPr>
        <w:pStyle w:val="null3"/>
        <w:jc w:val="both"/>
      </w:pPr>
      <w:r>
        <w:rPr>
          <w:sz w:val="21"/>
          <w:b/>
          <w:color w:val="000000"/>
        </w:rPr>
        <w:t>（三）</w:t>
      </w:r>
      <w:r>
        <w:rPr>
          <w:sz w:val="21"/>
          <w:b/>
          <w:color w:val="000000"/>
        </w:rPr>
        <w:t>服务地点</w:t>
      </w:r>
      <w:r>
        <w:rPr>
          <w:sz w:val="21"/>
          <w:color w:val="000000"/>
        </w:rPr>
        <w:t>：广州市第一人民医院南沙医院</w:t>
      </w:r>
    </w:p>
    <w:p>
      <w:pPr>
        <w:pStyle w:val="null3"/>
        <w:jc w:val="both"/>
      </w:pPr>
      <w:r>
        <w:rPr>
          <w:sz w:val="21"/>
          <w:b/>
          <w:color w:val="000000"/>
        </w:rPr>
        <w:t>（四）</w:t>
      </w:r>
      <w:r>
        <w:rPr>
          <w:sz w:val="21"/>
          <w:b/>
          <w:color w:val="000000"/>
        </w:rPr>
        <w:t>服务时间：</w:t>
      </w:r>
      <w:r>
        <w:rPr>
          <w:sz w:val="21"/>
          <w:color w:val="000000"/>
        </w:rPr>
        <w:t>合同签订生效之日起</w:t>
      </w:r>
      <w:r>
        <w:rPr>
          <w:sz w:val="21"/>
          <w:color w:val="000000"/>
        </w:rPr>
        <w:t>3</w:t>
      </w:r>
      <w:r>
        <w:rPr>
          <w:sz w:val="21"/>
          <w:color w:val="000000"/>
        </w:rPr>
        <w:t>年</w:t>
      </w:r>
      <w:r>
        <w:rPr>
          <w:sz w:val="21"/>
          <w:color w:val="000000"/>
        </w:rPr>
        <w:t>，</w:t>
      </w:r>
      <w:r>
        <w:rPr>
          <w:sz w:val="21"/>
          <w:color w:val="000000"/>
        </w:rPr>
        <w:t>或</w:t>
      </w:r>
      <w:r>
        <w:rPr>
          <w:sz w:val="21"/>
          <w:color w:val="000000"/>
        </w:rPr>
        <w:t>合同金额</w:t>
      </w:r>
      <w:r>
        <w:rPr>
          <w:sz w:val="21"/>
          <w:color w:val="000000"/>
        </w:rPr>
        <w:t>用完为止，以先到的条件为准。</w:t>
      </w:r>
    </w:p>
    <w:p>
      <w:pPr>
        <w:pStyle w:val="null3"/>
        <w:jc w:val="both"/>
      </w:pPr>
      <w:r>
        <w:rPr>
          <w:sz w:val="21"/>
          <w:b/>
          <w:color w:val="000000"/>
        </w:rPr>
        <w:t>（</w:t>
      </w:r>
      <w:r>
        <w:rPr>
          <w:sz w:val="21"/>
          <w:b/>
          <w:color w:val="000000"/>
        </w:rPr>
        <w:t>五）</w:t>
      </w:r>
      <w:r>
        <w:rPr>
          <w:sz w:val="21"/>
          <w:b/>
          <w:color w:val="000000"/>
        </w:rPr>
        <w:t>项目采购预算</w:t>
      </w:r>
      <w:r>
        <w:rPr>
          <w:sz w:val="21"/>
          <w:color w:val="000000"/>
        </w:rPr>
        <w:t>：</w:t>
      </w:r>
      <w:r>
        <w:rPr>
          <w:sz w:val="21"/>
          <w:color w:val="000000"/>
        </w:rPr>
        <w:t>622万元</w:t>
      </w:r>
    </w:p>
    <w:p>
      <w:pPr>
        <w:pStyle w:val="null3"/>
        <w:jc w:val="both"/>
      </w:pPr>
      <w:r>
        <w:rPr>
          <w:sz w:val="21"/>
          <w:b/>
          <w:color w:val="000000"/>
        </w:rPr>
        <w:t>（六）</w:t>
      </w:r>
      <w:r>
        <w:rPr>
          <w:sz w:val="21"/>
          <w:b/>
          <w:color w:val="000000"/>
        </w:rPr>
        <w:t>★报价要求：</w:t>
      </w:r>
    </w:p>
    <w:p>
      <w:pPr>
        <w:pStyle w:val="null3"/>
        <w:ind w:firstLine="420"/>
        <w:jc w:val="both"/>
      </w:pPr>
      <w:r>
        <w:rPr>
          <w:sz w:val="21"/>
          <w:color w:val="000000"/>
        </w:rPr>
        <w:t>本项目中标（合同）金额＝采购预算</w:t>
      </w:r>
      <w:r>
        <w:rPr>
          <w:sz w:val="21"/>
          <w:color w:val="000000"/>
        </w:rPr>
        <w:t>×（1-下浮率（优惠率））；各项中标（合同）单价＝对应单价×（1-下浮率（优惠率））。如中标（合同）金额和各项中标（合同）单价计算后非整数，则金额四舍五入，小数点后保留2位有效数。各项检测项目的单价详见上文“外送项目服务要求”。投标人提供统一的投标下浮率（优惠率），投标下浮率（优惠率）须≥20%。中标人向采购人收取服务费用，按实际检验量进行服务费结算，采购人与中标人的结算价格=采购人收取中标人的结算服务费用=∑[（每单项对应的单价最高限价×实际发生每单项检测的数量）×（1-中标下浮率（优惠率）]。</w:t>
      </w:r>
    </w:p>
    <w:p>
      <w:pPr>
        <w:pStyle w:val="null3"/>
        <w:jc w:val="both"/>
      </w:pPr>
      <w:r>
        <w:rPr>
          <w:sz w:val="21"/>
          <w:b/>
          <w:color w:val="000000"/>
        </w:rPr>
        <w:t>（</w:t>
      </w:r>
      <w:r>
        <w:rPr>
          <w:sz w:val="21"/>
          <w:b/>
          <w:color w:val="000000"/>
        </w:rPr>
        <w:t>七）</w:t>
      </w:r>
      <w:r>
        <w:rPr>
          <w:sz w:val="21"/>
          <w:b/>
          <w:color w:val="000000"/>
        </w:rPr>
        <w:t>检验方案内容：</w:t>
      </w:r>
    </w:p>
    <w:p>
      <w:pPr>
        <w:pStyle w:val="null3"/>
        <w:ind w:firstLine="420"/>
        <w:jc w:val="both"/>
      </w:pPr>
      <w:r>
        <w:rPr>
          <w:sz w:val="21"/>
          <w:color w:val="000000"/>
        </w:rPr>
        <w:t>为提升医院病原微生物检验水平，突破因检验设备、技术等原因造成的瓶颈，提高与临床的沟通和服务能力，特采用公开招标采购方式，选定一家具有相关检验资质和能力的检验服务机构，负责医院部分外送检验项目工作；并解决病原微生物技术平台设备不足问题，负责协助医院病原微生物平台实验室建设、技术人员的补充以及运营。</w:t>
      </w:r>
    </w:p>
    <w:p>
      <w:pPr>
        <w:pStyle w:val="null3"/>
        <w:jc w:val="both"/>
      </w:pPr>
      <w:r>
        <w:rPr>
          <w:sz w:val="21"/>
          <w:b/>
          <w:color w:val="000000"/>
        </w:rPr>
        <w:t>（</w:t>
      </w:r>
      <w:r>
        <w:rPr>
          <w:sz w:val="21"/>
          <w:b/>
          <w:color w:val="000000"/>
        </w:rPr>
        <w:t>八）</w:t>
      </w:r>
      <w:r>
        <w:rPr>
          <w:sz w:val="21"/>
          <w:b/>
          <w:color w:val="000000"/>
        </w:rPr>
        <w:t>外送项目服务需求：</w:t>
      </w:r>
    </w:p>
    <w:p>
      <w:pPr>
        <w:pStyle w:val="null3"/>
        <w:ind w:firstLine="420"/>
        <w:jc w:val="left"/>
      </w:pPr>
      <w:r>
        <w:rPr>
          <w:sz w:val="21"/>
          <w:color w:val="000000"/>
        </w:rPr>
        <w:t>8.1.</w:t>
      </w:r>
      <w:r>
        <w:rPr>
          <w:sz w:val="21"/>
          <w:color w:val="000000"/>
        </w:rPr>
        <w:t>供应商需提供包括但不限于以下项目的检验检测：</w:t>
      </w:r>
    </w:p>
    <w:tbl>
      <w:tblPr>
        <w:tblW w:w="0" w:type="auto"/>
        <w:tblBorders>
          <w:top w:val="none" w:color="000000" w:sz="4"/>
          <w:left w:val="none" w:color="000000" w:sz="4"/>
          <w:bottom w:val="none" w:color="000000" w:sz="4"/>
          <w:right w:val="none" w:color="000000" w:sz="4"/>
          <w:insideH w:val="none"/>
          <w:insideV w:val="none"/>
        </w:tblBorders>
      </w:tblPr>
      <w:tblGrid>
        <w:gridCol w:w="430"/>
        <w:gridCol w:w="3744"/>
        <w:gridCol w:w="1061"/>
        <w:gridCol w:w="1907"/>
        <w:gridCol w:w="1133"/>
      </w:tblGrid>
      <w:tr>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项目名称</w:t>
            </w:r>
          </w:p>
        </w:tc>
        <w:tc>
          <w:tcPr>
            <w:tcW w:type="dxa" w:w="1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检验方法</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项目单价最高限价（元）</w:t>
            </w:r>
            <w:r>
              <w:rPr>
                <w:sz w:val="21"/>
                <w:b/>
                <w:color w:val="000000"/>
              </w:rPr>
              <w:t>/项/次</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报告时间</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细菌培养</w:t>
            </w:r>
            <w:r>
              <w:rPr>
                <w:sz w:val="21"/>
                <w:color w:val="000000"/>
              </w:rPr>
              <w:t>(细菌+真菌)+鉴定(阳性加做药敏)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血培养</w:t>
            </w:r>
            <w:r>
              <w:rPr>
                <w:sz w:val="21"/>
                <w:color w:val="000000"/>
              </w:rPr>
              <w:t>+鉴定(需氧)(阳性加做药敏)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真菌涂片检查</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4.725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细菌培养</w:t>
            </w:r>
            <w:r>
              <w:rPr>
                <w:sz w:val="21"/>
                <w:color w:val="000000"/>
              </w:rPr>
              <w:t>+鉴定(阳性加做药敏)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血培养</w:t>
            </w:r>
            <w:r>
              <w:rPr>
                <w:sz w:val="21"/>
                <w:color w:val="000000"/>
              </w:rPr>
              <w:t>+鉴定(厌氧)</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结核菌涂片检查</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一般细菌涂片</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B群链球菌培养+鉴定（阳性加做药敏）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痰结核菌涂片检查</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结核杆菌培养</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脑脊液涂片找隐球菌</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淋球菌培养</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细菌培养及鉴定（</w:t>
            </w:r>
            <w:r>
              <w:rPr>
                <w:sz w:val="21"/>
                <w:color w:val="000000"/>
              </w:rPr>
              <w:t>CRE筛选，阳性加做药敏）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脑脊液涂片找革兰氏阴性双球菌</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w:t>
            </w:r>
            <w:r>
              <w:rPr>
                <w:sz w:val="21"/>
                <w:color w:val="000000"/>
              </w:rPr>
              <w:t>II菌培养</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全年药敏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MIC法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7.5/每种药物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靶向病原分枝杆菌检测（</w:t>
            </w:r>
            <w:r>
              <w:rPr>
                <w:sz w:val="21"/>
                <w:color w:val="000000"/>
              </w:rPr>
              <w:t>DNA+耐药基因）</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多重</w:t>
            </w:r>
            <w:r>
              <w:rPr>
                <w:sz w:val="21"/>
                <w:color w:val="000000"/>
              </w:rPr>
              <w:t>PCR+二代</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942.08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靶向病原基础版</w:t>
            </w:r>
            <w:r>
              <w:rPr>
                <w:sz w:val="21"/>
                <w:color w:val="000000"/>
              </w:rPr>
              <w:t>376种病原体（DNA+RNA+耐药基因)</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多重</w:t>
            </w:r>
            <w:r>
              <w:rPr>
                <w:sz w:val="21"/>
                <w:color w:val="000000"/>
              </w:rPr>
              <w:t>PCR+二代测序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706.56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靶向病原加强版</w:t>
            </w:r>
            <w:r>
              <w:rPr>
                <w:sz w:val="21"/>
                <w:color w:val="000000"/>
              </w:rPr>
              <w:t>576种病原体（DNA+RNA+耐药基因)</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多重</w:t>
            </w:r>
            <w:r>
              <w:rPr>
                <w:sz w:val="21"/>
                <w:color w:val="000000"/>
              </w:rPr>
              <w:t>PCR+二代测序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1265.92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靶向病原精简版</w:t>
            </w:r>
            <w:r>
              <w:rPr>
                <w:sz w:val="21"/>
                <w:color w:val="000000"/>
              </w:rPr>
              <w:t>199种病原体（DNA+RNA+耐药基因)</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多重</w:t>
            </w:r>
            <w:r>
              <w:rPr>
                <w:sz w:val="21"/>
                <w:color w:val="000000"/>
              </w:rPr>
              <w:t>PCR+二代测序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294.4</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靶向病原升级版</w:t>
            </w:r>
            <w:r>
              <w:rPr>
                <w:sz w:val="21"/>
                <w:color w:val="000000"/>
              </w:rPr>
              <w:t>476种病原体（DNA+RNA+耐药基因)</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多重</w:t>
            </w:r>
            <w:r>
              <w:rPr>
                <w:sz w:val="21"/>
                <w:color w:val="000000"/>
              </w:rPr>
              <w:t>PCR+二代测序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942.08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病原微生物宏基因组检测（</w:t>
            </w:r>
            <w:r>
              <w:rPr>
                <w:sz w:val="21"/>
                <w:color w:val="000000"/>
              </w:rPr>
              <w:t>DNA）</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病原微生物宏基因组检测（</w:t>
            </w:r>
            <w:r>
              <w:rPr>
                <w:sz w:val="21"/>
                <w:color w:val="000000"/>
              </w:rPr>
              <w:t>DNA+RNA）</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3220</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肠癌多基因甲基化检测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荧光定量</w:t>
            </w:r>
            <w:r>
              <w:rPr>
                <w:sz w:val="21"/>
                <w:color w:val="000000"/>
              </w:rPr>
              <w:t>PCR法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肝癌多基因甲基化检测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荧光定量</w:t>
            </w:r>
            <w:r>
              <w:rPr>
                <w:sz w:val="21"/>
                <w:color w:val="000000"/>
              </w:rPr>
              <w:t>PCR</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宫颈癌基因甲基化检测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荧光定量</w:t>
            </w:r>
            <w:r>
              <w:rPr>
                <w:sz w:val="21"/>
                <w:color w:val="000000"/>
              </w:rPr>
              <w:t>PCR</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染色体异常高通量测序检测（</w:t>
            </w:r>
            <w:r>
              <w:rPr>
                <w:sz w:val="21"/>
                <w:color w:val="000000"/>
              </w:rPr>
              <w:t>CNV_seq）</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1324.8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全基因组高通量测序</w:t>
            </w:r>
            <w:r>
              <w:rPr>
                <w:sz w:val="21"/>
                <w:color w:val="000000"/>
              </w:rPr>
              <w:t>(CNV-seq)</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高通量测序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1059.84</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遗传性耳聋基因检测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遗传病扩展型携带者筛查</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NGS+PCR联合毛细管电泳+PCR联合电泳</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地中海贫血基因分型（非缺失型</w:t>
            </w:r>
            <w:r>
              <w:rPr>
                <w:sz w:val="21"/>
                <w:color w:val="000000"/>
              </w:rPr>
              <w:t>α-地中海贫血基因检测、缺失型α-地中海贫血基因检测、β地中海贫血基因突变检测）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一代测序</w:t>
            </w:r>
            <w:r>
              <w:rPr>
                <w:sz w:val="21"/>
                <w:color w:val="000000"/>
              </w:rPr>
              <w:t>+MLPA</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231.38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脊肌萎缩症（</w:t>
            </w:r>
            <w:r>
              <w:rPr>
                <w:sz w:val="21"/>
                <w:color w:val="000000"/>
              </w:rPr>
              <w:t>SMA）基因筛查</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PCR熔解曲线法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161.46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红细胞叶酸谱检测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液相色谱</w:t>
            </w:r>
            <w:r>
              <w:rPr>
                <w:sz w:val="21"/>
                <w:color w:val="000000"/>
              </w:rPr>
              <w:t>-串联质谱法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161.92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叶酸代谢能力基因（</w:t>
            </w:r>
            <w:r>
              <w:rPr>
                <w:sz w:val="21"/>
                <w:color w:val="000000"/>
              </w:rPr>
              <w:t>MTHFR、MTRR）检测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w:t>
            </w:r>
            <w:r>
              <w:rPr>
                <w:sz w:val="21"/>
                <w:color w:val="000000"/>
              </w:rPr>
              <w:t>PCR法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子痫前期风险预测（</w:t>
            </w:r>
            <w:r>
              <w:rPr>
                <w:sz w:val="21"/>
                <w:color w:val="000000"/>
              </w:rPr>
              <w:t>sFlt-1、PLGF、sFlt-1/PLGF）</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17a-羟基孕酮(17a-OHP)</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雄烯二酮</w:t>
            </w:r>
            <w:r>
              <w:rPr>
                <w:sz w:val="21"/>
                <w:color w:val="000000"/>
              </w:rPr>
              <w:t>(AD)</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胰岛素样生长因子结合蛋白</w:t>
            </w:r>
            <w:r>
              <w:rPr>
                <w:sz w:val="21"/>
                <w:color w:val="000000"/>
              </w:rPr>
              <w:t>3(IGFBP-3)</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染色体基因芯片检测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染色体基因芯片法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1987.2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高分辨率染色体基因芯片检测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染色体基因芯片法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2980.2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血流变组合五项</w:t>
            </w:r>
            <w:r>
              <w:rPr>
                <w:sz w:val="21"/>
                <w:color w:val="000000"/>
              </w:rPr>
              <w:t>(全血粘度低切(1)</w:t>
            </w:r>
            <w:r>
              <w:br/>
            </w:r>
            <w:r>
              <w:rPr>
                <w:sz w:val="21"/>
                <w:color w:val="000000"/>
              </w:rPr>
              <w:t>全血粘度低切</w:t>
            </w:r>
            <w:r>
              <w:rPr>
                <w:sz w:val="21"/>
                <w:color w:val="000000"/>
              </w:rPr>
              <w:t>(5)、全血粘度中切(30)、全血粘度高切(200)、血浆粘度)</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物理法</w:t>
            </w:r>
            <w:r>
              <w:rPr>
                <w:sz w:val="21"/>
                <w:color w:val="000000"/>
              </w:rPr>
              <w:t>(锥板法)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真菌</w:t>
            </w:r>
            <w:r>
              <w:rPr>
                <w:sz w:val="21"/>
                <w:color w:val="000000"/>
              </w:rPr>
              <w:t>D-葡聚糖检测（G试验）</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动态显色法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曲霉抗原检测（</w:t>
            </w:r>
            <w:r>
              <w:rPr>
                <w:sz w:val="21"/>
                <w:color w:val="000000"/>
              </w:rPr>
              <w:t>GM试验）</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酶联免疫法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3工作日</w:t>
            </w:r>
          </w:p>
        </w:tc>
      </w:tr>
    </w:tbl>
    <w:p>
      <w:pPr>
        <w:pStyle w:val="null3"/>
        <w:jc w:val="both"/>
      </w:pPr>
      <w:r>
        <w:rPr>
          <w:sz w:val="21"/>
          <w:color w:val="000000"/>
        </w:rPr>
        <w:t>8.2.委托检验项目所采用的检测试剂盒应按分类要求已通过国家或省食品药品监督局的审批，或投标人具有该类型项目的临床试点资质。</w:t>
      </w:r>
    </w:p>
    <w:p>
      <w:pPr>
        <w:pStyle w:val="null3"/>
        <w:ind w:firstLine="420"/>
      </w:pPr>
      <w:r>
        <w:rPr>
          <w:sz w:val="21"/>
          <w:color w:val="000000"/>
        </w:rPr>
        <w:t>8.3.如采购人要求，中标人提供委托检验项目的标准操作程序。</w:t>
      </w:r>
    </w:p>
    <w:p>
      <w:pPr>
        <w:pStyle w:val="null3"/>
        <w:ind w:firstLine="420"/>
      </w:pPr>
      <w:r>
        <w:rPr>
          <w:sz w:val="21"/>
          <w:color w:val="000000"/>
        </w:rPr>
        <w:t>8.4.根据国家卫生健康委临床检验中心最新的室间质量评价计划及要求，每年需对委托检验项目开展室间质评。中标后，中标人在项目运营过程中需提供每年1次的委托检验项目的室内质量控制和室间质评方案及结果报告。</w:t>
      </w:r>
    </w:p>
    <w:p>
      <w:pPr>
        <w:pStyle w:val="null3"/>
        <w:ind w:firstLine="420"/>
      </w:pPr>
      <w:r>
        <w:rPr>
          <w:sz w:val="21"/>
          <w:color w:val="000000"/>
        </w:rPr>
        <w:t>8.5.需提供符合临床标本运送的专业物流服务，运输应符合生物安全要求，并确保标本运输与保存不影响检验质量。</w:t>
      </w:r>
    </w:p>
    <w:p>
      <w:pPr>
        <w:pStyle w:val="null3"/>
        <w:ind w:firstLine="420"/>
      </w:pPr>
      <w:r>
        <w:rPr>
          <w:sz w:val="21"/>
          <w:color w:val="000000"/>
        </w:rPr>
        <w:t>8.6.需提供与本项目委托检验相关的实验室安全管理制度、质量管理制度、工作制度等内部管理的规章制度。</w:t>
      </w:r>
    </w:p>
    <w:p>
      <w:pPr>
        <w:pStyle w:val="null3"/>
        <w:jc w:val="both"/>
      </w:pPr>
      <w:r>
        <w:rPr>
          <w:sz w:val="21"/>
          <w:b/>
          <w:color w:val="000000"/>
        </w:rPr>
        <w:t>（九）病原微生物检测技术平台服务</w:t>
      </w:r>
    </w:p>
    <w:p>
      <w:pPr>
        <w:pStyle w:val="null3"/>
        <w:ind w:firstLine="420"/>
        <w:jc w:val="both"/>
      </w:pPr>
      <w:r>
        <w:rPr>
          <w:sz w:val="21"/>
          <w:color w:val="000000"/>
        </w:rPr>
        <w:t>9.1.在</w:t>
      </w:r>
      <w:r>
        <w:rPr>
          <w:sz w:val="21"/>
          <w:color w:val="000000"/>
        </w:rPr>
        <w:t>病原微生物检测项目，投标人需提供平台检测本地化服务方案，方案需包括项目检测所需的仪器设备、技术人员驻点、协助采购人开展检验人员对</w:t>
      </w:r>
      <w:r>
        <w:rPr>
          <w:sz w:val="21"/>
          <w:color w:val="000000"/>
        </w:rPr>
        <w:t>ISO15189知识等进修培训、协助采购人开展继续教育、专题讲座、临床沟通会等学术交流等活动。在病原微生物检测技术平台服务中，提供所需仪器设备（包括但不限于下表）并负责所有相关仪器设备的日常维护保养，保障实验室顺利运行。合同服务期满后，相关设备归属中标人。</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w:t>
            </w:r>
            <w:r>
              <w:rPr>
                <w:sz w:val="21"/>
                <w:color w:val="000000"/>
              </w:rPr>
              <w:t>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微生物智能质谱仪</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荧光定量</w:t>
            </w:r>
            <w:r>
              <w:rPr>
                <w:sz w:val="21"/>
                <w:color w:val="000000"/>
              </w:rPr>
              <w:t>PCR仪</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自动染片机</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其他平台相关辅助设备按需配置</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若干</w:t>
            </w:r>
          </w:p>
        </w:tc>
      </w:tr>
    </w:tbl>
    <w:p>
      <w:pPr>
        <w:pStyle w:val="null3"/>
        <w:ind w:firstLine="420"/>
      </w:pPr>
      <w:r>
        <w:rPr>
          <w:sz w:val="21"/>
          <w:color w:val="000000"/>
        </w:rPr>
        <w:t>▲</w:t>
      </w:r>
      <w:r>
        <w:rPr>
          <w:sz w:val="21"/>
          <w:color w:val="000000"/>
        </w:rPr>
        <w:t>9.2.中标人需委派至少1名具有临床医学检验技术专业技术资格的卫生技术人员驻点</w:t>
      </w:r>
      <w:r>
        <w:rPr>
          <w:sz w:val="21"/>
          <w:color w:val="000000"/>
        </w:rPr>
        <w:t>（提供资格证等相关证明文件）</w:t>
      </w:r>
      <w:r>
        <w:rPr>
          <w:sz w:val="21"/>
          <w:color w:val="000000"/>
        </w:rPr>
        <w:t>，参与实验室日常排班，每个班次时间跟采购人职工上下班时间要求一致，完成技术服务，特殊情况按采购人要求进行值班、加班等。同时中标人需有充足技术人员能应对驻点人员调班需求。中标人驻点人员需对医院检验科的检验技术、检验方法、检验质量、检验流程、标本检测、科室运营等提供专业技术指导及支持。</w:t>
      </w:r>
    </w:p>
    <w:p>
      <w:pPr>
        <w:pStyle w:val="null3"/>
        <w:ind w:firstLine="420"/>
      </w:pPr>
      <w:r>
        <w:rPr>
          <w:sz w:val="21"/>
          <w:color w:val="000000"/>
        </w:rPr>
        <w:t>9.3.责任鉴定：驻点人员需严格遵守医院检验科操作规范及安全制度，因个人违规操作、故意隐瞒风险或重大过失（如错误录入数据、未按SOP检测标本）导致的医疗纠纷、设备损坏或数据泄露，由中标人及当事人承担全部责任。</w:t>
      </w:r>
    </w:p>
    <w:p>
      <w:pPr>
        <w:pStyle w:val="null3"/>
        <w:ind w:firstLine="420"/>
      </w:pPr>
      <w:r>
        <w:rPr>
          <w:sz w:val="21"/>
          <w:color w:val="000000"/>
        </w:rPr>
        <w:t>9.4.免责情形：由不可抗力因或自然灾害、突发公共事件、医院电力/网络系统故障导致的检验延误或数据丢失设备固有缺陷：非驻点人员操作引发的设备原有设计缺陷或故障；医院管理责任；因医院未提供完整检测需求、错误标本标识、超范围使用检测结果导致的问题；第三方干预：未经医院书面同意的非驻点人员介入操作或擅自修改检测参数。</w:t>
      </w:r>
    </w:p>
    <w:p>
      <w:pPr>
        <w:pStyle w:val="null3"/>
        <w:jc w:val="both"/>
      </w:pPr>
      <w:r>
        <w:rPr>
          <w:sz w:val="21"/>
          <w:b/>
          <w:color w:val="000000"/>
        </w:rPr>
        <w:t>（十）部分项目检测外送服务要求</w:t>
      </w:r>
    </w:p>
    <w:p>
      <w:pPr>
        <w:pStyle w:val="null3"/>
        <w:ind w:firstLine="420"/>
      </w:pPr>
      <w:r>
        <w:rPr>
          <w:sz w:val="21"/>
          <w:color w:val="000000"/>
        </w:rPr>
        <w:t>10.1.染色体异常高通量测序检测（CNV_seq）</w:t>
      </w:r>
    </w:p>
    <w:p>
      <w:pPr>
        <w:pStyle w:val="null3"/>
        <w:ind w:firstLine="420"/>
      </w:pPr>
      <w:r>
        <w:rPr>
          <w:sz w:val="21"/>
          <w:color w:val="000000"/>
        </w:rPr>
        <w:t>(1)</w:t>
      </w:r>
      <w:r>
        <w:rPr>
          <w:sz w:val="21"/>
          <w:color w:val="000000"/>
        </w:rPr>
        <w:t>▲检测内容：23对染色体非整倍体及100Kb以上的缺失重复；</w:t>
      </w:r>
    </w:p>
    <w:p>
      <w:pPr>
        <w:pStyle w:val="null3"/>
        <w:ind w:firstLine="420"/>
      </w:pPr>
      <w:r>
        <w:rPr>
          <w:sz w:val="21"/>
          <w:color w:val="000000"/>
        </w:rPr>
        <w:t>(2)</w:t>
      </w:r>
      <w:r>
        <w:rPr>
          <w:sz w:val="21"/>
          <w:color w:val="000000"/>
        </w:rPr>
        <w:t>检测方法：高通量测序技术；</w:t>
      </w:r>
    </w:p>
    <w:p>
      <w:pPr>
        <w:pStyle w:val="null3"/>
        <w:ind w:firstLine="420"/>
      </w:pPr>
      <w:r>
        <w:rPr>
          <w:sz w:val="21"/>
          <w:color w:val="000000"/>
        </w:rPr>
        <w:t>(3)</w:t>
      </w:r>
      <w:r>
        <w:rPr>
          <w:sz w:val="21"/>
          <w:color w:val="000000"/>
        </w:rPr>
        <w:t>样本类型：流产组织、绒毛、外周血、</w:t>
      </w:r>
      <w:r>
        <w:rPr>
          <w:sz w:val="21"/>
          <w:color w:val="000000"/>
        </w:rPr>
        <w:t>DNA等</w:t>
      </w:r>
    </w:p>
    <w:p>
      <w:pPr>
        <w:pStyle w:val="null3"/>
        <w:ind w:firstLine="420"/>
      </w:pPr>
      <w:r>
        <w:rPr>
          <w:sz w:val="21"/>
          <w:color w:val="000000"/>
        </w:rPr>
        <w:t>(</w:t>
      </w:r>
      <w:r>
        <w:rPr>
          <w:sz w:val="21"/>
          <w:color w:val="000000"/>
        </w:rPr>
        <w:t>4</w:t>
      </w:r>
      <w:r>
        <w:rPr>
          <w:sz w:val="21"/>
          <w:color w:val="000000"/>
        </w:rPr>
        <w:t>)</w:t>
      </w:r>
      <w:r>
        <w:rPr>
          <w:sz w:val="21"/>
          <w:color w:val="000000"/>
        </w:rPr>
        <w:t>数据量：平均有效数据量</w:t>
      </w:r>
      <w:r>
        <w:rPr>
          <w:sz w:val="21"/>
          <w:color w:val="000000"/>
        </w:rPr>
        <w:t>≥35M；  单样本检测有效数据量要求≥20M reads；</w:t>
      </w:r>
    </w:p>
    <w:p>
      <w:pPr>
        <w:pStyle w:val="null3"/>
        <w:ind w:firstLine="420"/>
      </w:pPr>
      <w:r>
        <w:rPr>
          <w:sz w:val="21"/>
          <w:color w:val="000000"/>
        </w:rPr>
        <w:t>(</w:t>
      </w:r>
      <w:r>
        <w:rPr>
          <w:sz w:val="21"/>
          <w:color w:val="000000"/>
        </w:rPr>
        <w:t>5</w:t>
      </w:r>
      <w:r>
        <w:rPr>
          <w:sz w:val="21"/>
          <w:color w:val="000000"/>
        </w:rPr>
        <w:t>)</w:t>
      </w:r>
      <w:r>
        <w:rPr>
          <w:sz w:val="21"/>
          <w:color w:val="000000"/>
        </w:rPr>
        <w:t>投标人应具有国家食品药品监督管理总局认证的高通量测序仪投入本项目使用，该设备可用于对来源于人体样本的脱氧核糖核苷酸</w:t>
      </w:r>
      <w:r>
        <w:rPr>
          <w:sz w:val="21"/>
          <w:color w:val="000000"/>
        </w:rPr>
        <w:t>（</w:t>
      </w:r>
      <w:r>
        <w:rPr>
          <w:sz w:val="21"/>
          <w:color w:val="000000"/>
        </w:rPr>
        <w:t>DNA）进行测序，以检测基因变化；</w:t>
      </w:r>
    </w:p>
    <w:p>
      <w:pPr>
        <w:pStyle w:val="null3"/>
        <w:ind w:firstLine="420"/>
      </w:pPr>
      <w:r>
        <w:rPr>
          <w:sz w:val="21"/>
          <w:color w:val="000000"/>
        </w:rPr>
        <w:t>(</w:t>
      </w:r>
      <w:r>
        <w:rPr>
          <w:sz w:val="21"/>
          <w:color w:val="000000"/>
        </w:rPr>
        <w:t>6</w:t>
      </w:r>
      <w:r>
        <w:rPr>
          <w:sz w:val="21"/>
          <w:color w:val="000000"/>
        </w:rPr>
        <w:t>)</w:t>
      </w:r>
      <w:r>
        <w:rPr>
          <w:sz w:val="21"/>
          <w:color w:val="000000"/>
        </w:rPr>
        <w:t>投标人具有完善的质控流程及方案，检测过程从样本信息、样本检测前</w:t>
      </w:r>
      <w:r>
        <w:rPr>
          <w:sz w:val="21"/>
          <w:color w:val="000000"/>
        </w:rPr>
        <w:t>处理、检测、分析解读、报告、检测后等环节都有严格的质量控制点；</w:t>
      </w:r>
    </w:p>
    <w:p>
      <w:pPr>
        <w:pStyle w:val="null3"/>
        <w:ind w:firstLine="420"/>
      </w:pPr>
      <w:r>
        <w:rPr>
          <w:sz w:val="21"/>
          <w:color w:val="000000"/>
        </w:rPr>
        <w:t>10.2.</w:t>
      </w:r>
      <w:r>
        <w:rPr>
          <w:sz w:val="21"/>
          <w:color w:val="000000"/>
        </w:rPr>
        <w:t>全基因组高通量测序（</w:t>
      </w:r>
      <w:r>
        <w:rPr>
          <w:sz w:val="21"/>
          <w:color w:val="000000"/>
        </w:rPr>
        <w:t>CNV-seq）</w:t>
      </w:r>
    </w:p>
    <w:p>
      <w:pPr>
        <w:pStyle w:val="null3"/>
        <w:ind w:firstLine="420"/>
      </w:pPr>
      <w:r>
        <w:rPr>
          <w:sz w:val="21"/>
          <w:color w:val="000000"/>
        </w:rPr>
        <w:t>(1)</w:t>
      </w:r>
      <w:r>
        <w:rPr>
          <w:sz w:val="21"/>
          <w:color w:val="000000"/>
        </w:rPr>
        <w:t>检测内容：三倍体、</w:t>
      </w:r>
      <w:r>
        <w:rPr>
          <w:sz w:val="21"/>
          <w:color w:val="000000"/>
        </w:rPr>
        <w:t>23对染色体非整倍体及0.5M以上的缺失重复；</w:t>
      </w:r>
    </w:p>
    <w:p>
      <w:pPr>
        <w:pStyle w:val="null3"/>
        <w:ind w:firstLine="420"/>
      </w:pPr>
      <w:r>
        <w:rPr>
          <w:sz w:val="21"/>
          <w:color w:val="000000"/>
        </w:rPr>
        <w:t>(2)</w:t>
      </w:r>
      <w:r>
        <w:rPr>
          <w:sz w:val="21"/>
          <w:color w:val="000000"/>
        </w:rPr>
        <w:t>▲检测方法：NGS；</w:t>
      </w:r>
    </w:p>
    <w:p>
      <w:pPr>
        <w:pStyle w:val="null3"/>
        <w:ind w:firstLine="420"/>
      </w:pPr>
      <w:r>
        <w:rPr>
          <w:sz w:val="21"/>
          <w:color w:val="000000"/>
        </w:rPr>
        <w:t>(3)</w:t>
      </w:r>
      <w:r>
        <w:rPr>
          <w:sz w:val="21"/>
          <w:color w:val="000000"/>
        </w:rPr>
        <w:t>样本类型：胚胎绒毛组织；</w:t>
      </w:r>
    </w:p>
    <w:p>
      <w:pPr>
        <w:pStyle w:val="null3"/>
        <w:ind w:firstLine="420"/>
      </w:pPr>
      <w:r>
        <w:rPr>
          <w:sz w:val="21"/>
          <w:color w:val="000000"/>
        </w:rPr>
        <w:t>(</w:t>
      </w:r>
      <w:r>
        <w:rPr>
          <w:sz w:val="21"/>
          <w:color w:val="000000"/>
        </w:rPr>
        <w:t>4</w:t>
      </w:r>
      <w:r>
        <w:rPr>
          <w:sz w:val="21"/>
          <w:color w:val="000000"/>
        </w:rPr>
        <w:t>)</w:t>
      </w:r>
      <w:r>
        <w:rPr>
          <w:sz w:val="21"/>
          <w:color w:val="000000"/>
        </w:rPr>
        <w:t>▲数据量：平均有效数据量≥11M；  单样本检测有效数据量要求≥5M reads；</w:t>
      </w:r>
    </w:p>
    <w:p>
      <w:pPr>
        <w:pStyle w:val="null3"/>
        <w:ind w:firstLine="420"/>
      </w:pPr>
      <w:r>
        <w:rPr>
          <w:sz w:val="21"/>
          <w:color w:val="000000"/>
        </w:rPr>
        <w:t>(</w:t>
      </w:r>
      <w:r>
        <w:rPr>
          <w:sz w:val="21"/>
          <w:color w:val="000000"/>
        </w:rPr>
        <w:t>5</w:t>
      </w:r>
      <w:r>
        <w:rPr>
          <w:sz w:val="21"/>
          <w:color w:val="000000"/>
        </w:rPr>
        <w:t>)</w:t>
      </w:r>
      <w:r>
        <w:rPr>
          <w:sz w:val="21"/>
          <w:color w:val="000000"/>
        </w:rPr>
        <w:t>投标人应具有国家食品药品监督管理总局认证的高通量测序仪投入本项目使用，该设备可用于对来源于人体样本的脱氧核糖核苷酸</w:t>
      </w:r>
      <w:r>
        <w:rPr>
          <w:sz w:val="21"/>
          <w:color w:val="000000"/>
        </w:rPr>
        <w:t>（</w:t>
      </w:r>
      <w:r>
        <w:rPr>
          <w:sz w:val="21"/>
          <w:color w:val="000000"/>
        </w:rPr>
        <w:t>DNA）进行测序，以检测基因变化；</w:t>
      </w:r>
    </w:p>
    <w:p>
      <w:pPr>
        <w:pStyle w:val="null3"/>
        <w:ind w:firstLine="420"/>
      </w:pPr>
      <w:r>
        <w:rPr>
          <w:sz w:val="21"/>
          <w:color w:val="000000"/>
        </w:rPr>
        <w:t>(</w:t>
      </w:r>
      <w:r>
        <w:rPr>
          <w:sz w:val="21"/>
          <w:color w:val="000000"/>
        </w:rPr>
        <w:t>6</w:t>
      </w:r>
      <w:r>
        <w:rPr>
          <w:sz w:val="21"/>
          <w:color w:val="000000"/>
        </w:rPr>
        <w:t>)</w:t>
      </w:r>
      <w:r>
        <w:rPr>
          <w:sz w:val="21"/>
          <w:color w:val="000000"/>
        </w:rPr>
        <w:t>投标人</w:t>
      </w:r>
      <w:r>
        <w:rPr>
          <w:sz w:val="20"/>
          <w:color w:val="000000"/>
        </w:rPr>
        <w:t>应</w:t>
      </w:r>
      <w:r>
        <w:rPr>
          <w:sz w:val="21"/>
          <w:color w:val="000000"/>
        </w:rPr>
        <w:t>具有完善的质控流程及方案，检测过程从样本信息、样本检测前处理、检测、分析解读、报告、检测后等环节都有严格的质量控制点；</w:t>
      </w:r>
    </w:p>
    <w:p>
      <w:pPr>
        <w:pStyle w:val="null3"/>
        <w:ind w:firstLine="420"/>
      </w:pPr>
      <w:r>
        <w:rPr>
          <w:sz w:val="21"/>
          <w:color w:val="000000"/>
        </w:rPr>
        <w:t>10.3.遗传性耳聋基因检测</w:t>
      </w:r>
    </w:p>
    <w:p>
      <w:pPr>
        <w:pStyle w:val="null3"/>
        <w:ind w:firstLine="420"/>
      </w:pPr>
      <w:r>
        <w:rPr>
          <w:sz w:val="21"/>
          <w:color w:val="000000"/>
        </w:rPr>
        <w:t>(1)</w:t>
      </w:r>
      <w:r>
        <w:rPr>
          <w:sz w:val="21"/>
          <w:color w:val="000000"/>
        </w:rPr>
        <w:t>检测内容：</w:t>
      </w:r>
      <w:r>
        <w:rPr>
          <w:sz w:val="21"/>
          <w:color w:val="000000"/>
        </w:rPr>
        <w:t>5个常见基因（GJB2，SLC26A4，12s rRNA，GJB3，USH2A）；</w:t>
      </w:r>
    </w:p>
    <w:p>
      <w:pPr>
        <w:pStyle w:val="null3"/>
        <w:ind w:firstLine="420"/>
      </w:pPr>
      <w:r>
        <w:rPr>
          <w:sz w:val="21"/>
          <w:color w:val="000000"/>
        </w:rPr>
        <w:t>(2)</w:t>
      </w:r>
      <w:r>
        <w:rPr>
          <w:sz w:val="21"/>
          <w:color w:val="000000"/>
        </w:rPr>
        <w:t>▲检测方法：NGS法；</w:t>
      </w:r>
    </w:p>
    <w:p>
      <w:pPr>
        <w:pStyle w:val="null3"/>
        <w:ind w:firstLine="420"/>
      </w:pPr>
      <w:r>
        <w:rPr>
          <w:sz w:val="21"/>
          <w:color w:val="000000"/>
        </w:rPr>
        <w:t>(3)</w:t>
      </w:r>
      <w:r>
        <w:rPr>
          <w:sz w:val="21"/>
          <w:color w:val="000000"/>
        </w:rPr>
        <w:t>▲检测位点：覆盖GJB2、GJB3、SLC26A4、12s rRNA及USH2A这5个耳聋基因的常见位点数≥20个位点，检测范围需与耳聋基因突变检测国家参考品一致。</w:t>
      </w:r>
    </w:p>
    <w:p>
      <w:pPr>
        <w:pStyle w:val="null3"/>
        <w:ind w:firstLine="420"/>
      </w:pPr>
      <w:r>
        <w:rPr>
          <w:sz w:val="21"/>
          <w:color w:val="000000"/>
        </w:rPr>
        <w:t>(4)</w:t>
      </w:r>
      <w:r>
        <w:rPr>
          <w:sz w:val="21"/>
          <w:color w:val="000000"/>
        </w:rPr>
        <w:t>样本类型：足跟血血斑，外周血；</w:t>
      </w:r>
    </w:p>
    <w:p>
      <w:pPr>
        <w:pStyle w:val="null3"/>
        <w:ind w:firstLine="420"/>
      </w:pPr>
      <w:r>
        <w:rPr>
          <w:sz w:val="21"/>
          <w:color w:val="000000"/>
        </w:rPr>
        <w:t>(5)</w:t>
      </w:r>
      <w:r>
        <w:rPr>
          <w:sz w:val="21"/>
          <w:color w:val="000000"/>
        </w:rPr>
        <w:t>产品性能：准确率高，与</w:t>
      </w:r>
      <w:r>
        <w:rPr>
          <w:sz w:val="21"/>
          <w:color w:val="000000"/>
        </w:rPr>
        <w:t>sanger测序法符合率100%，特异性在99.9%以上，可检出杂合、纯合、复合杂合突变等位点；</w:t>
      </w:r>
    </w:p>
    <w:p>
      <w:pPr>
        <w:pStyle w:val="null3"/>
        <w:ind w:firstLine="420"/>
      </w:pPr>
      <w:r>
        <w:rPr>
          <w:sz w:val="21"/>
          <w:color w:val="000000"/>
        </w:rPr>
        <w:t>10.4.遗传病扩展型携带者筛查</w:t>
      </w:r>
    </w:p>
    <w:p>
      <w:pPr>
        <w:pStyle w:val="null3"/>
        <w:ind w:firstLine="420"/>
      </w:pPr>
      <w:r>
        <w:rPr>
          <w:sz w:val="21"/>
          <w:color w:val="000000"/>
        </w:rPr>
        <w:t>(1)</w:t>
      </w:r>
      <w:r>
        <w:rPr>
          <w:sz w:val="21"/>
          <w:color w:val="000000"/>
        </w:rPr>
        <w:t>▲检测内容：检测不低于400种常见单基因隐性遗传病，检测基因不低于200个；</w:t>
      </w:r>
    </w:p>
    <w:p>
      <w:pPr>
        <w:pStyle w:val="null3"/>
        <w:ind w:firstLine="420"/>
      </w:pPr>
      <w:r>
        <w:rPr>
          <w:sz w:val="21"/>
          <w:color w:val="000000"/>
        </w:rPr>
        <w:t>(2)</w:t>
      </w:r>
      <w:r>
        <w:rPr>
          <w:sz w:val="21"/>
          <w:color w:val="000000"/>
        </w:rPr>
        <w:t>▲检测方法：NGS+PCR联合毛细管电泳+PCR联合电泳；</w:t>
      </w:r>
    </w:p>
    <w:p>
      <w:pPr>
        <w:pStyle w:val="null3"/>
        <w:ind w:firstLine="420"/>
      </w:pPr>
      <w:r>
        <w:rPr>
          <w:sz w:val="21"/>
          <w:color w:val="000000"/>
        </w:rPr>
        <w:t>(3)</w:t>
      </w:r>
      <w:r>
        <w:rPr>
          <w:sz w:val="21"/>
          <w:color w:val="000000"/>
        </w:rPr>
        <w:t>样本类型：外周血；</w:t>
      </w:r>
    </w:p>
    <w:p>
      <w:pPr>
        <w:pStyle w:val="null3"/>
        <w:ind w:firstLine="420"/>
      </w:pPr>
      <w:r>
        <w:rPr>
          <w:sz w:val="21"/>
          <w:color w:val="000000"/>
        </w:rPr>
        <w:t>(</w:t>
      </w:r>
      <w:r>
        <w:rPr>
          <w:sz w:val="21"/>
          <w:color w:val="000000"/>
        </w:rPr>
        <w:t>4</w:t>
      </w:r>
      <w:r>
        <w:rPr>
          <w:sz w:val="21"/>
          <w:color w:val="000000"/>
        </w:rPr>
        <w:t>)</w:t>
      </w:r>
      <w:r>
        <w:rPr>
          <w:sz w:val="21"/>
          <w:color w:val="000000"/>
        </w:rPr>
        <w:t>需提供每个基因具体检测的变异位点范围，且位点均需参照</w:t>
      </w:r>
      <w:r>
        <w:rPr>
          <w:sz w:val="21"/>
          <w:color w:val="000000"/>
        </w:rPr>
        <w:t>ACMG解读指南规则判定为致病性或疑似致病性。</w:t>
      </w:r>
    </w:p>
    <w:p>
      <w:pPr>
        <w:pStyle w:val="null3"/>
        <w:ind w:firstLine="420"/>
      </w:pPr>
      <w:r>
        <w:rPr>
          <w:sz w:val="21"/>
          <w:color w:val="000000"/>
        </w:rPr>
        <w:t>（</w:t>
      </w:r>
      <w:r>
        <w:rPr>
          <w:sz w:val="21"/>
          <w:color w:val="000000"/>
        </w:rPr>
        <w:t>5）能检测常见的CNV变异类型，包括进行性假肥大性肌营养不良DMD基因连续2个外显子及以上的缺失/重复、脊髓性肌肉萎缩症SMN1基因7号外显子缺失、希特林蛋白基因3kb插入、同时包含以下罕见病名录中的疾病：白化病、Alport综合征、瓜氨酸血症、法布雷病、家族性地中海热、范可尼贫血、半乳糖血症、戈谢病、Gitelman综合征、戊二酸血症I型。</w:t>
      </w:r>
    </w:p>
    <w:p>
      <w:pPr>
        <w:pStyle w:val="null3"/>
        <w:ind w:firstLine="420"/>
      </w:pPr>
      <w:r>
        <w:rPr>
          <w:sz w:val="21"/>
          <w:color w:val="000000"/>
        </w:rPr>
        <w:t>(</w:t>
      </w:r>
      <w:r>
        <w:rPr>
          <w:sz w:val="21"/>
          <w:color w:val="000000"/>
        </w:rPr>
        <w:t>6</w:t>
      </w:r>
      <w:r>
        <w:rPr>
          <w:sz w:val="21"/>
          <w:color w:val="000000"/>
        </w:rPr>
        <w:t>)</w:t>
      </w:r>
      <w:r>
        <w:rPr>
          <w:sz w:val="21"/>
          <w:color w:val="000000"/>
        </w:rPr>
        <w:t>对</w:t>
      </w:r>
      <w:r>
        <w:rPr>
          <w:sz w:val="21"/>
          <w:color w:val="000000"/>
        </w:rPr>
        <w:t>NGS分析CNV流程中结果为阳性或灰区的样本提供金标准MLPA、PCR等方法的二次验证。</w:t>
      </w:r>
    </w:p>
    <w:p>
      <w:pPr>
        <w:pStyle w:val="null3"/>
        <w:ind w:firstLine="420"/>
      </w:pPr>
      <w:r>
        <w:rPr>
          <w:sz w:val="21"/>
          <w:color w:val="000000"/>
        </w:rPr>
        <w:t>(</w:t>
      </w:r>
      <w:r>
        <w:rPr>
          <w:sz w:val="21"/>
          <w:color w:val="000000"/>
        </w:rPr>
        <w:t>7</w:t>
      </w:r>
      <w:r>
        <w:rPr>
          <w:sz w:val="21"/>
          <w:color w:val="000000"/>
        </w:rPr>
        <w:t>)</w:t>
      </w:r>
      <w:r>
        <w:rPr>
          <w:sz w:val="21"/>
          <w:color w:val="000000"/>
        </w:rPr>
        <w:t>检测报告需完全符合《临床单基因遗传病基因检测报告规范团体标准》规范。</w:t>
      </w:r>
    </w:p>
    <w:p>
      <w:pPr>
        <w:pStyle w:val="null3"/>
        <w:ind w:firstLine="420"/>
      </w:pPr>
      <w:r>
        <w:rPr>
          <w:sz w:val="21"/>
          <w:color w:val="000000"/>
        </w:rPr>
        <w:t>10.5.地中海贫血基因分型（非缺失型α-地中海贫血基因检测、缺失型α-地中海贫血基因检测、β地中海贫血基因突变检测）</w:t>
      </w:r>
    </w:p>
    <w:p>
      <w:pPr>
        <w:pStyle w:val="null3"/>
        <w:ind w:firstLine="420"/>
      </w:pPr>
      <w:r>
        <w:rPr>
          <w:sz w:val="21"/>
          <w:color w:val="000000"/>
        </w:rPr>
        <w:t>(1)</w:t>
      </w:r>
      <w:r>
        <w:rPr>
          <w:sz w:val="21"/>
          <w:color w:val="000000"/>
        </w:rPr>
        <w:t>▲检测内容：α珠蛋白基因：-α3.7、-α4.2</w:t>
      </w:r>
      <w:r>
        <w:rPr>
          <w:sz w:val="21"/>
          <w:color w:val="000000"/>
        </w:rPr>
        <w:t>、</w:t>
      </w:r>
      <w:r>
        <w:rPr>
          <w:sz w:val="21"/>
          <w:color w:val="000000"/>
        </w:rPr>
        <w:t>--SEA 、Hb QS、Hb CS、HbWS。β珠蛋白基因：能检测常见的21种突变：IVS-II-654 (C&gt;T), -28 (A&gt;G), -29 (A&gt;G), -30 (T&gt;C), -31 (A&gt;C), -32 (C&gt;A), CD14-15 (+G), CD15-16 (+G), CD17 (A&gt;T), IVS-I-5 (G&gt;C), CD30 (A&gt;G), IVS-I-1(G&gt;T), CD26 (G&gt;A), CD27-28 (+C), CD41-42 (-TTCT), CD43 (G&gt;T), CD37 (G&gt;A), CD71-72 (+A), IVS-II-5 (G&gt;C)), -73 (A&gt;T), -90 (C&gt;T)）。</w:t>
      </w:r>
    </w:p>
    <w:p>
      <w:pPr>
        <w:pStyle w:val="null3"/>
        <w:ind w:firstLine="420"/>
      </w:pPr>
      <w:r>
        <w:rPr>
          <w:sz w:val="21"/>
          <w:color w:val="000000"/>
        </w:rPr>
        <w:t>(2)</w:t>
      </w:r>
      <w:r>
        <w:rPr>
          <w:sz w:val="21"/>
          <w:color w:val="000000"/>
        </w:rPr>
        <w:t>▲检测方法：荧光PCR溶解曲线法；</w:t>
      </w:r>
    </w:p>
    <w:p>
      <w:pPr>
        <w:pStyle w:val="null3"/>
        <w:ind w:firstLine="420"/>
      </w:pPr>
      <w:r>
        <w:rPr>
          <w:sz w:val="21"/>
          <w:color w:val="000000"/>
        </w:rPr>
        <w:t>(3)</w:t>
      </w:r>
      <w:r>
        <w:rPr>
          <w:sz w:val="21"/>
          <w:color w:val="000000"/>
        </w:rPr>
        <w:t>检测准确性：检测范围内的地贫类型准确率不低于</w:t>
      </w:r>
      <w:r>
        <w:rPr>
          <w:sz w:val="21"/>
          <w:color w:val="000000"/>
        </w:rPr>
        <w:t>99%；</w:t>
      </w:r>
    </w:p>
    <w:p>
      <w:pPr>
        <w:pStyle w:val="null3"/>
        <w:ind w:firstLine="420"/>
      </w:pPr>
      <w:r>
        <w:rPr>
          <w:sz w:val="21"/>
          <w:color w:val="000000"/>
        </w:rPr>
        <w:t>(4)</w:t>
      </w:r>
      <w:r>
        <w:rPr>
          <w:sz w:val="21"/>
          <w:color w:val="000000"/>
        </w:rPr>
        <w:t>样本类型：外周血和</w:t>
      </w:r>
      <w:r>
        <w:rPr>
          <w:sz w:val="21"/>
          <w:color w:val="000000"/>
        </w:rPr>
        <w:t>DNA；</w:t>
      </w:r>
    </w:p>
    <w:p>
      <w:pPr>
        <w:pStyle w:val="null3"/>
        <w:ind w:firstLine="420"/>
      </w:pPr>
      <w:r>
        <w:rPr>
          <w:sz w:val="21"/>
          <w:color w:val="000000"/>
        </w:rPr>
        <w:t>(5)</w:t>
      </w:r>
      <w:r>
        <w:rPr>
          <w:sz w:val="21"/>
          <w:color w:val="000000"/>
        </w:rPr>
        <w:t>投标人具备检测流程，检测项目的技术方案及质控方案；</w:t>
      </w:r>
    </w:p>
    <w:p>
      <w:pPr>
        <w:pStyle w:val="null3"/>
        <w:ind w:firstLine="420"/>
      </w:pPr>
      <w:r>
        <w:rPr>
          <w:sz w:val="21"/>
          <w:color w:val="000000"/>
        </w:rPr>
        <w:t>10.6.脊肌萎缩症（SMA）基因筛查</w:t>
      </w:r>
    </w:p>
    <w:p>
      <w:pPr>
        <w:pStyle w:val="null3"/>
        <w:ind w:firstLine="420"/>
      </w:pPr>
      <w:r>
        <w:rPr>
          <w:sz w:val="21"/>
          <w:color w:val="000000"/>
        </w:rPr>
        <w:t>(1)</w:t>
      </w:r>
      <w:r>
        <w:rPr>
          <w:sz w:val="21"/>
          <w:color w:val="000000"/>
        </w:rPr>
        <w:t>▲检测内容：运动神经元存活基因1（SMN1）第7及第8外显子。能直接对SMN1基因的拷贝数进行分析，可以准确判断杂合缺失、纯合缺失和未缺失，明确区分携带者及正常人群；</w:t>
      </w:r>
    </w:p>
    <w:p>
      <w:pPr>
        <w:pStyle w:val="null3"/>
        <w:ind w:firstLine="420"/>
      </w:pPr>
      <w:r>
        <w:rPr>
          <w:sz w:val="21"/>
          <w:color w:val="000000"/>
        </w:rPr>
        <w:t>(2)</w:t>
      </w:r>
      <w:r>
        <w:rPr>
          <w:sz w:val="21"/>
          <w:color w:val="000000"/>
        </w:rPr>
        <w:t>▲检测方法：PCR熔解曲线法；</w:t>
      </w:r>
    </w:p>
    <w:p>
      <w:pPr>
        <w:pStyle w:val="null3"/>
        <w:ind w:firstLine="420"/>
      </w:pPr>
      <w:r>
        <w:rPr>
          <w:sz w:val="21"/>
          <w:color w:val="000000"/>
        </w:rPr>
        <w:t>(3)</w:t>
      </w:r>
      <w:r>
        <w:rPr>
          <w:sz w:val="21"/>
          <w:color w:val="000000"/>
        </w:rPr>
        <w:t>检测准确性：可以准确判断杂合缺失、纯合缺失和未缺失，明确区分携带者及正常人群；</w:t>
      </w:r>
    </w:p>
    <w:p>
      <w:pPr>
        <w:pStyle w:val="null3"/>
        <w:ind w:firstLine="420"/>
      </w:pPr>
      <w:r>
        <w:rPr>
          <w:sz w:val="21"/>
          <w:color w:val="000000"/>
        </w:rPr>
        <w:t>(4)</w:t>
      </w:r>
      <w:r>
        <w:rPr>
          <w:sz w:val="21"/>
          <w:color w:val="000000"/>
        </w:rPr>
        <w:t>样本类型：外周血；</w:t>
      </w:r>
    </w:p>
    <w:p>
      <w:pPr>
        <w:pStyle w:val="null3"/>
        <w:ind w:firstLine="420"/>
      </w:pPr>
      <w:r>
        <w:rPr>
          <w:sz w:val="21"/>
          <w:color w:val="000000"/>
        </w:rPr>
        <w:t>(</w:t>
      </w:r>
      <w:r>
        <w:rPr>
          <w:sz w:val="21"/>
          <w:color w:val="000000"/>
        </w:rPr>
        <w:t>5</w:t>
      </w:r>
      <w:r>
        <w:rPr>
          <w:sz w:val="21"/>
          <w:color w:val="000000"/>
        </w:rPr>
        <w:t>)</w:t>
      </w:r>
      <w:r>
        <w:rPr>
          <w:sz w:val="21"/>
          <w:color w:val="000000"/>
        </w:rPr>
        <w:t>投标人提供检测流程及质控方案；</w:t>
      </w:r>
    </w:p>
    <w:p>
      <w:pPr>
        <w:pStyle w:val="null3"/>
        <w:ind w:firstLine="420"/>
      </w:pPr>
      <w:r>
        <w:rPr>
          <w:sz w:val="21"/>
          <w:color w:val="000000"/>
        </w:rPr>
        <w:t>(</w:t>
      </w:r>
      <w:r>
        <w:rPr>
          <w:sz w:val="21"/>
          <w:color w:val="000000"/>
        </w:rPr>
        <w:t>6</w:t>
      </w:r>
      <w:r>
        <w:rPr>
          <w:sz w:val="21"/>
          <w:color w:val="000000"/>
        </w:rPr>
        <w:t>)</w:t>
      </w:r>
      <w:r>
        <w:rPr>
          <w:sz w:val="21"/>
          <w:color w:val="000000"/>
        </w:rPr>
        <w:t>采用国家食品药品监督管理总局认证的试剂盒，同时采用配套的多重熔解曲线数据分析软件进行自动化、标准化结果判读，保障检测结果；</w:t>
      </w:r>
    </w:p>
    <w:p>
      <w:pPr>
        <w:pStyle w:val="null3"/>
        <w:ind w:firstLine="420"/>
      </w:pPr>
      <w:r>
        <w:rPr>
          <w:sz w:val="21"/>
          <w:color w:val="000000"/>
        </w:rPr>
        <w:t>(</w:t>
      </w:r>
      <w:r>
        <w:rPr>
          <w:sz w:val="21"/>
          <w:color w:val="000000"/>
        </w:rPr>
        <w:t>7</w:t>
      </w:r>
      <w:r>
        <w:rPr>
          <w:sz w:val="21"/>
          <w:color w:val="000000"/>
        </w:rPr>
        <w:t>)</w:t>
      </w:r>
      <w:r>
        <w:rPr>
          <w:sz w:val="21"/>
          <w:color w:val="000000"/>
        </w:rPr>
        <w:t>提供遗传咨询服务，对于孕妇</w:t>
      </w:r>
      <w:r>
        <w:rPr>
          <w:sz w:val="21"/>
          <w:color w:val="000000"/>
        </w:rPr>
        <w:t>SMA基因筛查异常者，进行家系分析，指导下一步产前诊断；对于具有临床表征但筛查结果无异常者，指导被检测者进行SMA基因微变异检测。</w:t>
      </w:r>
    </w:p>
    <w:p>
      <w:pPr>
        <w:pStyle w:val="null3"/>
        <w:ind w:firstLine="420"/>
      </w:pPr>
      <w:r>
        <w:rPr>
          <w:sz w:val="21"/>
          <w:color w:val="000000"/>
        </w:rPr>
        <w:t>10.7.靶向病原分枝杆菌检测（DNA+耐药基因）</w:t>
      </w:r>
    </w:p>
    <w:p>
      <w:pPr>
        <w:pStyle w:val="null3"/>
        <w:ind w:firstLine="420"/>
      </w:pPr>
      <w:r>
        <w:rPr>
          <w:sz w:val="21"/>
          <w:color w:val="000000"/>
        </w:rPr>
        <w:t>(1)</w:t>
      </w:r>
      <w:r>
        <w:rPr>
          <w:sz w:val="21"/>
          <w:color w:val="000000"/>
        </w:rPr>
        <w:t>检测涵盖临床常见分枝杆菌，检测共包含</w:t>
      </w:r>
      <w:r>
        <w:rPr>
          <w:sz w:val="21"/>
          <w:color w:val="000000"/>
        </w:rPr>
        <w:t>48种分枝杆菌及同分枝杆菌临床症状相似的110种病原体，同时提示利福平、异烟肼、乙胺丁醇等结核一二线药物及非结核药物相关耐药信息；为疑似分枝杆菌感染患者提供快速精准诊断依据；</w:t>
      </w:r>
    </w:p>
    <w:p>
      <w:pPr>
        <w:pStyle w:val="null3"/>
        <w:ind w:firstLine="420"/>
      </w:pPr>
      <w:r>
        <w:rPr>
          <w:sz w:val="21"/>
          <w:color w:val="000000"/>
        </w:rPr>
        <w:t>(2)</w:t>
      </w:r>
      <w:r>
        <w:rPr>
          <w:sz w:val="21"/>
          <w:color w:val="000000"/>
        </w:rPr>
        <w:t>具备完善的病原检测与验证能力，配备微生物流水线培养仪器，具有超多重病原体</w:t>
      </w:r>
      <w:r>
        <w:rPr>
          <w:sz w:val="21"/>
          <w:color w:val="000000"/>
        </w:rPr>
        <w:t>PCR等多种病原检测项目，提供综合诊断平台以满足临床感染疾病诊断的多重需求；</w:t>
      </w:r>
    </w:p>
    <w:p>
      <w:pPr>
        <w:pStyle w:val="null3"/>
        <w:ind w:firstLine="420"/>
      </w:pPr>
      <w:r>
        <w:rPr>
          <w:sz w:val="21"/>
          <w:color w:val="000000"/>
        </w:rPr>
        <w:t>(3)</w:t>
      </w:r>
      <w:r>
        <w:rPr>
          <w:sz w:val="21"/>
          <w:color w:val="000000"/>
        </w:rPr>
        <w:t>检测灵敏度：检测可直接使用核酸浓度</w:t>
      </w:r>
      <w:r>
        <w:rPr>
          <w:sz w:val="21"/>
          <w:color w:val="000000"/>
        </w:rPr>
        <w:t>≤2ng/ul的样本,可处理起始量低于10ng的片段化双链DNA样本,靶区覆盖率＞95%,种属鉴定准确性＞99%；</w:t>
      </w:r>
    </w:p>
    <w:p>
      <w:pPr>
        <w:pStyle w:val="null3"/>
        <w:ind w:firstLine="420"/>
      </w:pPr>
      <w:r>
        <w:rPr>
          <w:sz w:val="21"/>
          <w:color w:val="000000"/>
        </w:rPr>
        <w:t>(4)</w:t>
      </w:r>
      <w:r>
        <w:rPr>
          <w:sz w:val="21"/>
          <w:color w:val="000000"/>
        </w:rPr>
        <w:t>样本类型：除粪便样本外</w:t>
      </w:r>
      <w:r>
        <w:rPr>
          <w:sz w:val="21"/>
          <w:color w:val="000000"/>
        </w:rPr>
        <w:t>,全面覆盖血液、脑脊液、肺泡灌洗液、痰液、胸腹水、脓肿抽液、尿液等体液样本,拭子、新鲜组织等非体液样本类型；</w:t>
      </w:r>
    </w:p>
    <w:p>
      <w:pPr>
        <w:pStyle w:val="null3"/>
        <w:ind w:firstLine="420"/>
      </w:pPr>
      <w:r>
        <w:rPr>
          <w:sz w:val="21"/>
          <w:color w:val="000000"/>
        </w:rPr>
        <w:t>(</w:t>
      </w:r>
      <w:r>
        <w:rPr>
          <w:sz w:val="21"/>
          <w:color w:val="000000"/>
        </w:rPr>
        <w:t>5</w:t>
      </w:r>
      <w:r>
        <w:rPr>
          <w:sz w:val="21"/>
          <w:color w:val="000000"/>
        </w:rPr>
        <w:t>)</w:t>
      </w:r>
      <w:r>
        <w:rPr>
          <w:sz w:val="21"/>
          <w:color w:val="000000"/>
        </w:rPr>
        <w:t>测序仪器及信息分析软件均符合资质认证，其中测序仪具有国家食品药品监督管理总局认证</w:t>
      </w:r>
      <w:r>
        <w:rPr>
          <w:sz w:val="21"/>
          <w:color w:val="000000"/>
        </w:rPr>
        <w:t>;</w:t>
      </w:r>
    </w:p>
    <w:p>
      <w:pPr>
        <w:pStyle w:val="null3"/>
        <w:ind w:firstLine="420"/>
      </w:pPr>
      <w:r>
        <w:rPr>
          <w:sz w:val="21"/>
          <w:color w:val="000000"/>
        </w:rPr>
        <w:t>(</w:t>
      </w:r>
      <w:r>
        <w:rPr>
          <w:sz w:val="21"/>
          <w:color w:val="000000"/>
        </w:rPr>
        <w:t>6</w:t>
      </w:r>
      <w:r>
        <w:rPr>
          <w:sz w:val="21"/>
          <w:color w:val="000000"/>
        </w:rPr>
        <w:t>)</w:t>
      </w:r>
      <w:r>
        <w:rPr>
          <w:sz w:val="21"/>
          <w:color w:val="000000"/>
        </w:rPr>
        <w:t>提供临床专家多学科联合报告解读及临床会诊治疗特色服务</w:t>
      </w:r>
      <w:r>
        <w:rPr>
          <w:sz w:val="21"/>
          <w:color w:val="000000"/>
        </w:rPr>
        <w:t>;</w:t>
      </w:r>
    </w:p>
    <w:p>
      <w:pPr>
        <w:pStyle w:val="null3"/>
        <w:ind w:firstLine="420"/>
      </w:pPr>
      <w:r>
        <w:rPr>
          <w:sz w:val="21"/>
          <w:color w:val="000000"/>
        </w:rPr>
        <w:t>10.8.靶向病原测序基础版376种病原体（DNA+RNA+耐药基因）</w:t>
      </w:r>
    </w:p>
    <w:p>
      <w:pPr>
        <w:pStyle w:val="null3"/>
        <w:ind w:firstLine="420"/>
      </w:pPr>
      <w:r>
        <w:rPr>
          <w:sz w:val="21"/>
          <w:color w:val="000000"/>
        </w:rPr>
        <w:t>(1)</w:t>
      </w:r>
      <w:r>
        <w:rPr>
          <w:sz w:val="21"/>
          <w:color w:val="000000"/>
        </w:rPr>
        <w:t>检测涵盖临床常见</w:t>
      </w:r>
      <w:r>
        <w:rPr>
          <w:sz w:val="21"/>
          <w:color w:val="000000"/>
        </w:rPr>
        <w:t>376种病原微生物，包括检测共包含163种细菌、49种真菌、DNA病毒59种、RNA病毒72种、支原体/衣原体/立克次体12种、寄生虫21种以及1280个耐药基因和122个毒力基因；为轻,中症感染患者提供快速精准诊断依据；</w:t>
      </w:r>
    </w:p>
    <w:p>
      <w:pPr>
        <w:pStyle w:val="null3"/>
        <w:ind w:firstLine="420"/>
      </w:pPr>
      <w:r>
        <w:rPr>
          <w:sz w:val="21"/>
          <w:color w:val="000000"/>
        </w:rPr>
        <w:t>(2)</w:t>
      </w:r>
      <w:r>
        <w:rPr>
          <w:sz w:val="21"/>
          <w:color w:val="000000"/>
        </w:rPr>
        <w:t>具备完善的病原检测与验证能力，配备</w:t>
      </w:r>
      <w:r>
        <w:rPr>
          <w:sz w:val="21"/>
          <w:color w:val="000000"/>
        </w:rPr>
        <w:t>BD微生物流水线培养仪器备，具有超多重病原体PCR等多种病原检测项目，提供综合诊断平台以满足临床感染疾病诊断的多重需求；</w:t>
      </w:r>
    </w:p>
    <w:p>
      <w:pPr>
        <w:pStyle w:val="null3"/>
        <w:ind w:firstLine="420"/>
      </w:pPr>
      <w:r>
        <w:rPr>
          <w:sz w:val="21"/>
          <w:color w:val="000000"/>
        </w:rPr>
        <w:t>(3)</w:t>
      </w:r>
      <w:r>
        <w:rPr>
          <w:sz w:val="21"/>
          <w:color w:val="000000"/>
        </w:rPr>
        <w:t>检测灵敏度：检测可直接使用核酸浓度</w:t>
      </w:r>
      <w:r>
        <w:rPr>
          <w:sz w:val="21"/>
          <w:color w:val="000000"/>
        </w:rPr>
        <w:t>≤2ng/ul的样本,可处理起始量低于10ng的片段化双链DNA样本, 靶区覆盖率＞95%,种属鉴定准确性＞99%；</w:t>
      </w:r>
    </w:p>
    <w:p>
      <w:pPr>
        <w:pStyle w:val="null3"/>
        <w:ind w:firstLine="420"/>
      </w:pPr>
      <w:r>
        <w:rPr>
          <w:sz w:val="21"/>
          <w:color w:val="000000"/>
        </w:rPr>
        <w:t>(4)</w:t>
      </w:r>
      <w:r>
        <w:rPr>
          <w:sz w:val="21"/>
          <w:color w:val="000000"/>
        </w:rPr>
        <w:t>样本类型：除粪便样本外</w:t>
      </w:r>
      <w:r>
        <w:rPr>
          <w:sz w:val="21"/>
          <w:color w:val="000000"/>
        </w:rPr>
        <w:t>, 全面覆盖血液、脑脊液、肺泡灌洗液、痰液、胸腹水、脓肿抽液、尿液等体液样本, 拭子、新鲜组织等非体液样本类型；</w:t>
      </w:r>
    </w:p>
    <w:p>
      <w:pPr>
        <w:pStyle w:val="null3"/>
        <w:ind w:firstLine="420"/>
      </w:pPr>
      <w:r>
        <w:rPr>
          <w:sz w:val="21"/>
          <w:color w:val="000000"/>
        </w:rPr>
        <w:t>(</w:t>
      </w:r>
      <w:r>
        <w:rPr>
          <w:sz w:val="21"/>
          <w:color w:val="000000"/>
        </w:rPr>
        <w:t>5</w:t>
      </w:r>
      <w:r>
        <w:rPr>
          <w:sz w:val="21"/>
          <w:color w:val="000000"/>
        </w:rPr>
        <w:t>)</w:t>
      </w:r>
      <w:r>
        <w:rPr>
          <w:sz w:val="21"/>
          <w:color w:val="000000"/>
        </w:rPr>
        <w:t>测序仪器及信息分析软件均符合资质认证，其中测序仪具有国家食品药品监督管理总局认证</w:t>
      </w:r>
    </w:p>
    <w:p>
      <w:pPr>
        <w:pStyle w:val="null3"/>
        <w:ind w:firstLine="420"/>
      </w:pPr>
      <w:r>
        <w:rPr>
          <w:sz w:val="21"/>
          <w:color w:val="000000"/>
        </w:rPr>
        <w:t>10.9.靶向病原测序加强版576种病原体（DNA+RNA+耐药基因）</w:t>
      </w:r>
    </w:p>
    <w:p>
      <w:pPr>
        <w:pStyle w:val="null3"/>
        <w:ind w:firstLine="420"/>
      </w:pPr>
      <w:r>
        <w:rPr>
          <w:sz w:val="21"/>
          <w:color w:val="000000"/>
        </w:rPr>
        <w:t>(1)</w:t>
      </w:r>
      <w:r>
        <w:rPr>
          <w:sz w:val="21"/>
          <w:color w:val="000000"/>
        </w:rPr>
        <w:t>检测涵盖临床常见</w:t>
      </w:r>
      <w:r>
        <w:rPr>
          <w:sz w:val="21"/>
          <w:color w:val="000000"/>
        </w:rPr>
        <w:t>576种病原微生物，包括检测共包含285种细菌、85种真菌、DNA病毒63种、RNA病毒82种、支原体/衣原体/立克次体18种、寄生虫43种以及1280个耐药基因和122个毒力基因；为轻,中症感染患者提供快速精准诊断依据；</w:t>
      </w:r>
    </w:p>
    <w:p>
      <w:pPr>
        <w:pStyle w:val="null3"/>
        <w:ind w:firstLine="420"/>
      </w:pPr>
      <w:r>
        <w:rPr>
          <w:sz w:val="21"/>
          <w:color w:val="000000"/>
        </w:rPr>
        <w:t>(2)</w:t>
      </w:r>
      <w:r>
        <w:rPr>
          <w:sz w:val="21"/>
          <w:color w:val="000000"/>
        </w:rPr>
        <w:t>具备完善的病原检测与验证能力，配备微生物流水线培养仪器，具有超多重病原体</w:t>
      </w:r>
      <w:r>
        <w:rPr>
          <w:sz w:val="21"/>
          <w:color w:val="000000"/>
        </w:rPr>
        <w:t>PCR等多种病原检测项目，提供综合诊断平台以满足临床感染疾病诊断的多重需求；</w:t>
      </w:r>
    </w:p>
    <w:p>
      <w:pPr>
        <w:pStyle w:val="null3"/>
        <w:ind w:firstLine="420"/>
      </w:pPr>
      <w:r>
        <w:rPr>
          <w:sz w:val="21"/>
          <w:color w:val="000000"/>
        </w:rPr>
        <w:t>(3)</w:t>
      </w:r>
      <w:r>
        <w:rPr>
          <w:sz w:val="21"/>
          <w:color w:val="000000"/>
        </w:rPr>
        <w:t>检测灵敏度：检测可直接使用核酸浓度</w:t>
      </w:r>
      <w:r>
        <w:rPr>
          <w:sz w:val="21"/>
          <w:color w:val="000000"/>
        </w:rPr>
        <w:t>≤2ng/ul的样本,可处理起始量低于10ng的片段化双链DNA样本, 靶区覆盖率＞95%,种属鉴定准确性＞99%；</w:t>
      </w:r>
    </w:p>
    <w:p>
      <w:pPr>
        <w:pStyle w:val="null3"/>
        <w:ind w:firstLine="420"/>
      </w:pPr>
      <w:r>
        <w:rPr>
          <w:sz w:val="21"/>
          <w:color w:val="000000"/>
        </w:rPr>
        <w:t>(4)</w:t>
      </w:r>
      <w:r>
        <w:rPr>
          <w:sz w:val="21"/>
          <w:color w:val="000000"/>
        </w:rPr>
        <w:t>样本类型：除粪便样本外</w:t>
      </w:r>
      <w:r>
        <w:rPr>
          <w:sz w:val="21"/>
          <w:color w:val="000000"/>
        </w:rPr>
        <w:t>, 全面覆盖血液、脑脊液、肺泡灌洗液、痰液、胸腹水、脓肿抽液、尿液等体液样本, 拭子、新鲜组织等非体液样本类型；</w:t>
      </w:r>
    </w:p>
    <w:p>
      <w:pPr>
        <w:pStyle w:val="null3"/>
        <w:ind w:firstLine="420"/>
      </w:pPr>
      <w:r>
        <w:rPr>
          <w:sz w:val="21"/>
          <w:color w:val="000000"/>
        </w:rPr>
        <w:t>(</w:t>
      </w:r>
      <w:r>
        <w:rPr>
          <w:sz w:val="21"/>
          <w:color w:val="000000"/>
        </w:rPr>
        <w:t>5</w:t>
      </w:r>
      <w:r>
        <w:rPr>
          <w:sz w:val="21"/>
          <w:color w:val="000000"/>
        </w:rPr>
        <w:t>)</w:t>
      </w:r>
      <w:r>
        <w:rPr>
          <w:sz w:val="21"/>
          <w:color w:val="000000"/>
        </w:rPr>
        <w:t>测序仪器及信息分析软件均符合资质认证，其中测序仪具有国家食品药品监督管理总局认证</w:t>
      </w:r>
      <w:r>
        <w:rPr>
          <w:sz w:val="21"/>
          <w:color w:val="000000"/>
        </w:rPr>
        <w:t>;</w:t>
      </w:r>
    </w:p>
    <w:p>
      <w:pPr>
        <w:pStyle w:val="null3"/>
        <w:ind w:firstLine="420"/>
      </w:pPr>
      <w:r>
        <w:rPr>
          <w:sz w:val="21"/>
          <w:color w:val="000000"/>
        </w:rPr>
        <w:t>(</w:t>
      </w:r>
      <w:r>
        <w:rPr>
          <w:sz w:val="21"/>
          <w:color w:val="000000"/>
        </w:rPr>
        <w:t>6</w:t>
      </w:r>
      <w:r>
        <w:rPr>
          <w:sz w:val="21"/>
          <w:color w:val="000000"/>
        </w:rPr>
        <w:t>)</w:t>
      </w:r>
      <w:r>
        <w:rPr>
          <w:sz w:val="21"/>
          <w:color w:val="000000"/>
        </w:rPr>
        <w:t>提供临床专家多学科联合报告解读及临床会诊治疗特色服务</w:t>
      </w:r>
      <w:r>
        <w:rPr>
          <w:sz w:val="21"/>
          <w:color w:val="000000"/>
        </w:rPr>
        <w:t>;</w:t>
      </w:r>
    </w:p>
    <w:p>
      <w:pPr>
        <w:pStyle w:val="null3"/>
        <w:ind w:firstLine="420"/>
      </w:pPr>
      <w:r>
        <w:rPr>
          <w:sz w:val="21"/>
          <w:color w:val="000000"/>
        </w:rPr>
        <w:t>10.10靶向病原测序精简版199种病原体（DNA+RNA+耐药基因）</w:t>
      </w:r>
    </w:p>
    <w:p>
      <w:pPr>
        <w:pStyle w:val="null3"/>
        <w:ind w:firstLine="420"/>
      </w:pPr>
      <w:r>
        <w:rPr>
          <w:sz w:val="21"/>
          <w:color w:val="000000"/>
        </w:rPr>
        <w:t>(1)</w:t>
      </w:r>
      <w:r>
        <w:rPr>
          <w:sz w:val="21"/>
          <w:color w:val="000000"/>
        </w:rPr>
        <w:t>检测涵盖临床常见</w:t>
      </w:r>
      <w:r>
        <w:rPr>
          <w:sz w:val="21"/>
          <w:color w:val="000000"/>
        </w:rPr>
        <w:t>199种病原微生物，包括30种DNA病毒、44种RNA病毒、79种细菌、22种真菌、11种支原体/衣原体/立克次体,12种寄生虫等，以及1280个耐药基因和122个毒力基因；为轻,中症感染患者提供快速精准诊断依据；</w:t>
      </w:r>
    </w:p>
    <w:p>
      <w:pPr>
        <w:pStyle w:val="null3"/>
        <w:ind w:firstLine="420"/>
      </w:pPr>
      <w:r>
        <w:rPr>
          <w:sz w:val="21"/>
          <w:color w:val="000000"/>
        </w:rPr>
        <w:t>(2)</w:t>
      </w:r>
      <w:r>
        <w:rPr>
          <w:sz w:val="21"/>
          <w:color w:val="000000"/>
        </w:rPr>
        <w:t>具备完善的病原检测与验证能力，配备微生物流水线培养仪器，具有超多重病原体</w:t>
      </w:r>
      <w:r>
        <w:rPr>
          <w:sz w:val="21"/>
          <w:color w:val="000000"/>
        </w:rPr>
        <w:t>PCR等多种病原检测项目，提供综合诊断平台以满足临床感染疾病诊断的多重需求；</w:t>
      </w:r>
    </w:p>
    <w:p>
      <w:pPr>
        <w:pStyle w:val="null3"/>
        <w:ind w:firstLine="420"/>
      </w:pPr>
      <w:r>
        <w:rPr>
          <w:sz w:val="21"/>
          <w:color w:val="000000"/>
        </w:rPr>
        <w:t>(3)</w:t>
      </w:r>
      <w:r>
        <w:rPr>
          <w:sz w:val="21"/>
          <w:color w:val="000000"/>
        </w:rPr>
        <w:t>检测灵敏度：检测可直接使用核酸浓度</w:t>
      </w:r>
      <w:r>
        <w:rPr>
          <w:sz w:val="21"/>
          <w:color w:val="000000"/>
        </w:rPr>
        <w:t>≤2ng/ul的样本,可处理起始量低于10ng的片段化双链DNA样本, 靶区覆盖率＞95%,种属鉴定准确性＞99%；</w:t>
      </w:r>
    </w:p>
    <w:p>
      <w:pPr>
        <w:pStyle w:val="null3"/>
        <w:ind w:firstLine="420"/>
      </w:pPr>
      <w:r>
        <w:rPr>
          <w:sz w:val="21"/>
          <w:color w:val="000000"/>
        </w:rPr>
        <w:t>(4)</w:t>
      </w:r>
      <w:r>
        <w:rPr>
          <w:sz w:val="21"/>
          <w:color w:val="000000"/>
        </w:rPr>
        <w:t>样本类型：除粪便样本外</w:t>
      </w:r>
      <w:r>
        <w:rPr>
          <w:sz w:val="21"/>
          <w:color w:val="000000"/>
        </w:rPr>
        <w:t>, 全面覆盖血液、脑脊液、肺泡灌洗液、痰液、胸腹水、脓肿抽液、尿液等体液样本, 拭子、新鲜组织等非体液样本类型；</w:t>
      </w:r>
    </w:p>
    <w:p>
      <w:pPr>
        <w:pStyle w:val="null3"/>
        <w:ind w:firstLine="420"/>
      </w:pPr>
      <w:r>
        <w:rPr>
          <w:sz w:val="21"/>
          <w:color w:val="000000"/>
        </w:rPr>
        <w:t>(</w:t>
      </w:r>
      <w:r>
        <w:rPr>
          <w:sz w:val="21"/>
          <w:color w:val="000000"/>
        </w:rPr>
        <w:t>5</w:t>
      </w:r>
      <w:r>
        <w:rPr>
          <w:sz w:val="21"/>
          <w:color w:val="000000"/>
        </w:rPr>
        <w:t>)</w:t>
      </w:r>
      <w:r>
        <w:rPr>
          <w:sz w:val="21"/>
          <w:color w:val="000000"/>
        </w:rPr>
        <w:t>测序仪器及信息分析软件均符合资质认证，其中测序仪具有国家食品药品监督管理总局认证</w:t>
      </w:r>
      <w:r>
        <w:rPr>
          <w:sz w:val="21"/>
          <w:color w:val="000000"/>
        </w:rPr>
        <w:t>;</w:t>
      </w:r>
    </w:p>
    <w:p>
      <w:pPr>
        <w:pStyle w:val="null3"/>
        <w:ind w:firstLine="420"/>
      </w:pPr>
      <w:r>
        <w:rPr>
          <w:sz w:val="21"/>
          <w:color w:val="000000"/>
        </w:rPr>
        <w:t>(</w:t>
      </w:r>
      <w:r>
        <w:rPr>
          <w:sz w:val="21"/>
          <w:color w:val="000000"/>
        </w:rPr>
        <w:t>6</w:t>
      </w:r>
      <w:r>
        <w:rPr>
          <w:sz w:val="21"/>
          <w:color w:val="000000"/>
        </w:rPr>
        <w:t>)</w:t>
      </w:r>
      <w:r>
        <w:rPr>
          <w:sz w:val="21"/>
          <w:color w:val="000000"/>
        </w:rPr>
        <w:t>提供临床专家多学科联合报告解读及临床会诊治疗特色服务</w:t>
      </w:r>
      <w:r>
        <w:rPr>
          <w:sz w:val="21"/>
          <w:color w:val="000000"/>
        </w:rPr>
        <w:t>;</w:t>
      </w:r>
    </w:p>
    <w:p>
      <w:pPr>
        <w:pStyle w:val="null3"/>
        <w:ind w:firstLine="420"/>
      </w:pPr>
      <w:r>
        <w:rPr>
          <w:sz w:val="21"/>
          <w:color w:val="000000"/>
        </w:rPr>
        <w:t>10.11.靶向病原测序升级版476种病原体（DNA+RNA+耐药基因）</w:t>
      </w:r>
    </w:p>
    <w:p>
      <w:pPr>
        <w:pStyle w:val="null3"/>
        <w:ind w:firstLine="420"/>
      </w:pPr>
      <w:r>
        <w:rPr>
          <w:sz w:val="21"/>
          <w:color w:val="000000"/>
        </w:rPr>
        <w:t>(1)</w:t>
      </w:r>
      <w:r>
        <w:rPr>
          <w:sz w:val="21"/>
          <w:color w:val="000000"/>
        </w:rPr>
        <w:t>检测涵盖临床高度常见</w:t>
      </w:r>
      <w:r>
        <w:rPr>
          <w:sz w:val="21"/>
          <w:color w:val="000000"/>
        </w:rPr>
        <w:t>476种病原微生物，包括检测共包含211种细菌、69种真菌、DNA病毒63种、RNA病毒82种、支原体/衣原体/立克次体15种、寄生虫36种以及1280个耐药基因和122个毒力基因；为轻,中症感染患者提供快速精准诊断依据；</w:t>
      </w:r>
    </w:p>
    <w:p>
      <w:pPr>
        <w:pStyle w:val="null3"/>
        <w:ind w:firstLine="420"/>
      </w:pPr>
      <w:r>
        <w:rPr>
          <w:sz w:val="21"/>
          <w:color w:val="000000"/>
        </w:rPr>
        <w:t>(2)</w:t>
      </w:r>
      <w:r>
        <w:rPr>
          <w:sz w:val="21"/>
          <w:color w:val="000000"/>
        </w:rPr>
        <w:t>具备完善的病原检测与验证能力，配备微生物流水线培养仪器备，具有超多重病原体</w:t>
      </w:r>
      <w:r>
        <w:rPr>
          <w:sz w:val="21"/>
          <w:color w:val="000000"/>
        </w:rPr>
        <w:t>PCR等多种病原检测项目，提供综合诊断平台以满足临床感染疾病诊断的多重需求；</w:t>
      </w:r>
    </w:p>
    <w:p>
      <w:pPr>
        <w:pStyle w:val="null3"/>
        <w:ind w:firstLine="420"/>
      </w:pPr>
      <w:r>
        <w:rPr>
          <w:sz w:val="21"/>
          <w:color w:val="000000"/>
        </w:rPr>
        <w:t>(3)</w:t>
      </w:r>
      <w:r>
        <w:rPr>
          <w:sz w:val="21"/>
          <w:color w:val="000000"/>
        </w:rPr>
        <w:t>检测灵敏度：检测可直接使用核酸浓度</w:t>
      </w:r>
      <w:r>
        <w:rPr>
          <w:sz w:val="21"/>
          <w:color w:val="000000"/>
        </w:rPr>
        <w:t>≤2ng/ul的样本,可处理起始量低于10ng的片段化双链DNA样本, 靶区覆盖率＞95%,种属鉴定准确性＞99%；</w:t>
      </w:r>
    </w:p>
    <w:p>
      <w:pPr>
        <w:pStyle w:val="null3"/>
        <w:ind w:firstLine="420"/>
      </w:pPr>
      <w:r>
        <w:rPr>
          <w:sz w:val="21"/>
          <w:color w:val="000000"/>
        </w:rPr>
        <w:t>(4)</w:t>
      </w:r>
      <w:r>
        <w:rPr>
          <w:sz w:val="21"/>
          <w:color w:val="000000"/>
        </w:rPr>
        <w:t>样本类型：除粪便样本外</w:t>
      </w:r>
      <w:r>
        <w:rPr>
          <w:sz w:val="21"/>
          <w:color w:val="000000"/>
        </w:rPr>
        <w:t>, 全面覆盖血液、脑脊液、肺泡灌洗液、痰液、胸腹水、脓肿抽液、尿液等体液样本, 拭子、新鲜组织等非体液样本类型；</w:t>
      </w:r>
    </w:p>
    <w:p>
      <w:pPr>
        <w:pStyle w:val="null3"/>
        <w:ind w:firstLine="420"/>
      </w:pPr>
      <w:r>
        <w:rPr>
          <w:sz w:val="21"/>
          <w:color w:val="000000"/>
        </w:rPr>
        <w:t>(</w:t>
      </w:r>
      <w:r>
        <w:rPr>
          <w:sz w:val="21"/>
          <w:color w:val="000000"/>
        </w:rPr>
        <w:t>5</w:t>
      </w:r>
      <w:r>
        <w:rPr>
          <w:sz w:val="21"/>
          <w:color w:val="000000"/>
        </w:rPr>
        <w:t>)</w:t>
      </w:r>
      <w:r>
        <w:rPr>
          <w:sz w:val="21"/>
          <w:color w:val="000000"/>
        </w:rPr>
        <w:t>测序仪器及信息分析软件均符合资质认证，其中测序仪具有国家食品药品监督管理总局认证</w:t>
      </w:r>
      <w:r>
        <w:rPr>
          <w:sz w:val="21"/>
          <w:color w:val="000000"/>
        </w:rPr>
        <w:t>;</w:t>
      </w:r>
    </w:p>
    <w:p>
      <w:pPr>
        <w:pStyle w:val="null3"/>
        <w:ind w:firstLine="420"/>
      </w:pPr>
      <w:r>
        <w:rPr>
          <w:sz w:val="21"/>
          <w:color w:val="000000"/>
        </w:rPr>
        <w:t>(</w:t>
      </w:r>
      <w:r>
        <w:rPr>
          <w:sz w:val="21"/>
          <w:color w:val="000000"/>
        </w:rPr>
        <w:t>6</w:t>
      </w:r>
      <w:r>
        <w:rPr>
          <w:sz w:val="21"/>
          <w:color w:val="000000"/>
        </w:rPr>
        <w:t>)</w:t>
      </w:r>
      <w:r>
        <w:rPr>
          <w:sz w:val="21"/>
          <w:color w:val="000000"/>
        </w:rPr>
        <w:t>提供临床专家多学科联合报告解读及临床会诊治疗特色服务</w:t>
      </w:r>
      <w:r>
        <w:rPr>
          <w:sz w:val="21"/>
          <w:color w:val="000000"/>
        </w:rPr>
        <w:t>;</w:t>
      </w:r>
    </w:p>
    <w:p>
      <w:pPr>
        <w:pStyle w:val="null3"/>
        <w:ind w:firstLine="420"/>
      </w:pPr>
      <w:r>
        <w:rPr>
          <w:sz w:val="21"/>
          <w:color w:val="000000"/>
        </w:rPr>
        <w:t>10.12.病原微生物宏基因组检测（DNA）</w:t>
      </w:r>
    </w:p>
    <w:p>
      <w:pPr>
        <w:pStyle w:val="null3"/>
        <w:ind w:firstLine="420"/>
      </w:pPr>
      <w:r>
        <w:rPr>
          <w:sz w:val="21"/>
          <w:color w:val="000000"/>
        </w:rPr>
        <w:t>(1)</w:t>
      </w:r>
      <w:r>
        <w:rPr>
          <w:sz w:val="21"/>
          <w:color w:val="000000"/>
        </w:rPr>
        <w:t>检测涵盖</w:t>
      </w:r>
      <w:r>
        <w:rPr>
          <w:sz w:val="21"/>
          <w:color w:val="000000"/>
        </w:rPr>
        <w:t>≥25000种病原微生物，包括DNA病毒、细菌、真菌、寄生虫、分枝杆菌、支原体/衣原体等，为疑难危重感染提供快速精准诊断依据；</w:t>
      </w:r>
    </w:p>
    <w:p>
      <w:pPr>
        <w:pStyle w:val="null3"/>
        <w:ind w:firstLine="420"/>
      </w:pPr>
      <w:r>
        <w:rPr>
          <w:sz w:val="21"/>
          <w:color w:val="000000"/>
        </w:rPr>
        <w:t>(2)</w:t>
      </w:r>
      <w:r>
        <w:rPr>
          <w:sz w:val="21"/>
          <w:color w:val="000000"/>
        </w:rPr>
        <w:t>具备完善的病原检测与验证能力，配备</w:t>
      </w:r>
      <w:r>
        <w:rPr>
          <w:sz w:val="21"/>
          <w:color w:val="000000"/>
        </w:rPr>
        <w:t>BD微生物流水线培养仪器备，具有超多重病原体PCR等多种病原检测项目，提供综合诊断平台以满足临床感染疾病诊断的多重需求；</w:t>
      </w:r>
    </w:p>
    <w:p>
      <w:pPr>
        <w:pStyle w:val="null3"/>
        <w:ind w:firstLine="420"/>
      </w:pPr>
      <w:r>
        <w:rPr>
          <w:sz w:val="21"/>
          <w:color w:val="000000"/>
        </w:rPr>
        <w:t>(3)</w:t>
      </w:r>
      <w:r>
        <w:rPr>
          <w:sz w:val="21"/>
          <w:color w:val="000000"/>
        </w:rPr>
        <w:t>检测准确率：种属鉴定准确性＞</w:t>
      </w:r>
      <w:r>
        <w:rPr>
          <w:sz w:val="21"/>
          <w:color w:val="000000"/>
        </w:rPr>
        <w:t>99%；</w:t>
      </w:r>
    </w:p>
    <w:p>
      <w:pPr>
        <w:pStyle w:val="null3"/>
        <w:ind w:firstLine="420"/>
      </w:pPr>
      <w:r>
        <w:rPr>
          <w:sz w:val="21"/>
          <w:color w:val="000000"/>
        </w:rPr>
        <w:t>(4)</w:t>
      </w:r>
      <w:r>
        <w:rPr>
          <w:sz w:val="21"/>
          <w:color w:val="000000"/>
        </w:rPr>
        <w:t>样本类型：除粪便样本外</w:t>
      </w:r>
      <w:r>
        <w:rPr>
          <w:sz w:val="21"/>
          <w:color w:val="000000"/>
        </w:rPr>
        <w:t>, 全面覆盖血液、脑脊液、肺泡灌洗液、痰液、胸腹水、脓肿抽液、尿液等体液样本, 拭子、组织、蜡块白片等非体液样本类型；</w:t>
      </w:r>
    </w:p>
    <w:p>
      <w:pPr>
        <w:pStyle w:val="null3"/>
        <w:ind w:firstLine="420"/>
      </w:pPr>
      <w:r>
        <w:rPr>
          <w:sz w:val="21"/>
          <w:color w:val="000000"/>
        </w:rPr>
        <w:t>(</w:t>
      </w:r>
      <w:r>
        <w:rPr>
          <w:sz w:val="21"/>
          <w:color w:val="000000"/>
        </w:rPr>
        <w:t>5</w:t>
      </w:r>
      <w:r>
        <w:rPr>
          <w:sz w:val="21"/>
          <w:color w:val="000000"/>
        </w:rPr>
        <w:t>)</w:t>
      </w:r>
      <w:r>
        <w:rPr>
          <w:sz w:val="21"/>
          <w:color w:val="000000"/>
        </w:rPr>
        <w:t>单个样本下机数据量平均达</w:t>
      </w:r>
      <w:r>
        <w:rPr>
          <w:sz w:val="21"/>
          <w:color w:val="000000"/>
        </w:rPr>
        <w:t>40M；</w:t>
      </w:r>
    </w:p>
    <w:p>
      <w:pPr>
        <w:pStyle w:val="null3"/>
        <w:ind w:firstLine="420"/>
      </w:pPr>
      <w:r>
        <w:rPr>
          <w:sz w:val="21"/>
          <w:color w:val="000000"/>
        </w:rPr>
        <w:t>(</w:t>
      </w:r>
      <w:r>
        <w:rPr>
          <w:sz w:val="21"/>
          <w:color w:val="000000"/>
        </w:rPr>
        <w:t>6</w:t>
      </w:r>
      <w:r>
        <w:rPr>
          <w:sz w:val="21"/>
          <w:color w:val="000000"/>
        </w:rPr>
        <w:t>)</w:t>
      </w:r>
      <w:r>
        <w:rPr>
          <w:sz w:val="21"/>
          <w:color w:val="000000"/>
        </w:rPr>
        <w:t>测序仪器及信息分析软件均符合资质认证，其中测序仪具有国家食品药品监督管理总局认证</w:t>
      </w:r>
      <w:r>
        <w:rPr>
          <w:sz w:val="21"/>
          <w:color w:val="000000"/>
        </w:rPr>
        <w:t>;</w:t>
      </w:r>
    </w:p>
    <w:p>
      <w:pPr>
        <w:pStyle w:val="null3"/>
        <w:ind w:firstLine="420"/>
      </w:pPr>
      <w:r>
        <w:rPr>
          <w:sz w:val="21"/>
          <w:color w:val="000000"/>
        </w:rPr>
        <w:t>(</w:t>
      </w:r>
      <w:r>
        <w:rPr>
          <w:sz w:val="21"/>
          <w:color w:val="000000"/>
        </w:rPr>
        <w:t>7</w:t>
      </w:r>
      <w:r>
        <w:rPr>
          <w:sz w:val="21"/>
          <w:color w:val="000000"/>
        </w:rPr>
        <w:t>)</w:t>
      </w:r>
      <w:r>
        <w:rPr>
          <w:sz w:val="21"/>
          <w:color w:val="000000"/>
        </w:rPr>
        <w:t>提供临床专家多学科联合报告解读及临床会诊治疗特色服务</w:t>
      </w:r>
      <w:r>
        <w:rPr>
          <w:sz w:val="21"/>
          <w:color w:val="000000"/>
        </w:rPr>
        <w:t>;</w:t>
      </w:r>
    </w:p>
    <w:p>
      <w:pPr>
        <w:pStyle w:val="null3"/>
        <w:jc w:val="both"/>
      </w:pPr>
      <w:r>
        <w:rPr>
          <w:sz w:val="21"/>
          <w:b/>
          <w:color w:val="000000"/>
        </w:rPr>
        <w:t>（十一）标本接收、送检及检验要求</w:t>
      </w:r>
    </w:p>
    <w:p>
      <w:pPr>
        <w:pStyle w:val="null3"/>
      </w:pPr>
      <w:r>
        <w:rPr>
          <w:sz w:val="21"/>
          <w:color w:val="000000"/>
        </w:rPr>
        <w:t>11.1.中标人提供物流服务，物流费用包含在收费项目内，按要求，提供每周5天上门接收标本的服务，时间为8：30至17：00，地点：广州市第一人民医院南沙医院。</w:t>
      </w:r>
    </w:p>
    <w:p>
      <w:pPr>
        <w:pStyle w:val="null3"/>
      </w:pPr>
      <w:r>
        <w:rPr>
          <w:sz w:val="21"/>
          <w:color w:val="000000"/>
        </w:rPr>
        <w:t>11.2.投标人具有规范标本接收、登记和包装流程，保证标本质量和安全，确保标本顺利交接，方便查核。投标人需提供相关方案的介绍说明，提供运输专用容器实物图片。</w:t>
      </w:r>
    </w:p>
    <w:p>
      <w:pPr>
        <w:pStyle w:val="null3"/>
      </w:pPr>
      <w:r>
        <w:rPr>
          <w:sz w:val="21"/>
          <w:color w:val="000000"/>
        </w:rPr>
        <w:t>11.3.中标人标本接收人员负责标本质量的初检、标识的核对，标本不符合检验要求时，应及时通知采购人重新取样；中标人标本接收人员负责标本的接收登记及包装储存。</w:t>
      </w:r>
    </w:p>
    <w:p>
      <w:pPr>
        <w:pStyle w:val="null3"/>
      </w:pPr>
      <w:r>
        <w:rPr>
          <w:sz w:val="21"/>
          <w:color w:val="000000"/>
        </w:rPr>
        <w:t>11.4.中标人必须确保及时接收、送检标本和及时检验。 标本不符合检验要求时，应及时通知采购人重新取样。</w:t>
      </w:r>
    </w:p>
    <w:p>
      <w:pPr>
        <w:pStyle w:val="null3"/>
      </w:pPr>
      <w:r>
        <w:rPr>
          <w:sz w:val="21"/>
          <w:color w:val="000000"/>
        </w:rPr>
        <w:t>11.5.检验报告单必须由具备相应资质的检验人员签发，上级医师复核。</w:t>
      </w:r>
    </w:p>
    <w:p>
      <w:pPr>
        <w:pStyle w:val="null3"/>
        <w:jc w:val="both"/>
      </w:pPr>
      <w:r>
        <w:rPr>
          <w:sz w:val="21"/>
          <w:b/>
          <w:color w:val="000000"/>
        </w:rPr>
        <w:t>（十二）结果查询</w:t>
      </w:r>
    </w:p>
    <w:p>
      <w:pPr>
        <w:pStyle w:val="null3"/>
      </w:pPr>
      <w:r>
        <w:rPr>
          <w:sz w:val="21"/>
          <w:color w:val="000000"/>
        </w:rPr>
        <w:t>12.1.医院项目对接人可通过专用渠道随时调阅检验结果，投标人须保证病人的资料的准确性和检验结果的及时性，并提供系统使用的必要培训与技术支持。</w:t>
      </w:r>
    </w:p>
    <w:p>
      <w:pPr>
        <w:pStyle w:val="null3"/>
      </w:pPr>
      <w:r>
        <w:rPr>
          <w:sz w:val="21"/>
          <w:color w:val="000000"/>
        </w:rPr>
        <w:t>12.2.按照检测项目常规报告时间（详见第8点的各项目检测要求）提供检测结果。</w:t>
      </w:r>
    </w:p>
    <w:p>
      <w:pPr>
        <w:pStyle w:val="null3"/>
        <w:jc w:val="both"/>
      </w:pPr>
      <w:r>
        <w:rPr>
          <w:sz w:val="21"/>
          <w:b/>
          <w:color w:val="000000"/>
        </w:rPr>
        <w:t>（十三）技术支持</w:t>
      </w:r>
    </w:p>
    <w:p>
      <w:pPr>
        <w:pStyle w:val="null3"/>
      </w:pPr>
      <w:r>
        <w:rPr>
          <w:sz w:val="21"/>
          <w:color w:val="000000"/>
        </w:rPr>
        <w:t>13.1.有专人负责用户业务及质量、技术、培训等工作。</w:t>
      </w:r>
    </w:p>
    <w:p>
      <w:pPr>
        <w:pStyle w:val="null3"/>
      </w:pPr>
      <w:r>
        <w:rPr>
          <w:sz w:val="21"/>
          <w:color w:val="000000"/>
        </w:rPr>
        <w:t>13.2.常规设有客服人员负责采购方反馈信息的受理、传达、跟踪处理等工作，以满足售后服务。</w:t>
      </w:r>
    </w:p>
    <w:p>
      <w:pPr>
        <w:pStyle w:val="null3"/>
        <w:jc w:val="both"/>
      </w:pPr>
      <w:r>
        <w:rPr>
          <w:sz w:val="21"/>
          <w:b/>
          <w:color w:val="000000"/>
        </w:rPr>
        <w:t>（</w:t>
      </w:r>
      <w:r>
        <w:rPr>
          <w:sz w:val="21"/>
          <w:b/>
          <w:color w:val="000000"/>
        </w:rPr>
        <w:t>十四）</w:t>
      </w:r>
      <w:r>
        <w:rPr>
          <w:sz w:val="21"/>
          <w:b/>
          <w:color w:val="000000"/>
        </w:rPr>
        <w:t>信息系统和保.密措施</w:t>
      </w:r>
    </w:p>
    <w:p>
      <w:pPr>
        <w:pStyle w:val="null3"/>
      </w:pPr>
      <w:r>
        <w:rPr>
          <w:sz w:val="21"/>
          <w:color w:val="000000"/>
        </w:rPr>
        <w:t>14.1.投标人有为采购人保.密的义务，未经同意不得泄露委托检验的项目、检验的内容及检验的结果。</w:t>
      </w:r>
    </w:p>
    <w:p>
      <w:pPr>
        <w:pStyle w:val="null3"/>
      </w:pPr>
      <w:r>
        <w:rPr>
          <w:sz w:val="21"/>
          <w:color w:val="000000"/>
        </w:rPr>
        <w:t>14.2.检测样本、检测数据的所有权、使用权为采购人所有，未经许可不得挪作它用。</w:t>
      </w:r>
    </w:p>
    <w:p>
      <w:pPr>
        <w:pStyle w:val="null3"/>
      </w:pPr>
      <w:r>
        <w:rPr>
          <w:sz w:val="21"/>
          <w:color w:val="000000"/>
        </w:rPr>
        <w:t>14.3.检测样本遗传信息的使用和存储，需符合《中华人民共和国人类遗传资源管理条例》。</w:t>
      </w:r>
    </w:p>
    <w:p>
      <w:pPr>
        <w:pStyle w:val="null3"/>
        <w:jc w:val="both"/>
      </w:pPr>
      <w:r>
        <w:rPr>
          <w:sz w:val="21"/>
          <w:b/>
          <w:color w:val="000000"/>
        </w:rPr>
        <w:t>（</w:t>
      </w:r>
      <w:r>
        <w:rPr>
          <w:sz w:val="21"/>
          <w:b/>
          <w:color w:val="000000"/>
        </w:rPr>
        <w:t>十五）</w:t>
      </w:r>
      <w:r>
        <w:rPr>
          <w:sz w:val="21"/>
          <w:b/>
          <w:color w:val="000000"/>
        </w:rPr>
        <w:t>考核</w:t>
      </w:r>
      <w:r>
        <w:rPr>
          <w:sz w:val="21"/>
          <w:b/>
          <w:color w:val="000000"/>
        </w:rPr>
        <w:t>要求</w:t>
      </w:r>
    </w:p>
    <w:p>
      <w:pPr>
        <w:pStyle w:val="null3"/>
      </w:pPr>
      <w:r>
        <w:rPr>
          <w:sz w:val="21"/>
          <w:color w:val="000000"/>
        </w:rPr>
        <w:t>15.1.每个季度的前10个工作日内，采购人组织相关人员对中标人的上个季度的服务质量进行季度考核，考评内容详见《第三方检验中心检验服务质量季度考核表》,具体内容如下：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661"/>
        <w:gridCol w:w="1661"/>
        <w:gridCol w:w="1661"/>
        <w:gridCol w:w="522"/>
        <w:gridCol w:w="2800"/>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考核项目</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考核内容</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满分值</w:t>
            </w:r>
          </w:p>
        </w:tc>
        <w:tc>
          <w:tcPr>
            <w:tcW w:type="dxa" w:w="2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扣分原则</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标本</w:t>
            </w:r>
          </w:p>
          <w:p>
            <w:pPr>
              <w:pStyle w:val="null3"/>
              <w:jc w:val="center"/>
            </w:pPr>
            <w:r>
              <w:rPr>
                <w:sz w:val="21"/>
                <w:color w:val="000000"/>
              </w:rPr>
              <w:t>接收</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标本及时接收；无出现标本遗失、丢失。</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20分</w:t>
            </w:r>
          </w:p>
        </w:tc>
        <w:tc>
          <w:tcPr>
            <w:tcW w:type="dxa" w:w="2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标本未及时接收，每例</w:t>
            </w:r>
            <w:r>
              <w:rPr>
                <w:sz w:val="21"/>
                <w:color w:val="000000"/>
              </w:rPr>
              <w:t>-2分；标本遗失、标本丢失每例-5分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按规范流程进行标本登记</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5分</w:t>
            </w:r>
          </w:p>
        </w:tc>
        <w:tc>
          <w:tcPr>
            <w:tcW w:type="dxa" w:w="2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未按规范进行标本登记每出现</w:t>
            </w:r>
            <w:r>
              <w:rPr>
                <w:sz w:val="21"/>
                <w:color w:val="000000"/>
              </w:rPr>
              <w:t>1例-1分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标本初检发现不合格应及时报告医院</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5分</w:t>
            </w:r>
          </w:p>
        </w:tc>
        <w:tc>
          <w:tcPr>
            <w:tcW w:type="dxa" w:w="2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未及时报告医院每出现</w:t>
            </w:r>
            <w:r>
              <w:rPr>
                <w:sz w:val="21"/>
                <w:color w:val="000000"/>
              </w:rPr>
              <w:t>1例-1分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标本</w:t>
            </w:r>
          </w:p>
          <w:p>
            <w:pPr>
              <w:pStyle w:val="null3"/>
              <w:jc w:val="center"/>
            </w:pPr>
            <w:r>
              <w:rPr>
                <w:sz w:val="21"/>
                <w:color w:val="000000"/>
              </w:rPr>
              <w:t>检验</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按规定时间进行标本送检，送检过程中无出现标本遗失、丢失情况</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20分</w:t>
            </w:r>
          </w:p>
        </w:tc>
        <w:tc>
          <w:tcPr>
            <w:tcW w:type="dxa" w:w="2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未按规定时间进行标本送检，每出现一例</w:t>
            </w:r>
            <w:r>
              <w:rPr>
                <w:sz w:val="21"/>
                <w:color w:val="000000"/>
              </w:rPr>
              <w:t>-2分；标本遗失、丢失每出现一例-5分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61"/>
            <w:vMerge/>
            <w:tcBorders>
              <w:top w:val="none" w:color="000000" w:sz="4"/>
              <w:left w:val="none" w:color="000000" w:sz="4"/>
              <w:bottom w:val="non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检查结果按规定时间出具</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5分</w:t>
            </w:r>
          </w:p>
        </w:tc>
        <w:tc>
          <w:tcPr>
            <w:tcW w:type="dxa" w:w="2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检验结果未在规定时间出具每例</w:t>
            </w:r>
            <w:r>
              <w:rPr>
                <w:sz w:val="21"/>
                <w:color w:val="000000"/>
              </w:rPr>
              <w:t>-1分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61"/>
            <w:vMerge/>
            <w:tcBorders>
              <w:top w:val="none" w:color="000000" w:sz="4"/>
              <w:left w:val="none" w:color="000000" w:sz="4"/>
              <w:bottom w:val="non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报告单书写整洁、无错项、无漏项、签名易辨认</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5分</w:t>
            </w:r>
          </w:p>
        </w:tc>
        <w:tc>
          <w:tcPr>
            <w:tcW w:type="dxa" w:w="2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报告单书写书写潦草每例</w:t>
            </w:r>
            <w:r>
              <w:rPr>
                <w:sz w:val="21"/>
                <w:color w:val="000000"/>
              </w:rPr>
              <w:t>-1分、签名无法辨认每例-1分，漏项每例-1分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661"/>
            <w:vMerge/>
            <w:tcBorders>
              <w:top w:val="none" w:color="000000" w:sz="4"/>
              <w:left w:val="none" w:color="000000" w:sz="4"/>
              <w:bottom w:val="non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报告单由具备资质的检验人员签发</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15分</w:t>
            </w:r>
          </w:p>
        </w:tc>
        <w:tc>
          <w:tcPr>
            <w:tcW w:type="dxa" w:w="2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出现一例报告单签发人员资质不符合要求</w:t>
            </w:r>
            <w:r>
              <w:rPr>
                <w:sz w:val="21"/>
                <w:color w:val="000000"/>
              </w:rPr>
              <w:t>-15</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w:t>
            </w:r>
          </w:p>
          <w:p>
            <w:pPr>
              <w:pStyle w:val="null3"/>
              <w:jc w:val="center"/>
            </w:pPr>
            <w:r>
              <w:rPr>
                <w:sz w:val="21"/>
                <w:color w:val="000000"/>
              </w:rPr>
              <w:t>结果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检验结果无误差、错误</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20分</w:t>
            </w:r>
          </w:p>
        </w:tc>
        <w:tc>
          <w:tcPr>
            <w:tcW w:type="dxa" w:w="2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检验结果出现</w:t>
            </w:r>
            <w:r>
              <w:rPr>
                <w:sz w:val="21"/>
                <w:color w:val="000000"/>
              </w:rPr>
              <w:t>1例误差错误不得分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检验结果及时上传，供医院查询调阅</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5分</w:t>
            </w:r>
          </w:p>
        </w:tc>
        <w:tc>
          <w:tcPr>
            <w:tcW w:type="dxa" w:w="2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检验结果未及时上传每例</w:t>
            </w:r>
            <w:r>
              <w:rPr>
                <w:sz w:val="21"/>
                <w:color w:val="000000"/>
              </w:rPr>
              <w:t>-1分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100分</w:t>
            </w:r>
          </w:p>
        </w:tc>
        <w:tc>
          <w:tcPr>
            <w:tcW w:type="dxa" w:w="2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1"/>
          <w:color w:val="000000"/>
        </w:rPr>
        <w:t>15.2.满分为100分，考核得分≥95分的为合格， 考核得分＜95分的为考核不合格，考核不合格时， 每低于合格基准分（即95分）1分值，按所考核季度总费用1%扣减费用，以此类推。对需要整改的考核项目，采购人出具整改内容书面通知，中标人须在接到书面通知后7天内作出整改方案及承诺，并提交采购人确认。</w:t>
      </w:r>
    </w:p>
    <w:p>
      <w:pPr>
        <w:pStyle w:val="null3"/>
      </w:pPr>
      <w:r>
        <w:rPr>
          <w:sz w:val="21"/>
          <w:color w:val="000000"/>
        </w:rPr>
        <w:t>15.3.标本在送检过程中出现延迟、遗漏、丢失等情况，或因检验结果误差、错误而导致的医疗纠纷、事故等不良后果的，按对应检验项目当次费用的2倍扣减费用，且由此产生的赔偿责任由中标人承担。</w:t>
      </w:r>
    </w:p>
    <w:p>
      <w:pPr>
        <w:pStyle w:val="null3"/>
        <w:jc w:val="both"/>
      </w:pPr>
      <w:r>
        <w:rPr>
          <w:sz w:val="21"/>
          <w:b/>
          <w:color w:val="000000"/>
        </w:rPr>
        <w:t>（</w:t>
      </w:r>
      <w:r>
        <w:rPr>
          <w:sz w:val="21"/>
          <w:b/>
          <w:color w:val="000000"/>
        </w:rPr>
        <w:t>十六）</w:t>
      </w:r>
      <w:r>
        <w:rPr>
          <w:sz w:val="21"/>
          <w:b/>
          <w:color w:val="000000"/>
        </w:rPr>
        <w:t>退出机制</w:t>
      </w:r>
    </w:p>
    <w:p>
      <w:pPr>
        <w:pStyle w:val="null3"/>
      </w:pPr>
      <w:r>
        <w:rPr>
          <w:sz w:val="21"/>
          <w:color w:val="000000"/>
        </w:rPr>
        <w:t>16.1.中标人出现以下情形之一的，采购人有权无条件终止和解除服务合同，并要求中标人支付合同金额5%的违约金，由此产生的采购人经济损失和法律责任由中标人承担：</w:t>
      </w:r>
    </w:p>
    <w:p>
      <w:pPr>
        <w:pStyle w:val="null3"/>
      </w:pPr>
      <w:r>
        <w:rPr>
          <w:sz w:val="21"/>
          <w:color w:val="000000"/>
        </w:rPr>
        <w:t>16.2.中标人连续两个季度或累计四个季度考评不合格的。</w:t>
      </w:r>
    </w:p>
    <w:p>
      <w:pPr>
        <w:pStyle w:val="null3"/>
      </w:pPr>
      <w:r>
        <w:rPr>
          <w:sz w:val="21"/>
          <w:color w:val="000000"/>
        </w:rPr>
        <w:t>16.3.中标人在采购期内出现一次国家卫生健康委临床检验中心室间质评不及格。</w:t>
      </w:r>
    </w:p>
    <w:p>
      <w:pPr>
        <w:pStyle w:val="null3"/>
      </w:pPr>
      <w:r>
        <w:rPr>
          <w:sz w:val="21"/>
          <w:color w:val="000000"/>
        </w:rPr>
        <w:t>16.4.一年内出现3次标本遗漏、丢失。一年内出现2次检验误差、错误而导致采购人医疗纠纷或事故等不良后果。</w:t>
      </w:r>
    </w:p>
    <w:p>
      <w:pPr>
        <w:pStyle w:val="null3"/>
      </w:pPr>
      <w:r>
        <w:rPr>
          <w:sz w:val="21"/>
          <w:b/>
          <w:color w:val="000000"/>
        </w:rPr>
        <w:t>（十七）投标人应在投标文件中提供项目实施服务方案</w:t>
      </w:r>
    </w:p>
    <w:p>
      <w:pPr>
        <w:pStyle w:val="null3"/>
        <w:outlineLvl w:val="1"/>
      </w:pPr>
      <w:r>
        <w:rPr>
          <w:sz w:val="21"/>
          <w:b/>
          <w:color w:val="000000"/>
        </w:rPr>
        <w:t>二、项目商务要求</w:t>
      </w:r>
    </w:p>
    <w:p>
      <w:pPr>
        <w:pStyle w:val="null3"/>
        <w:jc w:val="both"/>
      </w:pPr>
      <w:r>
        <w:rPr>
          <w:sz w:val="21"/>
          <w:b/>
          <w:color w:val="000000"/>
        </w:rPr>
        <w:t>（一）</w:t>
      </w:r>
      <w:r>
        <w:rPr>
          <w:sz w:val="21"/>
          <w:b/>
          <w:color w:val="000000"/>
        </w:rPr>
        <w:t>报价要求：</w:t>
      </w:r>
    </w:p>
    <w:p>
      <w:pPr>
        <w:pStyle w:val="null3"/>
      </w:pPr>
      <w:r>
        <w:rPr>
          <w:sz w:val="21"/>
          <w:color w:val="000000"/>
        </w:rPr>
        <w:t>1.1.本项目中标（合同）金额＝采购预算</w:t>
      </w:r>
      <w:r>
        <w:rPr>
          <w:sz w:val="20"/>
          <w:color w:val="000000"/>
        </w:rPr>
        <w:t>×</w:t>
      </w:r>
      <w:r>
        <w:rPr>
          <w:sz w:val="21"/>
          <w:color w:val="000000"/>
        </w:rPr>
        <w:t>（</w:t>
      </w:r>
      <w:r>
        <w:rPr>
          <w:sz w:val="21"/>
          <w:color w:val="000000"/>
        </w:rPr>
        <w:t>1-下浮率（优惠率））；各项中标（合同）单价＝对应单价× （1-下浮率（优惠率））。如各项中标（合同）单价计算后非整数，则金额四舍五入，小数点后保留2位有效数。各项检测项目的单价详见上文“外送项目服务要求”。投标人提供统一的投标下浮率（优惠率），投标下浮率（优惠率）须≥20%。中标人向采购人收取服务费用，按实际检验量进行服务费结算，采购人收与中标人的结算价格=采购人收与中标人的结算服务费用=∑[（每单项对应的单价最高限价×实际发生每单项检测的数量）×（1-中标下浮率（优惠率）]。</w:t>
      </w:r>
    </w:p>
    <w:p>
      <w:pPr>
        <w:pStyle w:val="null3"/>
      </w:pPr>
      <w:r>
        <w:rPr>
          <w:sz w:val="21"/>
          <w:color w:val="000000"/>
        </w:rPr>
        <w:t>1.2.本项目的结算单价（按中标优惠率结算）应包含检测项目的检测费用、检测标本接收保存运输费用、检测报告输出费用、人员费用、税费、资料费、含税发票、受检人群保险费用、合同实施过程中的应预见和不可预见费用。</w:t>
      </w:r>
    </w:p>
    <w:p>
      <w:pPr>
        <w:pStyle w:val="null3"/>
      </w:pPr>
      <w:r>
        <w:rPr>
          <w:sz w:val="21"/>
          <w:color w:val="000000"/>
        </w:rPr>
        <w:t>1.3.投标人应结合自身的实际能力，综合考虑项目实施过程中可能影响投标报价的风险因素，对检测项目进行投标报价。</w:t>
      </w:r>
    </w:p>
    <w:p>
      <w:pPr>
        <w:pStyle w:val="null3"/>
        <w:jc w:val="left"/>
      </w:pPr>
      <w:r>
        <w:rPr>
          <w:sz w:val="21"/>
          <w:color w:val="000000"/>
        </w:rPr>
        <w:t>1.4.如在服务期限内，物价部门调整了检测项目的单价，本项目结算单价按调整后的价格执行，但中标优惠率不予调整。计算公式如下：项目单价最高限价×（物价部门调整后项目收费标准÷物价部门调整前收费标准）×（1-下浮率（优惠率）。结算单价四舍五入保留到小数点后两位。</w:t>
      </w:r>
    </w:p>
    <w:p>
      <w:pPr>
        <w:pStyle w:val="null3"/>
      </w:pPr>
      <w:r>
        <w:rPr>
          <w:sz w:val="21"/>
          <w:color w:val="000000"/>
        </w:rPr>
        <w:t>1.5.投标人应充分考虑招标文件规定的及合同包含的所有风险、责任等发生的费用，投标报价应包含本项目实施过程中发生的所有费用，采购人不再另行支付任何费用。</w:t>
      </w:r>
    </w:p>
    <w:p>
      <w:pPr>
        <w:pStyle w:val="null3"/>
        <w:jc w:val="both"/>
      </w:pPr>
      <w:r>
        <w:rPr>
          <w:sz w:val="21"/>
          <w:b/>
          <w:color w:val="000000"/>
        </w:rPr>
        <w:t>（二）</w:t>
      </w:r>
      <w:r>
        <w:rPr>
          <w:sz w:val="21"/>
          <w:b/>
          <w:color w:val="000000"/>
        </w:rPr>
        <w:t>服务期限：</w:t>
      </w:r>
      <w:r>
        <w:rPr>
          <w:sz w:val="21"/>
          <w:color w:val="000000"/>
        </w:rPr>
        <w:t>合同签订生效之日起</w:t>
      </w:r>
      <w:r>
        <w:rPr>
          <w:sz w:val="21"/>
          <w:color w:val="000000"/>
        </w:rPr>
        <w:t>3</w:t>
      </w:r>
      <w:r>
        <w:rPr>
          <w:sz w:val="21"/>
          <w:color w:val="000000"/>
        </w:rPr>
        <w:t>年</w:t>
      </w:r>
      <w:r>
        <w:rPr>
          <w:sz w:val="21"/>
          <w:color w:val="000000"/>
        </w:rPr>
        <w:t>，</w:t>
      </w:r>
      <w:r>
        <w:rPr>
          <w:sz w:val="21"/>
          <w:color w:val="000000"/>
        </w:rPr>
        <w:t>或</w:t>
      </w:r>
      <w:r>
        <w:rPr>
          <w:sz w:val="21"/>
          <w:color w:val="000000"/>
        </w:rPr>
        <w:t>合同金额</w:t>
      </w:r>
      <w:r>
        <w:rPr>
          <w:sz w:val="21"/>
          <w:color w:val="000000"/>
        </w:rPr>
        <w:t>用完为止，以先到的条件为准。</w:t>
      </w:r>
    </w:p>
    <w:p>
      <w:pPr>
        <w:pStyle w:val="null3"/>
        <w:jc w:val="both"/>
      </w:pPr>
      <w:r>
        <w:rPr>
          <w:sz w:val="21"/>
          <w:b/>
          <w:color w:val="000000"/>
        </w:rPr>
        <w:t>（三）</w:t>
      </w:r>
      <w:r>
        <w:rPr>
          <w:sz w:val="21"/>
          <w:b/>
          <w:color w:val="000000"/>
        </w:rPr>
        <w:t>服务地点：</w:t>
      </w:r>
      <w:r>
        <w:rPr>
          <w:sz w:val="21"/>
          <w:color w:val="000000"/>
        </w:rPr>
        <w:t>广州市第一人民医院南沙医院</w:t>
      </w:r>
    </w:p>
    <w:p>
      <w:pPr>
        <w:pStyle w:val="null3"/>
        <w:jc w:val="both"/>
      </w:pPr>
      <w:r>
        <w:rPr>
          <w:sz w:val="21"/>
          <w:b/>
          <w:color w:val="000000"/>
        </w:rPr>
        <w:t>（四）</w:t>
      </w:r>
      <w:r>
        <w:rPr>
          <w:sz w:val="21"/>
          <w:color w:val="000000"/>
        </w:rPr>
        <w:t>签订合同后</w:t>
      </w:r>
      <w:r>
        <w:rPr>
          <w:sz w:val="21"/>
          <w:color w:val="000000"/>
        </w:rPr>
        <w:t>10日内中标人以银行保函的方式向采购人提供合同金额的5%作为履约保证金。</w:t>
      </w:r>
    </w:p>
    <w:p>
      <w:pPr>
        <w:pStyle w:val="null3"/>
      </w:pPr>
      <w:r>
        <w:rPr>
          <w:sz w:val="21"/>
          <w:b/>
          <w:color w:val="000000"/>
        </w:rPr>
        <w:t>（</w:t>
      </w:r>
      <w:r>
        <w:rPr>
          <w:sz w:val="21"/>
          <w:b/>
          <w:color w:val="000000"/>
        </w:rPr>
        <w:t>五</w:t>
      </w:r>
      <w:r>
        <w:rPr>
          <w:sz w:val="21"/>
          <w:b/>
          <w:color w:val="000000"/>
        </w:rPr>
        <w:t>）</w:t>
      </w:r>
      <w:r>
        <w:rPr>
          <w:sz w:val="21"/>
          <w:color w:val="000000"/>
        </w:rPr>
        <w:t>中标人向采购人收取服务费用，</w:t>
      </w:r>
      <w:r>
        <w:rPr>
          <w:sz w:val="21"/>
          <w:color w:val="000000"/>
        </w:rPr>
        <w:t>按实际检验量进行服务费结算，采购人收取中标人的结算服务费用</w:t>
      </w:r>
      <w:r>
        <w:rPr>
          <w:sz w:val="21"/>
          <w:color w:val="000000"/>
        </w:rPr>
        <w:t>=∑[（每单项对应的单价最高限价×实际发生每单项检测的数量）×（1-中标下浮率（优惠率）]。</w:t>
      </w:r>
    </w:p>
    <w:p>
      <w:pPr>
        <w:pStyle w:val="null3"/>
        <w:jc w:val="both"/>
      </w:pPr>
      <w:r>
        <w:rPr>
          <w:sz w:val="21"/>
          <w:b/>
          <w:color w:val="000000"/>
        </w:rPr>
        <w:t>（</w:t>
      </w:r>
      <w:r>
        <w:rPr>
          <w:sz w:val="21"/>
          <w:b/>
          <w:color w:val="000000"/>
        </w:rPr>
        <w:t>六</w:t>
      </w:r>
      <w:r>
        <w:rPr>
          <w:sz w:val="21"/>
          <w:b/>
          <w:color w:val="000000"/>
        </w:rPr>
        <w:t>）</w:t>
      </w:r>
      <w:r>
        <w:rPr>
          <w:sz w:val="21"/>
          <w:b/>
          <w:color w:val="000000"/>
        </w:rPr>
        <w:t>付款方式：</w:t>
      </w:r>
      <w:r>
        <w:rPr>
          <w:sz w:val="21"/>
          <w:color w:val="000000"/>
        </w:rPr>
        <w:t>银行转帐</w:t>
      </w:r>
    </w:p>
    <w:p>
      <w:pPr>
        <w:pStyle w:val="null3"/>
      </w:pPr>
      <w:r>
        <w:rPr>
          <w:sz w:val="21"/>
          <w:color w:val="000000"/>
        </w:rPr>
        <w:t>6.1.付款结算周期：按半年结算；</w:t>
      </w:r>
    </w:p>
    <w:p>
      <w:pPr>
        <w:pStyle w:val="null3"/>
      </w:pPr>
      <w:r>
        <w:rPr>
          <w:sz w:val="21"/>
          <w:color w:val="000000"/>
        </w:rPr>
        <w:t>6.2.对账依据：每半年凭检查的统计表与采购人核对送检项目、数量，采购人相关科室核实后双方签字确认，并以计算的结算金额扣除按“二、项目具体采购内容及服务要求 中的（十五）考核要求”进行考核后的扣减金额及按“二、项目具体采购内容及服务要求 中的（十六）退出机制”扣减的违约金进行支付半年度决算，结算前中标人应开具相应的正式发票再到财务科决算。</w:t>
      </w:r>
    </w:p>
    <w:p>
      <w:pPr>
        <w:pStyle w:val="null3"/>
      </w:pPr>
      <w:r>
        <w:rPr>
          <w:sz w:val="21"/>
          <w:color w:val="000000"/>
        </w:rPr>
        <w:t>6.3.中标人在结算日届满起5个工作日内与采购人对账，双方对账无误签字确认及采购人收到中标人发票后，采购人5个工作日内转款至中标人指定账户。</w:t>
      </w:r>
    </w:p>
    <w:p>
      <w:pPr>
        <w:pStyle w:val="null3"/>
      </w:pPr>
      <w:r>
        <w:rPr/>
        <w:t>采购包1（病原微生物检测技术平台及部分检验外送服务）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合同签订生效之日起3年，或合同金额用完为止，以先到的条件为准。</w:t>
            </w:r>
          </w:p>
        </w:tc>
      </w:tr>
      <w:tr>
        <w:tc>
          <w:tcPr>
            <w:tcW w:type="dxa" w:w="4153"/>
          </w:tcPr>
          <w:p>
            <w:pPr>
              <w:pStyle w:val="null3"/>
            </w:pPr>
            <w:r>
              <w:rPr/>
              <w:t>标的提供的地点</w:t>
            </w:r>
          </w:p>
        </w:tc>
        <w:tc>
          <w:tcPr>
            <w:tcW w:type="dxa" w:w="4153"/>
          </w:tcPr>
          <w:p>
            <w:pPr>
              <w:pStyle w:val="null3"/>
            </w:pPr>
            <w:r>
              <w:rPr/>
              <w:t>广州市第一人民医院南沙医院（广州市南沙区丰泽东路105号）</w:t>
            </w:r>
          </w:p>
        </w:tc>
      </w:tr>
      <w:tr>
        <w:tc>
          <w:tcPr>
            <w:tcW w:type="dxa" w:w="4153"/>
          </w:tcPr>
          <w:p>
            <w:pPr>
              <w:pStyle w:val="null3"/>
            </w:pPr>
            <w:r>
              <w:rPr/>
              <w:t>付款方式</w:t>
            </w:r>
          </w:p>
        </w:tc>
        <w:tc>
          <w:tcPr>
            <w:tcW w:type="dxa" w:w="4153"/>
          </w:tcPr>
          <w:p>
            <w:pPr>
              <w:pStyle w:val="null3"/>
            </w:pPr>
            <w:r>
              <w:rPr/>
              <w:t>1期：支付比例100%,按用户需求书要求。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1期：按用户需求书要求。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1，真实性和有效性：同意采购人以任何形式对投标文件内容及采购人认为有必要的相关资料的真实性和有效性进行审查、验证。</w:t>
            </w:r>
          </w:p>
          <w:p>
            <w:pPr>
              <w:pStyle w:val="null3"/>
            </w:pPr>
            <w:r>
              <w:rPr/>
              <w:t>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病原微生物检测技术平台及部分检验外送</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6,220,000.00</w:t>
            </w:r>
          </w:p>
        </w:tc>
        <w:tc>
          <w:tcPr>
            <w:tcW w:type="dxa" w:w="831"/>
          </w:tcPr>
          <w:p>
            <w:pPr>
              <w:pStyle w:val="null3"/>
              <w:jc w:val="right"/>
            </w:pPr>
            <w:r>
              <w:rPr/>
              <w:t>6,220,000.00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病原微生物检测技术平台及部分检验外送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采购包1：优惠率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合同）金额为计算基数，参照国家计委颁布的（计价格【2002】1980号）及国家发改委颁布的（发改办价格【2003】857号）收取，按差额定率累进法服务类计算。中标人在收到中标通知书前向采购代理机构缴纳中标服务费，以电汇方式缴纳，交费账户为： 收款人：国义招标股份有限公司 开户银行：招商银行广州体育东路支行 银行账号：120905690610808 用 途：“0724-XXX”中标费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因确需使用不可替代的专利、专有技术，基础设施限制，或者提供特定公共服务等原因，只能从中小企业之外的供应商处采购的”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病原微生物检测技术平台及部分检验外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采购包1（病原微生物检测技术平台及部分检验外送服务）：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采购包1（病原微生物检测技术平台及部分检验外送服务）：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须具备有效的《医疗机构执业许可证》，且诊疗科目须包含医学检验科。提供复印件并加盖公章。如投标人所提供许可证名称与投标人名称不一致，需同时提供两者之间的说明文件。（如国家另有规定，则适用其规定）。（投标文件中提供复印件作为证明材料）</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具备《临床基因扩增检验实验室技术审核合格证书》或《临床基因扩增检验实验室技术验收合格证书》。如投标人所提供许可证名称与投标人名称不一致，需同时提供两者之间的说明文件。（如国家另有规定，则适用其规定）。（投标文件中提供复印件作为证明材料）</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需提供《中小企业声明函》，本项目标的按照《中小企业划分标准规定》（工信部联企业[2011]300号）划分行业为：其他未列明行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采购包1（病原微生物检测技术平台及部分检验外送服务）：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1）对本项目全部招标内容进行投标报价（报下浮率（优惠率））； 2）投标报价（下浮率（优惠率））是唯一确定的。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实质性响应招标文件中“★”号条款的技术、商务要求：投标方案不得对实质性服务与商务的（即标注★号条款）条款产生偏离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采购包1(病原微生物检测技术平台及部分检验外送服务):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对用户需求书中标注“▲”参数的响应程度 (12.0分)</w:t>
            </w:r>
          </w:p>
        </w:tc>
        <w:tc>
          <w:tcPr>
            <w:tcW w:type="dxa" w:w="5076"/>
          </w:tcPr>
          <w:p>
            <w:pPr>
              <w:pStyle w:val="null3"/>
              <w:jc w:val="left"/>
            </w:pPr>
            <w:r>
              <w:rPr/>
              <w:t>全部满足用户需求书中带▲号的重要条款，得12分； 有一项不满足用户需求书中带▲号的重要条款的，得11分； 有二项不满足用户需求书中带▲号的重要条款的，得10分； 有三项不满足用户需求书中带▲号的重要条款的，得9分； 有四项不满足用户需求书中带▲号的重要条款的，得8分； 以此类推，有一项不满足扣1分，有12项不满足用户需求书中带▲号的重要条款的，得0分。</w:t>
            </w:r>
          </w:p>
        </w:tc>
      </w:tr>
      <w:tr>
        <w:tc>
          <w:tcPr>
            <w:tcW w:type="dxa" w:w="922"/>
            <w:gridSpan w:val="2"/>
            <w:vMerge/>
          </w:tcPr>
          <w:p/>
        </w:tc>
        <w:tc>
          <w:tcPr>
            <w:tcW w:type="dxa" w:w="2307"/>
          </w:tcPr>
          <w:p>
            <w:pPr>
              <w:pStyle w:val="null3"/>
              <w:jc w:val="left"/>
            </w:pPr>
            <w:r>
              <w:rPr/>
              <w:t>对用户需求书中一般参数响应情况评价 (5.0分)</w:t>
            </w:r>
          </w:p>
        </w:tc>
        <w:tc>
          <w:tcPr>
            <w:tcW w:type="dxa" w:w="5076"/>
          </w:tcPr>
          <w:p>
            <w:pPr>
              <w:pStyle w:val="null3"/>
              <w:jc w:val="left"/>
            </w:pPr>
            <w:r>
              <w:rPr/>
              <w:t>完全满足用户需求书中一般技术参数（按用户需求中最细分级计算），得5分； 有1-10项不满足用户需求书中一般参数的得3.5分； 有11-20项不满足用户需求书中一般参数的得3分； 有21-30项不满足用户需求书中一般参数的得2.5分； 有31-40项不满足用户需求书中一般参数的得2分； 有41-50项不满足用户需求书中一般参数的得1.5分； 有51-60项不满足用户需求书中一般参数的得1分； 有61项或以上不满足用户需求书中一般参数的得0.5分。</w:t>
            </w:r>
          </w:p>
        </w:tc>
      </w:tr>
      <w:tr>
        <w:tc>
          <w:tcPr>
            <w:tcW w:type="dxa" w:w="922"/>
            <w:gridSpan w:val="2"/>
            <w:vMerge/>
          </w:tcPr>
          <w:p/>
        </w:tc>
        <w:tc>
          <w:tcPr>
            <w:tcW w:type="dxa" w:w="2307"/>
          </w:tcPr>
          <w:p>
            <w:pPr>
              <w:pStyle w:val="null3"/>
              <w:jc w:val="left"/>
            </w:pPr>
            <w:r>
              <w:rPr/>
              <w:t>项目实施服务方案 (11.0分)</w:t>
            </w:r>
          </w:p>
        </w:tc>
        <w:tc>
          <w:tcPr>
            <w:tcW w:type="dxa" w:w="5076"/>
          </w:tcPr>
          <w:p>
            <w:pPr>
              <w:pStyle w:val="null3"/>
              <w:jc w:val="left"/>
            </w:pPr>
            <w:r>
              <w:rPr/>
              <w:t>对投标人针对本项目所提供的项目实施方案（不包括物流服务能力、信息化服务能力方案），包括但不限于项目实施计划、测试验收（如计划步骤等）等内容是否满足医院需求，完善可行、具体合理进行综合评审： （1）组织实施方案能够结合医院情况设置，方案完善可行、具体合理，满足医院需求，得11分； （2）组织实施方案能够结合医院情况设置，方案基本完善可行、基本具体合理，得6分； （3）组织实施方案不能结合医院情况设置，方案不够完善且可行性一般、不够具体且不够合理，得2分； （4）不提供方案不得分。</w:t>
            </w:r>
          </w:p>
        </w:tc>
      </w:tr>
      <w:tr>
        <w:tc>
          <w:tcPr>
            <w:tcW w:type="dxa" w:w="922"/>
            <w:gridSpan w:val="2"/>
            <w:vMerge/>
          </w:tcPr>
          <w:p/>
        </w:tc>
        <w:tc>
          <w:tcPr>
            <w:tcW w:type="dxa" w:w="2307"/>
          </w:tcPr>
          <w:p>
            <w:pPr>
              <w:pStyle w:val="null3"/>
              <w:jc w:val="left"/>
            </w:pPr>
            <w:r>
              <w:rPr/>
              <w:t>基础服务 (9.0分)</w:t>
            </w:r>
          </w:p>
        </w:tc>
        <w:tc>
          <w:tcPr>
            <w:tcW w:type="dxa" w:w="5076"/>
          </w:tcPr>
          <w:p>
            <w:pPr>
              <w:pStyle w:val="null3"/>
              <w:jc w:val="left"/>
            </w:pPr>
            <w:r>
              <w:rPr/>
              <w:t>1.为本项目拟派的物流车辆应为专用冷链物流车辆，符合生物安全要求，确保运输过程的样品质量和环境安全的，得3分； 注：提供车辆行驶证、车辆照片及采购发票或采购合同或租赁合同复印件，加盖投标人公章。 2.生物医药检测技术外包服务曾获得科技创新、科学技术或高新技术相关认证或荣誉等的，得4分； 注：提供证明资料复印件，加盖投标人公章，未提供的不得分。 3.投标人具备智慧化物流体系，物流系统具备GPS定位和温度监控功能，可实现全程实时监测，得2分； 注：提供相关照片或数据截图作为评审依据，未提供的不得分。</w:t>
            </w:r>
          </w:p>
        </w:tc>
      </w:tr>
      <w:tr>
        <w:tc>
          <w:tcPr>
            <w:tcW w:type="dxa" w:w="922"/>
            <w:gridSpan w:val="2"/>
            <w:vMerge/>
          </w:tcPr>
          <w:p/>
        </w:tc>
        <w:tc>
          <w:tcPr>
            <w:tcW w:type="dxa" w:w="2307"/>
          </w:tcPr>
          <w:p>
            <w:pPr>
              <w:pStyle w:val="null3"/>
              <w:jc w:val="left"/>
            </w:pPr>
            <w:r>
              <w:rPr/>
              <w:t>病原体检测服务能力 (5.0分)</w:t>
            </w:r>
          </w:p>
        </w:tc>
        <w:tc>
          <w:tcPr>
            <w:tcW w:type="dxa" w:w="5076"/>
          </w:tcPr>
          <w:p>
            <w:pPr>
              <w:pStyle w:val="null3"/>
              <w:jc w:val="left"/>
            </w:pPr>
            <w:r>
              <w:rPr/>
              <w:t>考察投标人检测病原体的多重pcr检测项目类种数量和报告时效进行评审： （1）在4小时内，完成≥90种病原体多重pcr检测，得5分； （2）在8小时内，完成≥90种病原体的多重pcr检测，得3分； （3）在12小时内，完成≥90种病原体的多重pcr检测，得2分； （4）在24小时内，完成＜90种病原体的多重pcr检测，得1分； （5）其他情况不得分。 注：提供项目检测报告模板、不同样本的性能验证报告、样本的检测记录凭证等相关证明资料，加盖投标人公章，不提供不得分。</w:t>
            </w:r>
          </w:p>
        </w:tc>
      </w:tr>
      <w:tr>
        <w:tc>
          <w:tcPr>
            <w:tcW w:type="dxa" w:w="922"/>
            <w:gridSpan w:val="2"/>
            <w:vMerge/>
          </w:tcPr>
          <w:p/>
        </w:tc>
        <w:tc>
          <w:tcPr>
            <w:tcW w:type="dxa" w:w="2307"/>
          </w:tcPr>
          <w:p>
            <w:pPr>
              <w:pStyle w:val="null3"/>
              <w:jc w:val="left"/>
            </w:pPr>
            <w:r>
              <w:rPr/>
              <w:t>项目配备技术人员情况 (6.0分)</w:t>
            </w:r>
          </w:p>
        </w:tc>
        <w:tc>
          <w:tcPr>
            <w:tcW w:type="dxa" w:w="5076"/>
          </w:tcPr>
          <w:p>
            <w:pPr>
              <w:pStyle w:val="null3"/>
              <w:jc w:val="left"/>
            </w:pPr>
            <w:r>
              <w:rPr/>
              <w:t>投标人实验室技术人员具备高级临床检验师职称的，每提供1名得3分，最高6分，无不得分。 注：以上人员提供职称证书及在投标人公司的在职证明证明资料，提供复印件并加盖投标人公章。</w:t>
            </w:r>
          </w:p>
        </w:tc>
      </w:tr>
      <w:tr>
        <w:tc>
          <w:tcPr>
            <w:tcW w:type="dxa" w:w="922"/>
            <w:gridSpan w:val="2"/>
            <w:vMerge/>
          </w:tcPr>
          <w:p/>
        </w:tc>
        <w:tc>
          <w:tcPr>
            <w:tcW w:type="dxa" w:w="2307"/>
          </w:tcPr>
          <w:p>
            <w:pPr>
              <w:pStyle w:val="null3"/>
              <w:jc w:val="left"/>
            </w:pPr>
            <w:r>
              <w:rPr/>
              <w:t>拟投入设备情况 (12.0分)</w:t>
            </w:r>
          </w:p>
        </w:tc>
        <w:tc>
          <w:tcPr>
            <w:tcW w:type="dxa" w:w="5076"/>
          </w:tcPr>
          <w:p>
            <w:pPr>
              <w:pStyle w:val="null3"/>
              <w:jc w:val="left"/>
            </w:pPr>
            <w:r>
              <w:rPr/>
              <w:t>1、投标人具有全自动微生物检测流水线平台（包含全自动快速生物质谱检测系统、全自动细菌培养系统、全自动微生物鉴定药敏分析仪、全自动微生物样本工作单元），得4分。 注：需提供全自动微生物样本工作单元的流水线采购设备合同或发票或设备租赁合同、流水线实物照片、标准操作规程文件，加盖投标人公章，不提供或提供不全不得分。 2、投标人所开展微生物检查项目阳性报告可在36小时内出具，满足的得4分。 注：投标人需提供承诺函，格式自拟，并同时提供5份真实的微生物检测报告单，及微生物项目平均TAT汇总表，不提供或提供不全不得分。 3、投标人微生物快速鉴定平台曾获得科技创新、科学技术或高新技术相关认证或荣誉等的，得4分。 注：需提供相关证明文件复印件加盖投标人公章。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投标人实验室管理体系认证情况 (7.0分)</w:t>
            </w:r>
          </w:p>
        </w:tc>
        <w:tc>
          <w:tcPr>
            <w:tcW w:type="dxa" w:w="5076"/>
          </w:tcPr>
          <w:p>
            <w:pPr>
              <w:pStyle w:val="null3"/>
              <w:jc w:val="left"/>
            </w:pPr>
            <w:r>
              <w:rPr/>
              <w:t>投标人具备体系认证证书，每具备一个认证得1分，最高为7分。 提供相关证书或有效证明文件复印件并加盖公章，并同时提供以上证书在认监委网站（http://cx.cnca.cn/CertECloud/index/index/page）对该证书的信息查询截图作为评审依据，已失效或撤销的不得分。提供的证明材料必须是投标人法定主体，不接收联合投标。</w:t>
            </w:r>
          </w:p>
        </w:tc>
      </w:tr>
      <w:tr>
        <w:tc>
          <w:tcPr>
            <w:tcW w:type="dxa" w:w="922"/>
            <w:gridSpan w:val="2"/>
            <w:vMerge/>
          </w:tcPr>
          <w:p/>
        </w:tc>
        <w:tc>
          <w:tcPr>
            <w:tcW w:type="dxa" w:w="2307"/>
          </w:tcPr>
          <w:p>
            <w:pPr>
              <w:pStyle w:val="null3"/>
              <w:jc w:val="left"/>
            </w:pPr>
            <w:r>
              <w:rPr/>
              <w:t>同类项目业绩情况 (7.0分)</w:t>
            </w:r>
          </w:p>
        </w:tc>
        <w:tc>
          <w:tcPr>
            <w:tcW w:type="dxa" w:w="5076"/>
          </w:tcPr>
          <w:p>
            <w:pPr>
              <w:pStyle w:val="null3"/>
              <w:jc w:val="left"/>
            </w:pPr>
            <w:r>
              <w:rPr/>
              <w:t>投标人提供2021年01月01日至今（以合同签订时间或中标通知书落款日期为准）承接过同类项目业绩，每提供一个得1分，最高得7分。 注：提供中标通知书或合同复印件并加盖投标人公章，无法提供佐证资料不得分。</w:t>
            </w:r>
          </w:p>
        </w:tc>
      </w:tr>
      <w:tr>
        <w:tc>
          <w:tcPr>
            <w:tcW w:type="dxa" w:w="922"/>
            <w:gridSpan w:val="2"/>
            <w:vMerge/>
          </w:tcPr>
          <w:p/>
        </w:tc>
        <w:tc>
          <w:tcPr>
            <w:tcW w:type="dxa" w:w="2307"/>
          </w:tcPr>
          <w:p>
            <w:pPr>
              <w:pStyle w:val="null3"/>
              <w:jc w:val="left"/>
            </w:pPr>
            <w:r>
              <w:rPr/>
              <w:t>增值服务 (11.0分)</w:t>
            </w:r>
          </w:p>
        </w:tc>
        <w:tc>
          <w:tcPr>
            <w:tcW w:type="dxa" w:w="5076"/>
          </w:tcPr>
          <w:p>
            <w:pPr>
              <w:pStyle w:val="null3"/>
              <w:jc w:val="left"/>
            </w:pPr>
            <w:r>
              <w:rPr/>
              <w:t>根据投标人提供的增值服务和特色服务（包括但不限于医院专科能力提升，学术水平提升，实验室进行流程优化、质量提升、技术能力提升等）进行评审： （1）服务亮点鲜明、方案科学完善、合理可行，得11分； （2）服务有亮点、方案完善，具有一定合理性、可行性，得6分； （3）服务欠缺亮点，方案简单、合理性差、不具备可行性，得2分； （4）不提供方案不得分。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采购合同</w:t>
      </w:r>
    </w:p>
    <w:p>
      <w:pPr>
        <w:pStyle w:val="null3"/>
        <w:ind w:firstLine="422"/>
        <w:jc w:val="left"/>
      </w:pPr>
      <w:r>
        <w:rPr>
          <w:sz w:val="21"/>
          <w:b/>
          <w:color w:val="000000"/>
        </w:rPr>
        <w:t>注：本合同仅为合同的参考文本，合同签订双方可根据项目的具体要求进行修订，但不得偏离实质性条款。</w:t>
      </w:r>
    </w:p>
    <w:p>
      <w:pPr>
        <w:pStyle w:val="null3"/>
        <w:ind w:firstLine="422"/>
        <w:jc w:val="left"/>
      </w:pPr>
      <w:r>
        <w:rPr>
          <w:sz w:val="21"/>
          <w:color w:val="000000"/>
        </w:rPr>
        <w:t>甲方：广州市第一人民医院</w:t>
      </w:r>
    </w:p>
    <w:p>
      <w:pPr>
        <w:pStyle w:val="null3"/>
        <w:ind w:firstLine="420"/>
        <w:jc w:val="left"/>
      </w:pPr>
      <w:r>
        <w:rPr>
          <w:sz w:val="21"/>
          <w:color w:val="000000"/>
        </w:rPr>
        <w:t>联系地址：广州市南沙区丰泽东路</w:t>
      </w:r>
      <w:r>
        <w:rPr>
          <w:sz w:val="21"/>
          <w:color w:val="000000"/>
        </w:rPr>
        <w:t>105</w:t>
      </w:r>
      <w:r>
        <w:rPr>
          <w:sz w:val="21"/>
          <w:color w:val="000000"/>
        </w:rPr>
        <w:t xml:space="preserve">号                      </w:t>
      </w:r>
    </w:p>
    <w:p>
      <w:pPr>
        <w:pStyle w:val="null3"/>
        <w:ind w:firstLine="420"/>
        <w:jc w:val="left"/>
      </w:pPr>
      <w:r>
        <w:rPr>
          <w:sz w:val="21"/>
          <w:color w:val="000000"/>
        </w:rPr>
        <w:t>联系电话：</w:t>
      </w:r>
      <w:r>
        <w:rPr/>
        <w:t xml:space="preserve"> </w:t>
      </w:r>
    </w:p>
    <w:p>
      <w:pPr>
        <w:pStyle w:val="null3"/>
        <w:ind w:firstLine="420"/>
        <w:jc w:val="left"/>
      </w:pPr>
      <w:r>
        <w:rPr>
          <w:sz w:val="21"/>
          <w:color w:val="000000"/>
        </w:rPr>
        <w:t>传真：</w:t>
      </w:r>
      <w:r>
        <w:rPr>
          <w:sz w:val="21"/>
          <w:color w:val="000000"/>
        </w:rPr>
        <w:t>/</w:t>
      </w:r>
    </w:p>
    <w:p>
      <w:pPr>
        <w:pStyle w:val="null3"/>
        <w:ind w:firstLine="420"/>
        <w:jc w:val="left"/>
      </w:pPr>
      <w:r>
        <w:rPr>
          <w:sz w:val="21"/>
          <w:color w:val="000000"/>
        </w:rPr>
        <w:t>乙方：</w:t>
      </w:r>
    </w:p>
    <w:p>
      <w:pPr>
        <w:pStyle w:val="null3"/>
        <w:ind w:firstLine="420"/>
        <w:jc w:val="left"/>
      </w:pPr>
      <w:r>
        <w:rPr>
          <w:sz w:val="21"/>
          <w:color w:val="000000"/>
        </w:rPr>
        <w:t>联系地址：</w:t>
      </w:r>
      <w:r>
        <w:rPr>
          <w:sz w:val="21"/>
          <w:color w:val="000000"/>
        </w:rPr>
        <w:t xml:space="preserve">                     </w:t>
      </w:r>
    </w:p>
    <w:p>
      <w:pPr>
        <w:pStyle w:val="null3"/>
        <w:ind w:firstLine="420"/>
        <w:jc w:val="left"/>
      </w:pPr>
      <w:r>
        <w:rPr>
          <w:sz w:val="21"/>
          <w:color w:val="000000"/>
        </w:rPr>
        <w:t>联系电话：</w:t>
      </w:r>
    </w:p>
    <w:p>
      <w:pPr>
        <w:pStyle w:val="null3"/>
        <w:ind w:firstLine="420"/>
        <w:jc w:val="left"/>
      </w:pPr>
      <w:r>
        <w:rPr>
          <w:sz w:val="21"/>
          <w:color w:val="000000"/>
        </w:rPr>
        <w:t>传真：</w:t>
      </w:r>
    </w:p>
    <w:p>
      <w:pPr>
        <w:pStyle w:val="null3"/>
        <w:ind w:firstLine="420"/>
        <w:jc w:val="left"/>
      </w:pPr>
      <w:r>
        <w:rPr>
          <w:sz w:val="21"/>
          <w:color w:val="000000"/>
        </w:rPr>
        <w:t>根据《中华人民共和国民法典》及</w:t>
      </w:r>
      <w:r>
        <w:rPr>
          <w:sz w:val="21"/>
          <w:color w:val="000000"/>
          <w:u w:val="single"/>
        </w:rPr>
        <w:t>广州市第一人民医院南沙医院病原微生物检测技术平台及部分检验外送合作项目</w:t>
      </w:r>
      <w:r>
        <w:rPr>
          <w:sz w:val="21"/>
          <w:color w:val="000000"/>
          <w:u w:val="single"/>
        </w:rPr>
        <w:t>（项目编号：</w:t>
      </w:r>
      <w:r>
        <w:rPr>
          <w:sz w:val="21"/>
          <w:color w:val="000000"/>
          <w:u w:val="single"/>
        </w:rPr>
        <w:t>0724-2531Z2633819</w:t>
      </w:r>
      <w:r>
        <w:rPr>
          <w:sz w:val="21"/>
          <w:color w:val="000000"/>
          <w:u w:val="single"/>
        </w:rPr>
        <w:t>）</w:t>
      </w:r>
      <w:r>
        <w:rPr>
          <w:sz w:val="21"/>
          <w:color w:val="000000"/>
        </w:rPr>
        <w:t>的要求，经甲、乙双方共同协商，本着平等互利和诚实信用的原则，一致同意签订本合同如下：</w:t>
      </w:r>
    </w:p>
    <w:p>
      <w:pPr>
        <w:pStyle w:val="null3"/>
      </w:pPr>
      <w:r>
        <w:rPr>
          <w:sz w:val="21"/>
          <w:color w:val="000000"/>
        </w:rPr>
        <w:t>一、</w:t>
      </w:r>
      <w:r>
        <w:rPr>
          <w:sz w:val="21"/>
          <w:b/>
          <w:color w:val="000000"/>
        </w:rPr>
        <w:t>采购内容</w:t>
      </w:r>
    </w:p>
    <w:p>
      <w:pPr>
        <w:pStyle w:val="null3"/>
        <w:ind w:firstLine="420"/>
        <w:jc w:val="left"/>
      </w:pPr>
      <w:r>
        <w:rPr>
          <w:sz w:val="21"/>
          <w:color w:val="000000"/>
        </w:rPr>
        <w:t>需提供包括但不限于以下项目的检验检测：</w:t>
      </w:r>
    </w:p>
    <w:tbl>
      <w:tblPr>
        <w:tblW w:w="0" w:type="auto"/>
        <w:tblBorders>
          <w:top w:val="none" w:color="000000" w:sz="4"/>
          <w:left w:val="none" w:color="000000" w:sz="4"/>
          <w:bottom w:val="none" w:color="000000" w:sz="4"/>
          <w:right w:val="none" w:color="000000" w:sz="4"/>
          <w:insideH w:val="none"/>
          <w:insideV w:val="none"/>
        </w:tblBorders>
      </w:tblPr>
      <w:tblGrid>
        <w:gridCol w:w="430"/>
        <w:gridCol w:w="3744"/>
        <w:gridCol w:w="1061"/>
        <w:gridCol w:w="1907"/>
        <w:gridCol w:w="1133"/>
      </w:tblGrid>
      <w:tr>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项目名称</w:t>
            </w:r>
          </w:p>
        </w:tc>
        <w:tc>
          <w:tcPr>
            <w:tcW w:type="dxa" w:w="1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检验方法</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项目单价最高限价（元）</w:t>
            </w:r>
            <w:r>
              <w:rPr>
                <w:sz w:val="21"/>
                <w:b/>
                <w:color w:val="000000"/>
              </w:rPr>
              <w:t>/项/次</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报告时间</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细菌培养</w:t>
            </w:r>
            <w:r>
              <w:rPr>
                <w:sz w:val="21"/>
                <w:color w:val="000000"/>
              </w:rPr>
              <w:t>(细菌+真菌)+鉴定(阳性加做药敏)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血培养</w:t>
            </w:r>
            <w:r>
              <w:rPr>
                <w:sz w:val="21"/>
                <w:color w:val="000000"/>
              </w:rPr>
              <w:t>+鉴定(需氧)(阳性加做药敏)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真菌涂片检查</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4.725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细菌培养</w:t>
            </w:r>
            <w:r>
              <w:rPr>
                <w:sz w:val="21"/>
                <w:color w:val="000000"/>
              </w:rPr>
              <w:t>+鉴定(阳性加做药敏)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血培养</w:t>
            </w:r>
            <w:r>
              <w:rPr>
                <w:sz w:val="21"/>
                <w:color w:val="000000"/>
              </w:rPr>
              <w:t>+鉴定(厌氧)</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结核菌涂片检查</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一般细菌涂片</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B群链球菌培养+鉴定（阳性加做药敏）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痰结核菌涂片检查</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结核杆菌培养</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脑脊液涂片找隐球菌</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淋球菌培养</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细菌培养及鉴定（</w:t>
            </w:r>
            <w:r>
              <w:rPr>
                <w:sz w:val="21"/>
                <w:color w:val="000000"/>
              </w:rPr>
              <w:t>CRE筛选，阳性加做药敏）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脑脊液涂片找革兰氏阴性双球菌</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镜检法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w:t>
            </w:r>
            <w:r>
              <w:rPr>
                <w:sz w:val="21"/>
                <w:color w:val="000000"/>
              </w:rPr>
              <w:t>II菌培养</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全年药敏</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MIC法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7.5/每种药物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靶向病原分枝杆菌检测（</w:t>
            </w:r>
            <w:r>
              <w:rPr>
                <w:sz w:val="21"/>
                <w:color w:val="000000"/>
              </w:rPr>
              <w:t>DNA+耐药基因）</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多重</w:t>
            </w:r>
            <w:r>
              <w:rPr>
                <w:sz w:val="21"/>
                <w:color w:val="000000"/>
              </w:rPr>
              <w:t>PCR+二代</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942.08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靶向病原基础版</w:t>
            </w:r>
            <w:r>
              <w:rPr>
                <w:sz w:val="21"/>
                <w:color w:val="000000"/>
              </w:rPr>
              <w:t>376种病原体（DNA+RNA+耐药基因)</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多重</w:t>
            </w:r>
            <w:r>
              <w:rPr>
                <w:sz w:val="21"/>
                <w:color w:val="000000"/>
              </w:rPr>
              <w:t>PCR+二代测序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706.56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靶向病原加强版</w:t>
            </w:r>
            <w:r>
              <w:rPr>
                <w:sz w:val="21"/>
                <w:color w:val="000000"/>
              </w:rPr>
              <w:t>576种病原体（DNA+RNA+耐药基因)</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多重</w:t>
            </w:r>
            <w:r>
              <w:rPr>
                <w:sz w:val="21"/>
                <w:color w:val="000000"/>
              </w:rPr>
              <w:t>PCR+二代测序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1265.92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靶向病原精简版</w:t>
            </w:r>
            <w:r>
              <w:rPr>
                <w:sz w:val="21"/>
                <w:color w:val="000000"/>
              </w:rPr>
              <w:t>199种病原体（DNA+RNA+耐药基因)</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多重</w:t>
            </w:r>
            <w:r>
              <w:rPr>
                <w:sz w:val="21"/>
                <w:color w:val="000000"/>
              </w:rPr>
              <w:t>PCR+二代测序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294.4</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靶向病原升级版</w:t>
            </w:r>
            <w:r>
              <w:rPr>
                <w:sz w:val="21"/>
                <w:color w:val="000000"/>
              </w:rPr>
              <w:t>476种病原体（DNA+RNA+耐药基因)</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多重</w:t>
            </w:r>
            <w:r>
              <w:rPr>
                <w:sz w:val="21"/>
                <w:color w:val="000000"/>
              </w:rPr>
              <w:t>PCR+二代测序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942.08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病原微生物宏基因组检测（</w:t>
            </w:r>
            <w:r>
              <w:rPr>
                <w:sz w:val="21"/>
                <w:color w:val="000000"/>
              </w:rPr>
              <w:t>DNA）</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病原微生物宏基因组检测（</w:t>
            </w:r>
            <w:r>
              <w:rPr>
                <w:sz w:val="21"/>
                <w:color w:val="000000"/>
              </w:rPr>
              <w:t>DNA+RNA）</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二代测序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3220</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肠癌多基因甲基化检测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荧光定量</w:t>
            </w:r>
            <w:r>
              <w:rPr>
                <w:sz w:val="21"/>
                <w:color w:val="000000"/>
              </w:rPr>
              <w:t>PCR法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肝癌多基因甲基化检测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荧光定量</w:t>
            </w:r>
            <w:r>
              <w:rPr>
                <w:sz w:val="21"/>
                <w:color w:val="000000"/>
              </w:rPr>
              <w:t>PCR</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宫颈癌基因甲基化检测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荧光定量</w:t>
            </w:r>
            <w:r>
              <w:rPr>
                <w:sz w:val="21"/>
                <w:color w:val="000000"/>
              </w:rPr>
              <w:t>PCR</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染色体异常高通量测序检测（</w:t>
            </w:r>
            <w:r>
              <w:rPr>
                <w:sz w:val="21"/>
                <w:color w:val="000000"/>
              </w:rPr>
              <w:t>CNV_seq）</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1324.8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全基因组高通量测序</w:t>
            </w:r>
            <w:r>
              <w:rPr>
                <w:sz w:val="21"/>
                <w:color w:val="000000"/>
              </w:rPr>
              <w:t>(CNV-seq)</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高通量测序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1059.84</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遗传性耳聋基因检测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遗传病扩展型携带者筛查</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NGS+PCR联合毛细管电泳+PCR联合电泳</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地中海贫血基因分型（非缺失型</w:t>
            </w:r>
            <w:r>
              <w:rPr>
                <w:sz w:val="21"/>
                <w:color w:val="000000"/>
              </w:rPr>
              <w:t>α-地中海贫血基因检测、缺失型α-地中海贫血基因检测、β地中海贫血基因突变检测）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一代测序</w:t>
            </w:r>
            <w:r>
              <w:rPr>
                <w:sz w:val="21"/>
                <w:color w:val="000000"/>
              </w:rPr>
              <w:t>+MLPA</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231.38</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脊肌萎缩症（</w:t>
            </w:r>
            <w:r>
              <w:rPr>
                <w:sz w:val="21"/>
                <w:color w:val="000000"/>
              </w:rPr>
              <w:t>SMA）基因筛查</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PCR熔解曲线法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161.46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红细胞叶酸谱检测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液相色谱</w:t>
            </w:r>
            <w:r>
              <w:rPr>
                <w:sz w:val="21"/>
                <w:color w:val="000000"/>
              </w:rPr>
              <w:t>-串联质谱法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161.92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叶酸代谢能力基因（</w:t>
            </w:r>
            <w:r>
              <w:rPr>
                <w:sz w:val="21"/>
                <w:color w:val="000000"/>
              </w:rPr>
              <w:t>MTHFR、MTRR）检测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w:t>
            </w:r>
            <w:r>
              <w:rPr>
                <w:sz w:val="21"/>
                <w:color w:val="000000"/>
              </w:rPr>
              <w:t>PCR法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子痫前期风险预测（</w:t>
            </w:r>
            <w:r>
              <w:rPr>
                <w:sz w:val="21"/>
                <w:color w:val="000000"/>
              </w:rPr>
              <w:t>sFlt-1、PLGF、sFlt-1/PLGF）</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17a-羟基孕酮(17a-OHP)</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雄烯二酮</w:t>
            </w:r>
            <w:r>
              <w:rPr>
                <w:sz w:val="21"/>
                <w:color w:val="000000"/>
              </w:rPr>
              <w:t>(AD)</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胰岛素样生长因子结合蛋白</w:t>
            </w:r>
            <w:r>
              <w:rPr>
                <w:sz w:val="21"/>
                <w:color w:val="000000"/>
              </w:rPr>
              <w:t>3(IGFBP-3)</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染色体基因芯片检测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染色体基因芯片法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1987.2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高分辨率染色体基因芯片检测</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染色体基因芯片法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2980.2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血流变组合五项</w:t>
            </w:r>
            <w:r>
              <w:rPr>
                <w:sz w:val="21"/>
                <w:color w:val="000000"/>
              </w:rPr>
              <w:t>(全血粘度低切(1)</w:t>
            </w:r>
            <w:r>
              <w:br/>
            </w:r>
            <w:r>
              <w:rPr>
                <w:sz w:val="21"/>
                <w:color w:val="000000"/>
              </w:rPr>
              <w:t>全血粘度低切</w:t>
            </w:r>
            <w:r>
              <w:rPr>
                <w:sz w:val="21"/>
                <w:color w:val="000000"/>
              </w:rPr>
              <w:t>(5)、全血粘度中切(30)、全血粘度高切(200)、血浆粘度)</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物理法</w:t>
            </w:r>
            <w:r>
              <w:rPr>
                <w:sz w:val="21"/>
                <w:color w:val="000000"/>
              </w:rPr>
              <w:t>(锥板法)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真菌</w:t>
            </w:r>
            <w:r>
              <w:rPr>
                <w:sz w:val="21"/>
                <w:color w:val="000000"/>
              </w:rPr>
              <w:t>D-葡聚糖检测（G试验）</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动态显色法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99.75</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3个工作日</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3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曲霉抗原检测（</w:t>
            </w:r>
            <w:r>
              <w:rPr>
                <w:sz w:val="21"/>
                <w:color w:val="000000"/>
              </w:rPr>
              <w:t>GM试验）</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酶联免疫法</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3工作日</w:t>
            </w:r>
          </w:p>
        </w:tc>
      </w:tr>
    </w:tbl>
    <w:p>
      <w:pPr>
        <w:pStyle w:val="null3"/>
      </w:pPr>
      <w:r>
        <w:rPr>
          <w:sz w:val="21"/>
          <w:b/>
          <w:color w:val="000000"/>
        </w:rPr>
        <w:t>二、合同金额</w:t>
      </w:r>
    </w:p>
    <w:p>
      <w:pPr>
        <w:pStyle w:val="null3"/>
        <w:ind w:firstLine="420"/>
      </w:pPr>
      <w:r>
        <w:rPr>
          <w:sz w:val="21"/>
          <w:color w:val="000000"/>
        </w:rPr>
        <w:t>（一）合同金额</w:t>
      </w:r>
    </w:p>
    <w:p>
      <w:pPr>
        <w:pStyle w:val="null3"/>
        <w:ind w:firstLine="420"/>
      </w:pPr>
      <w:r>
        <w:rPr>
          <w:sz w:val="21"/>
          <w:color w:val="000000"/>
        </w:rPr>
        <w:t>1.</w:t>
      </w:r>
      <w:r>
        <w:rPr>
          <w:sz w:val="21"/>
          <w:color w:val="000000"/>
        </w:rPr>
        <w:t>项目合同金额为人民币（大写）：</w:t>
      </w:r>
      <w:r>
        <w:rPr>
          <w:u w:val="single"/>
        </w:rPr>
        <w:t xml:space="preserve"> </w:t>
      </w:r>
      <w:r>
        <w:rPr>
          <w:u w:val="single"/>
        </w:rPr>
        <w:t xml:space="preserve">            </w:t>
      </w:r>
      <w:r>
        <w:rPr>
          <w:u w:val="single"/>
        </w:rPr>
        <w:t xml:space="preserve"> </w:t>
      </w:r>
      <w:r>
        <w:rPr>
          <w:sz w:val="21"/>
          <w:color w:val="000000"/>
        </w:rPr>
        <w:t>元整，即</w:t>
      </w:r>
      <w:r>
        <w:rPr>
          <w:sz w:val="21"/>
          <w:color w:val="000000"/>
        </w:rPr>
        <w:t>¥</w:t>
      </w:r>
      <w:r>
        <w:rPr>
          <w:u w:val="single"/>
        </w:rPr>
        <w:t xml:space="preserve"> </w:t>
      </w:r>
      <w:r>
        <w:rPr>
          <w:u w:val="single"/>
        </w:rPr>
        <w:t xml:space="preserve">             </w:t>
      </w:r>
      <w:r>
        <w:rPr>
          <w:u w:val="single"/>
        </w:rPr>
        <w:t xml:space="preserve"> </w:t>
      </w:r>
      <w:r>
        <w:rPr>
          <w:sz w:val="21"/>
          <w:color w:val="000000"/>
        </w:rPr>
        <w:t>元</w:t>
      </w:r>
      <w:r>
        <w:rPr>
          <w:sz w:val="21"/>
          <w:color w:val="000000"/>
        </w:rPr>
        <w:t>。中标下浮率（优惠率）为</w:t>
      </w:r>
      <w:r>
        <w:rPr>
          <w:u w:val="single"/>
        </w:rPr>
        <w:t xml:space="preserve">  </w:t>
      </w:r>
      <w:r>
        <w:rPr>
          <w:u w:val="single"/>
        </w:rPr>
        <w:t xml:space="preserve">    </w:t>
      </w:r>
      <w:r>
        <w:rPr>
          <w:u w:val="single"/>
        </w:rPr>
        <w:t xml:space="preserve"> </w:t>
      </w:r>
      <w:r>
        <w:rPr>
          <w:sz w:val="21"/>
          <w:color w:val="000000"/>
        </w:rPr>
        <w:t>%</w:t>
      </w:r>
      <w:r>
        <w:rPr>
          <w:sz w:val="21"/>
          <w:color w:val="000000"/>
        </w:rPr>
        <w:t>。</w:t>
      </w:r>
      <w:r>
        <w:rPr>
          <w:sz w:val="21"/>
          <w:color w:val="000000"/>
        </w:rPr>
        <w:t>应包含检测项目的检测费用、检测标本接收保存运输费用、检测报告输出费用、人员费用、税费、资料费、含税发票、受检人群保险费用、合同实施过程中的应预见和不可预见费用</w:t>
      </w:r>
      <w:r>
        <w:rPr>
          <w:sz w:val="21"/>
          <w:color w:val="000000"/>
        </w:rPr>
        <w:t>。税费已包含在各单项检测结算价格中，甲方不再另行支付费用。</w:t>
      </w:r>
    </w:p>
    <w:p>
      <w:pPr>
        <w:pStyle w:val="null3"/>
        <w:ind w:firstLine="420"/>
      </w:pPr>
      <w:r>
        <w:rPr>
          <w:sz w:val="21"/>
          <w:color w:val="000000"/>
        </w:rPr>
        <w:t>2.</w:t>
      </w:r>
      <w:r>
        <w:rPr>
          <w:sz w:val="21"/>
          <w:color w:val="000000"/>
        </w:rPr>
        <w:t>项目服务期内</w:t>
      </w:r>
      <w:r>
        <w:rPr>
          <w:sz w:val="21"/>
          <w:color w:val="000000"/>
        </w:rPr>
        <w:t>,</w:t>
      </w:r>
      <w:r>
        <w:rPr>
          <w:sz w:val="21"/>
          <w:color w:val="000000"/>
        </w:rPr>
        <w:t>实际结算数量最终以实际检测的样本数为准，甲方对检测样本数量不做保证。乙方须自行考虑承接本项目有可能产生的一切成本风险，因此产生的一切费用包含在项目结算价内，甲方不再另行支付。</w:t>
      </w:r>
    </w:p>
    <w:p>
      <w:pPr>
        <w:pStyle w:val="null3"/>
        <w:ind w:firstLine="420"/>
      </w:pPr>
      <w:r>
        <w:rPr>
          <w:sz w:val="21"/>
          <w:color w:val="000000"/>
        </w:rPr>
        <w:t>3.</w:t>
      </w:r>
      <w:r>
        <w:rPr>
          <w:sz w:val="21"/>
          <w:color w:val="000000"/>
        </w:rPr>
        <w:t>合同金额＝采购预算</w:t>
      </w:r>
      <w:r>
        <w:rPr>
          <w:sz w:val="21"/>
          <w:color w:val="000000"/>
        </w:rPr>
        <w:t>×（1-下浮率（优惠率））；</w:t>
      </w:r>
      <w:r>
        <w:rPr>
          <w:sz w:val="21"/>
          <w:color w:val="000000"/>
        </w:rPr>
        <w:t>各项合同单价＝对应单价</w:t>
      </w:r>
      <w:r>
        <w:rPr>
          <w:sz w:val="21"/>
          <w:color w:val="000000"/>
        </w:rPr>
        <w:t>×（</w:t>
      </w:r>
      <w:r>
        <w:rPr>
          <w:sz w:val="21"/>
          <w:color w:val="000000"/>
        </w:rPr>
        <w:t>1-</w:t>
      </w:r>
      <w:r>
        <w:rPr>
          <w:sz w:val="21"/>
          <w:color w:val="000000"/>
        </w:rPr>
        <w:t>下浮率（优惠率））。如各项合同单价计算后非整数，则金额四舍五入，小数点后保留</w:t>
      </w:r>
      <w:r>
        <w:rPr>
          <w:sz w:val="21"/>
          <w:color w:val="000000"/>
        </w:rPr>
        <w:t>2</w:t>
      </w:r>
      <w:r>
        <w:rPr>
          <w:sz w:val="21"/>
          <w:color w:val="000000"/>
        </w:rPr>
        <w:t>位有效数。乙方向甲方收取服务费用，按实际检验量进行服务费结算，甲方与乙方的结算价格</w:t>
      </w:r>
      <w:r>
        <w:rPr>
          <w:sz w:val="21"/>
          <w:color w:val="000000"/>
        </w:rPr>
        <w:t>=</w:t>
      </w:r>
      <w:r>
        <w:rPr>
          <w:sz w:val="21"/>
          <w:color w:val="000000"/>
        </w:rPr>
        <w:t>甲方与乙方的结算服务费用</w:t>
      </w:r>
      <w:r>
        <w:rPr>
          <w:sz w:val="21"/>
          <w:color w:val="000000"/>
        </w:rPr>
        <w:t>=</w:t>
      </w:r>
      <w:r>
        <w:rPr>
          <w:sz w:val="21"/>
          <w:color w:val="000000"/>
        </w:rPr>
        <w:t>∑</w:t>
      </w:r>
      <w:r>
        <w:rPr>
          <w:sz w:val="21"/>
          <w:color w:val="000000"/>
        </w:rPr>
        <w:t>[</w:t>
      </w:r>
      <w:r>
        <w:rPr>
          <w:sz w:val="21"/>
          <w:color w:val="000000"/>
        </w:rPr>
        <w:t>（每单项对应的单价最高限价×实际发生每单项检测的数量）×（</w:t>
      </w:r>
      <w:r>
        <w:rPr>
          <w:sz w:val="21"/>
          <w:color w:val="000000"/>
        </w:rPr>
        <w:t>1-</w:t>
      </w:r>
      <w:r>
        <w:rPr>
          <w:sz w:val="21"/>
          <w:color w:val="000000"/>
        </w:rPr>
        <w:t>中标下浮率（优惠率））</w:t>
      </w:r>
      <w:r>
        <w:rPr>
          <w:sz w:val="21"/>
          <w:color w:val="000000"/>
        </w:rPr>
        <w:t>]</w:t>
      </w:r>
      <w:r>
        <w:rPr>
          <w:sz w:val="21"/>
          <w:color w:val="000000"/>
        </w:rPr>
        <w:t>。并按本合同第七项付款方式内容进行结算。</w:t>
      </w:r>
    </w:p>
    <w:p>
      <w:pPr>
        <w:pStyle w:val="null3"/>
        <w:ind w:firstLine="420"/>
      </w:pPr>
      <w:r>
        <w:rPr>
          <w:sz w:val="21"/>
          <w:color w:val="000000"/>
        </w:rPr>
        <w:t>4.</w:t>
      </w:r>
      <w:r>
        <w:rPr>
          <w:sz w:val="21"/>
          <w:color w:val="000000"/>
        </w:rPr>
        <w:t>如在服务期限内，物价部门对检测项目的单价进行调整，本项目结算单价按调整后的价格执行，计算公式如下：项目单价最高限价×（物价部门调整后项目收费标准÷物价部门调整前收费标准）×（</w:t>
      </w:r>
      <w:r>
        <w:rPr>
          <w:sz w:val="21"/>
          <w:color w:val="000000"/>
        </w:rPr>
        <w:t>1-</w:t>
      </w:r>
      <w:r>
        <w:rPr>
          <w:sz w:val="21"/>
          <w:color w:val="000000"/>
        </w:rPr>
        <w:t>下浮率（优惠率）。结算单价四舍五入保留到小数点后两位。</w:t>
      </w:r>
    </w:p>
    <w:p>
      <w:pPr>
        <w:pStyle w:val="null3"/>
      </w:pPr>
      <w:r>
        <w:rPr>
          <w:sz w:val="21"/>
          <w:b/>
          <w:color w:val="000000"/>
        </w:rPr>
        <w:t>三、服务内容、服务时间及服务地点</w:t>
      </w:r>
    </w:p>
    <w:p>
      <w:pPr>
        <w:pStyle w:val="null3"/>
        <w:ind w:firstLine="420"/>
      </w:pPr>
      <w:r>
        <w:rPr>
          <w:sz w:val="21"/>
          <w:color w:val="000000"/>
        </w:rPr>
        <w:t>（一）服务内容：</w:t>
      </w:r>
    </w:p>
    <w:p>
      <w:pPr>
        <w:pStyle w:val="null3"/>
        <w:ind w:firstLine="420"/>
      </w:pPr>
      <w:r>
        <w:rPr>
          <w:sz w:val="21"/>
          <w:color w:val="000000"/>
        </w:rPr>
        <w:t>1.</w:t>
      </w:r>
      <w:r>
        <w:rPr>
          <w:sz w:val="21"/>
          <w:color w:val="000000"/>
        </w:rPr>
        <w:t>检验外送具体项目列表：提供</w:t>
      </w:r>
      <w:r>
        <w:rPr>
          <w:sz w:val="21"/>
          <w:color w:val="000000"/>
        </w:rPr>
        <w:t>43</w:t>
      </w:r>
      <w:r>
        <w:rPr>
          <w:sz w:val="21"/>
          <w:color w:val="000000"/>
        </w:rPr>
        <w:t>项检验项目，具体委托检验项目清单</w:t>
      </w:r>
      <w:r>
        <w:rPr>
          <w:sz w:val="21"/>
          <w:b/>
          <w:color w:val="000000"/>
        </w:rPr>
        <w:t>详见一、采购内容</w:t>
      </w:r>
      <w:r>
        <w:rPr>
          <w:sz w:val="21"/>
          <w:color w:val="000000"/>
        </w:rPr>
        <w:t>。</w:t>
      </w:r>
    </w:p>
    <w:p>
      <w:pPr>
        <w:pStyle w:val="null3"/>
        <w:ind w:firstLine="420"/>
        <w:jc w:val="both"/>
      </w:pPr>
      <w:r>
        <w:rPr>
          <w:sz w:val="21"/>
          <w:color w:val="000000"/>
        </w:rPr>
        <w:t>（二）服务时间：</w:t>
      </w:r>
      <w:r>
        <w:rPr>
          <w:sz w:val="21"/>
          <w:color w:val="000000"/>
        </w:rPr>
        <w:t>___</w:t>
      </w:r>
      <w:r>
        <w:rPr>
          <w:sz w:val="21"/>
          <w:color w:val="000000"/>
        </w:rPr>
        <w:t>年</w:t>
      </w:r>
      <w:r>
        <w:rPr>
          <w:sz w:val="21"/>
          <w:color w:val="000000"/>
        </w:rPr>
        <w:t>___</w:t>
      </w:r>
      <w:r>
        <w:rPr>
          <w:sz w:val="21"/>
          <w:color w:val="000000"/>
        </w:rPr>
        <w:t>月</w:t>
      </w:r>
      <w:r>
        <w:rPr>
          <w:sz w:val="21"/>
          <w:color w:val="000000"/>
        </w:rPr>
        <w:t>___</w:t>
      </w:r>
      <w:r>
        <w:rPr>
          <w:sz w:val="21"/>
          <w:color w:val="000000"/>
        </w:rPr>
        <w:t>日至</w:t>
      </w:r>
      <w:r>
        <w:rPr>
          <w:sz w:val="21"/>
          <w:color w:val="000000"/>
        </w:rPr>
        <w:t>___</w:t>
      </w:r>
      <w:r>
        <w:rPr>
          <w:sz w:val="21"/>
          <w:color w:val="000000"/>
        </w:rPr>
        <w:t>年</w:t>
      </w:r>
      <w:r>
        <w:rPr>
          <w:sz w:val="21"/>
          <w:color w:val="000000"/>
        </w:rPr>
        <w:t>___</w:t>
      </w:r>
      <w:r>
        <w:rPr>
          <w:sz w:val="21"/>
          <w:color w:val="000000"/>
        </w:rPr>
        <w:t>月</w:t>
      </w:r>
      <w:r>
        <w:rPr>
          <w:sz w:val="21"/>
          <w:color w:val="000000"/>
        </w:rPr>
        <w:t>___</w:t>
      </w:r>
      <w:r>
        <w:rPr>
          <w:sz w:val="21"/>
          <w:color w:val="000000"/>
        </w:rPr>
        <w:t>日，或中标（合同）金额用完为止，以先到的条件为准。</w:t>
      </w:r>
    </w:p>
    <w:p>
      <w:pPr>
        <w:pStyle w:val="null3"/>
        <w:ind w:firstLine="420"/>
        <w:jc w:val="both"/>
      </w:pPr>
      <w:r>
        <w:rPr>
          <w:sz w:val="21"/>
          <w:color w:val="000000"/>
        </w:rPr>
        <w:t>（三）服务地点：广州市第一人民医院南沙医院（广州市南沙区丰泽东路</w:t>
      </w:r>
      <w:r>
        <w:rPr>
          <w:sz w:val="21"/>
          <w:color w:val="000000"/>
        </w:rPr>
        <w:t>105</w:t>
      </w:r>
      <w:r>
        <w:rPr>
          <w:sz w:val="21"/>
          <w:color w:val="000000"/>
        </w:rPr>
        <w:t>号</w:t>
      </w:r>
      <w:r>
        <w:rPr>
          <w:sz w:val="21"/>
          <w:color w:val="000000"/>
        </w:rPr>
        <w:t>）</w:t>
      </w:r>
      <w:r>
        <w:rPr>
          <w:sz w:val="21"/>
          <w:color w:val="000000"/>
        </w:rPr>
        <w:t>。</w:t>
      </w:r>
    </w:p>
    <w:p>
      <w:pPr>
        <w:pStyle w:val="null3"/>
      </w:pPr>
      <w:r>
        <w:rPr>
          <w:sz w:val="21"/>
          <w:b/>
          <w:color w:val="000000"/>
        </w:rPr>
        <w:t>四、甲方权利义务</w:t>
      </w:r>
    </w:p>
    <w:p>
      <w:pPr>
        <w:pStyle w:val="null3"/>
        <w:ind w:firstLine="420"/>
      </w:pPr>
      <w:r>
        <w:rPr>
          <w:sz w:val="21"/>
          <w:color w:val="000000"/>
        </w:rPr>
        <w:t>（一）代表和维护产权人、使用人的合法权益。</w:t>
      </w:r>
    </w:p>
    <w:p>
      <w:pPr>
        <w:pStyle w:val="null3"/>
        <w:ind w:firstLine="420"/>
      </w:pPr>
      <w:r>
        <w:rPr>
          <w:sz w:val="21"/>
          <w:color w:val="000000"/>
        </w:rPr>
        <w:t>（二）审定乙方拟定的管理制度和管理服务年度计划，并提出合理化建议，督促乙方健全应有的制度规程、工作规范等；</w:t>
      </w:r>
    </w:p>
    <w:p>
      <w:pPr>
        <w:pStyle w:val="null3"/>
        <w:ind w:firstLine="420"/>
      </w:pPr>
      <w:r>
        <w:rPr>
          <w:sz w:val="21"/>
          <w:color w:val="000000"/>
        </w:rPr>
        <w:t>（三）检查监督乙方管理工作的实施及制度的执行情况；</w:t>
      </w:r>
    </w:p>
    <w:p>
      <w:pPr>
        <w:pStyle w:val="null3"/>
        <w:ind w:firstLine="420"/>
      </w:pPr>
      <w:r>
        <w:rPr>
          <w:sz w:val="21"/>
          <w:color w:val="000000"/>
        </w:rPr>
        <w:t>（四）负责收集、整理管理所需全部档案、资料，适时提供给乙方；</w:t>
      </w:r>
    </w:p>
    <w:p>
      <w:pPr>
        <w:pStyle w:val="null3"/>
        <w:ind w:firstLine="420"/>
      </w:pPr>
      <w:r>
        <w:rPr>
          <w:sz w:val="21"/>
          <w:color w:val="000000"/>
        </w:rPr>
        <w:t>（五）对乙方不称职的工作人员，甲方有权要求乙方限期更换；</w:t>
      </w:r>
    </w:p>
    <w:p>
      <w:pPr>
        <w:pStyle w:val="null3"/>
        <w:ind w:firstLine="420"/>
      </w:pPr>
      <w:r>
        <w:rPr>
          <w:sz w:val="21"/>
          <w:color w:val="000000"/>
        </w:rPr>
        <w:t>（六）协助乙方做好管理工作；</w:t>
      </w:r>
    </w:p>
    <w:p>
      <w:pPr>
        <w:pStyle w:val="null3"/>
        <w:ind w:firstLine="420"/>
      </w:pPr>
      <w:r>
        <w:rPr>
          <w:sz w:val="21"/>
          <w:color w:val="000000"/>
        </w:rPr>
        <w:t>（七）按时按采购需求的付款方式支付费用给乙方；</w:t>
      </w:r>
    </w:p>
    <w:p>
      <w:pPr>
        <w:pStyle w:val="null3"/>
        <w:ind w:firstLine="420"/>
      </w:pPr>
      <w:r>
        <w:rPr>
          <w:sz w:val="21"/>
          <w:color w:val="000000"/>
        </w:rPr>
        <w:t>（八）招标文件、投标文件及合同附件中约定的甲方其它权利义务。</w:t>
      </w:r>
    </w:p>
    <w:p>
      <w:pPr>
        <w:pStyle w:val="null3"/>
      </w:pPr>
      <w:r>
        <w:rPr>
          <w:sz w:val="21"/>
          <w:b/>
          <w:color w:val="000000"/>
        </w:rPr>
        <w:t>五、乙方权利义务</w:t>
      </w:r>
    </w:p>
    <w:p>
      <w:pPr>
        <w:pStyle w:val="null3"/>
        <w:ind w:firstLine="420"/>
      </w:pPr>
      <w:r>
        <w:rPr>
          <w:sz w:val="21"/>
          <w:color w:val="000000"/>
        </w:rPr>
        <w:t>（一）根据有关法律法规及本合同的约定，制订管理制度，编制管理年度计划，并经甲方审定后实施。</w:t>
      </w:r>
    </w:p>
    <w:p>
      <w:pPr>
        <w:pStyle w:val="null3"/>
        <w:ind w:firstLine="420"/>
      </w:pPr>
      <w:r>
        <w:rPr>
          <w:sz w:val="21"/>
          <w:color w:val="000000"/>
        </w:rPr>
        <w:t>（二）未经甲方书面同意，不得将本项目以任何形式分包或转包给乙方之外的第三方，如有违反，甲方有权终止与乙方签订的服务合同。并限期乙方在规定的时间内移交服务项目及有关档案资料。</w:t>
      </w:r>
    </w:p>
    <w:p>
      <w:pPr>
        <w:pStyle w:val="null3"/>
        <w:ind w:firstLine="420"/>
      </w:pPr>
      <w:r>
        <w:rPr>
          <w:sz w:val="21"/>
          <w:color w:val="000000"/>
        </w:rPr>
        <w:t>（三）负责编制管理年度计划。</w:t>
      </w:r>
    </w:p>
    <w:p>
      <w:pPr>
        <w:pStyle w:val="null3"/>
        <w:ind w:firstLine="420"/>
      </w:pPr>
      <w:r>
        <w:rPr>
          <w:sz w:val="21"/>
          <w:color w:val="000000"/>
        </w:rPr>
        <w:t>（四）对乙方员工违反法规、规章的行为，有责任告知甲方处理。</w:t>
      </w:r>
    </w:p>
    <w:p>
      <w:pPr>
        <w:pStyle w:val="null3"/>
        <w:ind w:firstLine="420"/>
      </w:pPr>
      <w:r>
        <w:rPr>
          <w:sz w:val="21"/>
          <w:color w:val="000000"/>
        </w:rPr>
        <w:t>（五）在服务过程中发生的事故应及时告知甲方；所服务的设施需要维修、保养的，应事先告知甲方。</w:t>
      </w:r>
    </w:p>
    <w:p>
      <w:pPr>
        <w:pStyle w:val="null3"/>
        <w:ind w:firstLine="420"/>
      </w:pPr>
      <w:r>
        <w:rPr>
          <w:sz w:val="21"/>
          <w:color w:val="000000"/>
        </w:rPr>
        <w:t>（六）在服务过程中对无法解决的事项或设施需要维修、保养的，要及时向甲方反映。</w:t>
      </w:r>
    </w:p>
    <w:p>
      <w:pPr>
        <w:pStyle w:val="null3"/>
        <w:ind w:firstLine="420"/>
      </w:pPr>
      <w:r>
        <w:rPr>
          <w:sz w:val="21"/>
          <w:color w:val="000000"/>
        </w:rPr>
        <w:t>（七）在服务期内，乙方必须做好工作人员所需要的安全教育及安全措施，保证工作人员的安全，乙方工作人员在甲方工作范围内发生事故的一切责任由乙方负责。</w:t>
      </w:r>
    </w:p>
    <w:p>
      <w:pPr>
        <w:pStyle w:val="null3"/>
        <w:ind w:firstLine="420"/>
      </w:pPr>
      <w:r>
        <w:rPr>
          <w:sz w:val="21"/>
          <w:color w:val="000000"/>
        </w:rPr>
        <w:t>（八）乙方的服务人员要有符合国家规定的上岗证，要严格审查，没有刑事犯罪记录，重要岗位人员聘用要经甲方审定。同时，乙方的服务人员须严格按照甲方的医疗流程提供相关服务。</w:t>
      </w:r>
    </w:p>
    <w:p>
      <w:pPr>
        <w:pStyle w:val="null3"/>
        <w:ind w:firstLine="420"/>
      </w:pPr>
      <w:r>
        <w:rPr>
          <w:sz w:val="21"/>
          <w:color w:val="000000"/>
        </w:rPr>
        <w:t>（九）乙方员工的工资、社会保险等福利</w:t>
      </w:r>
      <w:r>
        <w:rPr>
          <w:sz w:val="21"/>
          <w:color w:val="000000"/>
        </w:rPr>
        <w:t>,</w:t>
      </w:r>
      <w:r>
        <w:rPr>
          <w:sz w:val="21"/>
          <w:color w:val="000000"/>
        </w:rPr>
        <w:t>必须符合国家有关规定。</w:t>
      </w:r>
    </w:p>
    <w:p>
      <w:pPr>
        <w:pStyle w:val="null3"/>
        <w:ind w:firstLine="420"/>
      </w:pPr>
      <w:r>
        <w:rPr>
          <w:sz w:val="21"/>
          <w:color w:val="000000"/>
        </w:rPr>
        <w:t>（十）本合同终止时，乙方必须在甲方要求的时间内及时移交本服务事项，并向甲方移交全部有关档案资料。</w:t>
      </w:r>
    </w:p>
    <w:p>
      <w:pPr>
        <w:pStyle w:val="null3"/>
        <w:ind w:firstLine="420"/>
      </w:pPr>
      <w:r>
        <w:rPr>
          <w:sz w:val="21"/>
          <w:color w:val="000000"/>
        </w:rPr>
        <w:t>（十一）招标文件及合同附件中约定的乙方其它权利义务。</w:t>
      </w:r>
    </w:p>
    <w:p>
      <w:pPr>
        <w:pStyle w:val="null3"/>
      </w:pPr>
      <w:r>
        <w:rPr>
          <w:sz w:val="21"/>
          <w:b/>
          <w:color w:val="000000"/>
        </w:rPr>
        <w:t>六、服务要求</w:t>
      </w:r>
    </w:p>
    <w:p>
      <w:pPr>
        <w:pStyle w:val="null3"/>
        <w:jc w:val="both"/>
      </w:pPr>
      <w:r>
        <w:rPr>
          <w:sz w:val="21"/>
          <w:b/>
          <w:color w:val="000000"/>
        </w:rPr>
        <w:t>（一）病原微生物检测技术平台服务</w:t>
      </w:r>
    </w:p>
    <w:p>
      <w:pPr>
        <w:pStyle w:val="null3"/>
        <w:ind w:firstLine="420"/>
        <w:jc w:val="both"/>
      </w:pPr>
      <w:r>
        <w:rPr>
          <w:sz w:val="21"/>
          <w:color w:val="000000"/>
        </w:rPr>
        <w:t>在病原微生物检测项目，乙方需提供平台检测本地化服务方案，方案需包括项目检测所需的仪器设备、技术人员驻点、协助甲方开展检验人员对</w:t>
      </w:r>
      <w:r>
        <w:rPr>
          <w:sz w:val="21"/>
          <w:color w:val="000000"/>
        </w:rPr>
        <w:t>ISO15189知识等进修培训、协助甲方开展继续教育、专题讲座、临床沟通会等学术交流等活动。在病原微生物检测技术平台服务中，提供所需仪器设备（包括但不限于下表）并负责所有相关仪器设备的日常维护保养，保障实验室顺利运行。合同服务期满后，相关设备归属乙方。</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w:t>
            </w:r>
            <w:r>
              <w:rPr>
                <w:sz w:val="21"/>
                <w:color w:val="000000"/>
              </w:rPr>
              <w:t>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微生物智能质谱仪</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荧光定量</w:t>
            </w:r>
            <w:r>
              <w:rPr>
                <w:sz w:val="21"/>
                <w:color w:val="000000"/>
              </w:rPr>
              <w:t>PCR仪</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自动染片机</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其他平台相关辅助设备按需配置</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若干</w:t>
            </w:r>
          </w:p>
        </w:tc>
      </w:tr>
    </w:tbl>
    <w:p>
      <w:pPr>
        <w:pStyle w:val="null3"/>
        <w:ind w:firstLine="420"/>
      </w:pPr>
      <w:r>
        <w:rPr>
          <w:sz w:val="21"/>
          <w:color w:val="000000"/>
        </w:rPr>
        <w:t>▲</w:t>
      </w:r>
      <w:r>
        <w:rPr>
          <w:sz w:val="21"/>
          <w:color w:val="000000"/>
        </w:rPr>
        <w:t>1.1.乙方需委派至少1名具有临床医学检验技术专业技术资格的卫生技术人员驻点</w:t>
      </w:r>
      <w:r>
        <w:rPr>
          <w:sz w:val="21"/>
          <w:color w:val="000000"/>
        </w:rPr>
        <w:t>（提供资格证等相关证明文件）</w:t>
      </w:r>
      <w:r>
        <w:rPr>
          <w:sz w:val="21"/>
          <w:color w:val="000000"/>
        </w:rPr>
        <w:t>，参与实验室日常排班，每个班次时间跟甲方职工上下班时间要求一致，完成技术服务，特殊情况按甲方要求进行值班、加班等。同时乙方需有充足技术人员能应对驻点人员调班需求。乙方驻点人员需对医院检验科的检验技术、检验方法、检验质量、检验流程、标本检测、科室运营等提供专业技术指导及支持。</w:t>
      </w:r>
    </w:p>
    <w:p>
      <w:pPr>
        <w:pStyle w:val="null3"/>
        <w:ind w:firstLine="420"/>
      </w:pPr>
      <w:r>
        <w:rPr>
          <w:sz w:val="21"/>
          <w:color w:val="000000"/>
        </w:rPr>
        <w:t>1.2.责任鉴定：驻点人员需严格遵守医院检验科操作规范及安全制度，因个人违规操作、故意隐瞒风险或重大过失（如错误录入数据、未按SOP检测标本）导致的医疗纠纷、设备损坏或数据泄露，由乙方及当事人承担全部责任。</w:t>
      </w:r>
    </w:p>
    <w:p>
      <w:pPr>
        <w:pStyle w:val="null3"/>
        <w:ind w:firstLine="420"/>
      </w:pPr>
      <w:r>
        <w:rPr>
          <w:sz w:val="21"/>
          <w:color w:val="000000"/>
        </w:rPr>
        <w:t>1.3.免责情形：由不可抗力因或自然灾害、突发公共事件、医院电力/网络系统故障导致的检验延误或数据丢失设备固有缺陷：非驻点人员操作引发的设备原有设计缺陷或故障；医院管理责任；因医院未提供完整检测需求、错误标本标识、超范围使用检测结果导致的问题；第三方干预：未经医院书面同意的非驻点人员介入操作或擅自修改检测参数。</w:t>
      </w:r>
    </w:p>
    <w:p>
      <w:pPr>
        <w:pStyle w:val="null3"/>
        <w:jc w:val="both"/>
      </w:pPr>
      <w:r>
        <w:rPr>
          <w:sz w:val="21"/>
          <w:b/>
          <w:color w:val="000000"/>
        </w:rPr>
        <w:t>（二）部分项目检测外送服务要求</w:t>
      </w:r>
    </w:p>
    <w:p>
      <w:pPr>
        <w:pStyle w:val="null3"/>
        <w:ind w:firstLine="420"/>
      </w:pPr>
      <w:r>
        <w:rPr>
          <w:sz w:val="21"/>
          <w:color w:val="000000"/>
        </w:rPr>
        <w:t>2.1.染色体异常高通量测序检测（CNV_seq）</w:t>
      </w:r>
    </w:p>
    <w:p>
      <w:pPr>
        <w:pStyle w:val="null3"/>
        <w:ind w:firstLine="420"/>
      </w:pPr>
      <w:r>
        <w:rPr>
          <w:sz w:val="21"/>
          <w:color w:val="000000"/>
        </w:rPr>
        <w:t>(1)</w:t>
      </w:r>
      <w:r>
        <w:rPr>
          <w:sz w:val="21"/>
          <w:color w:val="000000"/>
        </w:rPr>
        <w:t>▲检测内容：23对染色体非整倍体及100Kb以上的缺失重复；</w:t>
      </w:r>
    </w:p>
    <w:p>
      <w:pPr>
        <w:pStyle w:val="null3"/>
        <w:ind w:firstLine="420"/>
      </w:pPr>
      <w:r>
        <w:rPr>
          <w:sz w:val="21"/>
          <w:color w:val="000000"/>
        </w:rPr>
        <w:t>(2)</w:t>
      </w:r>
      <w:r>
        <w:rPr>
          <w:sz w:val="21"/>
          <w:color w:val="000000"/>
        </w:rPr>
        <w:t>检测方法：高通量测序技术；</w:t>
      </w:r>
    </w:p>
    <w:p>
      <w:pPr>
        <w:pStyle w:val="null3"/>
        <w:ind w:firstLine="420"/>
      </w:pPr>
      <w:r>
        <w:rPr>
          <w:sz w:val="21"/>
          <w:color w:val="000000"/>
        </w:rPr>
        <w:t>(3)</w:t>
      </w:r>
      <w:r>
        <w:rPr>
          <w:sz w:val="21"/>
          <w:color w:val="000000"/>
        </w:rPr>
        <w:t>样本类型：流产组织、绒毛、外周血、</w:t>
      </w:r>
      <w:r>
        <w:rPr>
          <w:sz w:val="21"/>
          <w:color w:val="000000"/>
        </w:rPr>
        <w:t>DNA等</w:t>
      </w:r>
    </w:p>
    <w:p>
      <w:pPr>
        <w:pStyle w:val="null3"/>
        <w:ind w:firstLine="420"/>
      </w:pPr>
      <w:r>
        <w:rPr>
          <w:sz w:val="21"/>
          <w:color w:val="000000"/>
        </w:rPr>
        <w:t>(</w:t>
      </w:r>
      <w:r>
        <w:rPr>
          <w:sz w:val="21"/>
          <w:color w:val="000000"/>
        </w:rPr>
        <w:t>4</w:t>
      </w:r>
      <w:r>
        <w:rPr>
          <w:sz w:val="21"/>
          <w:color w:val="000000"/>
        </w:rPr>
        <w:t>)</w:t>
      </w:r>
      <w:r>
        <w:rPr>
          <w:sz w:val="21"/>
          <w:color w:val="000000"/>
        </w:rPr>
        <w:t>数据量：平均有效数据量</w:t>
      </w:r>
      <w:r>
        <w:rPr>
          <w:sz w:val="21"/>
          <w:color w:val="000000"/>
        </w:rPr>
        <w:t>≥35M；  单样本检测有效数据量要求≥20M reads；</w:t>
      </w:r>
    </w:p>
    <w:p>
      <w:pPr>
        <w:pStyle w:val="null3"/>
        <w:ind w:firstLine="420"/>
      </w:pPr>
      <w:r>
        <w:rPr>
          <w:sz w:val="21"/>
          <w:color w:val="000000"/>
        </w:rPr>
        <w:t>(</w:t>
      </w:r>
      <w:r>
        <w:rPr>
          <w:sz w:val="21"/>
          <w:color w:val="000000"/>
        </w:rPr>
        <w:t>5</w:t>
      </w:r>
      <w:r>
        <w:rPr>
          <w:sz w:val="21"/>
          <w:color w:val="000000"/>
        </w:rPr>
        <w:t>)</w:t>
      </w:r>
      <w:r>
        <w:rPr>
          <w:sz w:val="21"/>
          <w:color w:val="000000"/>
        </w:rPr>
        <w:t>乙方应具有国家食品药品监督管理总局认证的高通量测序仪投入本项目使用，该设备可用于对来源于人体样本的脱氧核糖核苷酸</w:t>
      </w:r>
      <w:r>
        <w:rPr>
          <w:sz w:val="21"/>
          <w:color w:val="000000"/>
        </w:rPr>
        <w:t>（</w:t>
      </w:r>
      <w:r>
        <w:rPr>
          <w:sz w:val="21"/>
          <w:color w:val="000000"/>
        </w:rPr>
        <w:t>DNA）进行测序，以检测基因变化；</w:t>
      </w:r>
    </w:p>
    <w:p>
      <w:pPr>
        <w:pStyle w:val="null3"/>
        <w:ind w:firstLine="420"/>
      </w:pPr>
      <w:r>
        <w:rPr>
          <w:sz w:val="21"/>
          <w:color w:val="000000"/>
        </w:rPr>
        <w:t>(</w:t>
      </w:r>
      <w:r>
        <w:rPr>
          <w:sz w:val="21"/>
          <w:color w:val="000000"/>
        </w:rPr>
        <w:t>6</w:t>
      </w:r>
      <w:r>
        <w:rPr>
          <w:sz w:val="21"/>
          <w:color w:val="000000"/>
        </w:rPr>
        <w:t>)</w:t>
      </w:r>
      <w:r>
        <w:rPr>
          <w:sz w:val="21"/>
          <w:color w:val="000000"/>
        </w:rPr>
        <w:t>乙方具有完善的质控流程及方案，检测过程从样本信息、样本检测前</w:t>
      </w:r>
      <w:r>
        <w:rPr>
          <w:sz w:val="21"/>
          <w:color w:val="000000"/>
        </w:rPr>
        <w:t>处理、检测、分析解读、报告、检测后等环节都有严格的质量控制点；</w:t>
      </w:r>
    </w:p>
    <w:p>
      <w:pPr>
        <w:pStyle w:val="null3"/>
        <w:ind w:firstLine="420"/>
      </w:pPr>
      <w:r>
        <w:rPr>
          <w:sz w:val="21"/>
          <w:color w:val="000000"/>
        </w:rPr>
        <w:t>2.2.</w:t>
      </w:r>
      <w:r>
        <w:rPr>
          <w:sz w:val="21"/>
          <w:color w:val="000000"/>
        </w:rPr>
        <w:t>全基因组高通量测序（</w:t>
      </w:r>
      <w:r>
        <w:rPr>
          <w:sz w:val="21"/>
          <w:color w:val="000000"/>
        </w:rPr>
        <w:t>CNV-seq）</w:t>
      </w:r>
    </w:p>
    <w:p>
      <w:pPr>
        <w:pStyle w:val="null3"/>
        <w:ind w:firstLine="420"/>
      </w:pPr>
      <w:r>
        <w:rPr>
          <w:sz w:val="21"/>
          <w:color w:val="000000"/>
        </w:rPr>
        <w:t>(1)</w:t>
      </w:r>
      <w:r>
        <w:rPr>
          <w:sz w:val="21"/>
          <w:color w:val="000000"/>
        </w:rPr>
        <w:t>检测内容：三倍体、</w:t>
      </w:r>
      <w:r>
        <w:rPr>
          <w:sz w:val="21"/>
          <w:color w:val="000000"/>
        </w:rPr>
        <w:t>23对染色体非整倍体及0.5M以上的缺失重复；</w:t>
      </w:r>
    </w:p>
    <w:p>
      <w:pPr>
        <w:pStyle w:val="null3"/>
        <w:ind w:firstLine="420"/>
      </w:pPr>
      <w:r>
        <w:rPr>
          <w:sz w:val="21"/>
          <w:color w:val="000000"/>
        </w:rPr>
        <w:t>(2)</w:t>
      </w:r>
      <w:r>
        <w:rPr>
          <w:sz w:val="21"/>
          <w:color w:val="000000"/>
        </w:rPr>
        <w:t>▲检测方法：NGS；</w:t>
      </w:r>
    </w:p>
    <w:p>
      <w:pPr>
        <w:pStyle w:val="null3"/>
        <w:ind w:firstLine="420"/>
      </w:pPr>
      <w:r>
        <w:rPr>
          <w:sz w:val="21"/>
          <w:color w:val="000000"/>
        </w:rPr>
        <w:t>(3)</w:t>
      </w:r>
      <w:r>
        <w:rPr>
          <w:sz w:val="21"/>
          <w:color w:val="000000"/>
        </w:rPr>
        <w:t>样本类型：胚胎绒毛组织；</w:t>
      </w:r>
    </w:p>
    <w:p>
      <w:pPr>
        <w:pStyle w:val="null3"/>
        <w:ind w:firstLine="420"/>
      </w:pPr>
      <w:r>
        <w:rPr>
          <w:sz w:val="21"/>
          <w:color w:val="000000"/>
        </w:rPr>
        <w:t>(</w:t>
      </w:r>
      <w:r>
        <w:rPr>
          <w:sz w:val="21"/>
          <w:color w:val="000000"/>
        </w:rPr>
        <w:t>4</w:t>
      </w:r>
      <w:r>
        <w:rPr>
          <w:sz w:val="21"/>
          <w:color w:val="000000"/>
        </w:rPr>
        <w:t>)</w:t>
      </w:r>
      <w:r>
        <w:rPr>
          <w:sz w:val="21"/>
          <w:color w:val="000000"/>
        </w:rPr>
        <w:t>▲数据量：平均有效数据量≥11M；  单样本检测有效数据量要求≥5M reads；</w:t>
      </w:r>
    </w:p>
    <w:p>
      <w:pPr>
        <w:pStyle w:val="null3"/>
        <w:ind w:firstLine="420"/>
      </w:pPr>
      <w:r>
        <w:rPr>
          <w:sz w:val="21"/>
          <w:color w:val="000000"/>
        </w:rPr>
        <w:t>(</w:t>
      </w:r>
      <w:r>
        <w:rPr>
          <w:sz w:val="21"/>
          <w:color w:val="000000"/>
        </w:rPr>
        <w:t>5</w:t>
      </w:r>
      <w:r>
        <w:rPr>
          <w:sz w:val="21"/>
          <w:color w:val="000000"/>
        </w:rPr>
        <w:t>)</w:t>
      </w:r>
      <w:r>
        <w:rPr>
          <w:sz w:val="21"/>
          <w:color w:val="000000"/>
        </w:rPr>
        <w:t>乙方应具有国家食品药品监督管理总局认证的高通量测序仪投入本项目使用，该设备可用于对来源于人体样本的脱氧核糖核苷酸</w:t>
      </w:r>
      <w:r>
        <w:rPr>
          <w:sz w:val="21"/>
          <w:color w:val="000000"/>
        </w:rPr>
        <w:t>（</w:t>
      </w:r>
      <w:r>
        <w:rPr>
          <w:sz w:val="21"/>
          <w:color w:val="000000"/>
        </w:rPr>
        <w:t>DNA）进行测序，以检测基因变化；</w:t>
      </w:r>
    </w:p>
    <w:p>
      <w:pPr>
        <w:pStyle w:val="null3"/>
        <w:ind w:firstLine="420"/>
      </w:pPr>
      <w:r>
        <w:rPr>
          <w:sz w:val="21"/>
          <w:color w:val="000000"/>
        </w:rPr>
        <w:t>(</w:t>
      </w:r>
      <w:r>
        <w:rPr>
          <w:sz w:val="21"/>
          <w:color w:val="000000"/>
        </w:rPr>
        <w:t>6</w:t>
      </w:r>
      <w:r>
        <w:rPr>
          <w:sz w:val="21"/>
          <w:color w:val="000000"/>
        </w:rPr>
        <w:t>)</w:t>
      </w:r>
      <w:r>
        <w:rPr>
          <w:sz w:val="21"/>
          <w:color w:val="000000"/>
        </w:rPr>
        <w:t>乙方</w:t>
      </w:r>
      <w:r>
        <w:rPr>
          <w:sz w:val="20"/>
          <w:color w:val="000000"/>
        </w:rPr>
        <w:t>应</w:t>
      </w:r>
      <w:r>
        <w:rPr>
          <w:sz w:val="21"/>
          <w:color w:val="000000"/>
        </w:rPr>
        <w:t>具有完善的质控流程及方案，检测过程从样本信息、样本检测前处理、检测、分析解读、报告、检测后等环节都有严格的质量控制点；</w:t>
      </w:r>
    </w:p>
    <w:p>
      <w:pPr>
        <w:pStyle w:val="null3"/>
        <w:ind w:firstLine="420"/>
      </w:pPr>
      <w:r>
        <w:rPr>
          <w:sz w:val="21"/>
          <w:color w:val="000000"/>
        </w:rPr>
        <w:t>2.3.遗传性耳聋基因检测</w:t>
      </w:r>
    </w:p>
    <w:p>
      <w:pPr>
        <w:pStyle w:val="null3"/>
        <w:ind w:firstLine="420"/>
      </w:pPr>
      <w:r>
        <w:rPr>
          <w:sz w:val="21"/>
          <w:color w:val="000000"/>
        </w:rPr>
        <w:t>(1)</w:t>
      </w:r>
      <w:r>
        <w:rPr>
          <w:sz w:val="21"/>
          <w:color w:val="000000"/>
        </w:rPr>
        <w:t>检测内容：</w:t>
      </w:r>
      <w:r>
        <w:rPr>
          <w:sz w:val="21"/>
          <w:color w:val="000000"/>
        </w:rPr>
        <w:t>5个常见基因（GJB2，SLC26A4，12s rRNA，GJB3，USH2A）；</w:t>
      </w:r>
    </w:p>
    <w:p>
      <w:pPr>
        <w:pStyle w:val="null3"/>
        <w:ind w:firstLine="420"/>
      </w:pPr>
      <w:r>
        <w:rPr>
          <w:sz w:val="21"/>
          <w:color w:val="000000"/>
        </w:rPr>
        <w:t>(2)</w:t>
      </w:r>
      <w:r>
        <w:rPr>
          <w:sz w:val="21"/>
          <w:color w:val="000000"/>
        </w:rPr>
        <w:t>▲检测方法：NGS法；</w:t>
      </w:r>
    </w:p>
    <w:p>
      <w:pPr>
        <w:pStyle w:val="null3"/>
        <w:ind w:firstLine="420"/>
      </w:pPr>
      <w:r>
        <w:rPr>
          <w:sz w:val="21"/>
          <w:color w:val="000000"/>
        </w:rPr>
        <w:t>(3)</w:t>
      </w:r>
      <w:r>
        <w:rPr>
          <w:sz w:val="21"/>
          <w:color w:val="000000"/>
        </w:rPr>
        <w:t>▲检测位点：覆盖GJB2、GJB3、SLC26A4、12s rRNA及USH2A这5个耳聋基因的常见位点数≥20个位点，检测范围需与耳聋基因突变检测国家参考品一致。</w:t>
      </w:r>
    </w:p>
    <w:p>
      <w:pPr>
        <w:pStyle w:val="null3"/>
        <w:ind w:firstLine="420"/>
      </w:pPr>
      <w:r>
        <w:rPr>
          <w:sz w:val="21"/>
          <w:color w:val="000000"/>
        </w:rPr>
        <w:t>(4)</w:t>
      </w:r>
      <w:r>
        <w:rPr>
          <w:sz w:val="21"/>
          <w:color w:val="000000"/>
        </w:rPr>
        <w:t>样本类型：足跟血血斑，外周血；</w:t>
      </w:r>
    </w:p>
    <w:p>
      <w:pPr>
        <w:pStyle w:val="null3"/>
        <w:ind w:firstLine="420"/>
      </w:pPr>
      <w:r>
        <w:rPr>
          <w:sz w:val="21"/>
          <w:color w:val="000000"/>
        </w:rPr>
        <w:t>(5)</w:t>
      </w:r>
      <w:r>
        <w:rPr>
          <w:sz w:val="21"/>
          <w:color w:val="000000"/>
        </w:rPr>
        <w:t>产品性能：准确率高，与</w:t>
      </w:r>
      <w:r>
        <w:rPr>
          <w:sz w:val="21"/>
          <w:color w:val="000000"/>
        </w:rPr>
        <w:t>sanger测序法符合率100%，特异性在99.9%以上，可检出杂合、纯合、复合杂合突变等位点；</w:t>
      </w:r>
    </w:p>
    <w:p>
      <w:pPr>
        <w:pStyle w:val="null3"/>
        <w:ind w:firstLine="420"/>
      </w:pPr>
      <w:r>
        <w:rPr>
          <w:sz w:val="21"/>
          <w:color w:val="000000"/>
        </w:rPr>
        <w:t>2.4.遗传病扩展型携带者筛查</w:t>
      </w:r>
    </w:p>
    <w:p>
      <w:pPr>
        <w:pStyle w:val="null3"/>
        <w:ind w:firstLine="420"/>
      </w:pPr>
      <w:r>
        <w:rPr>
          <w:sz w:val="21"/>
          <w:color w:val="000000"/>
        </w:rPr>
        <w:t>(1)</w:t>
      </w:r>
      <w:r>
        <w:rPr>
          <w:sz w:val="21"/>
          <w:color w:val="000000"/>
        </w:rPr>
        <w:t>▲检测内容：检测不低于400种常见单基因隐性遗传病，检测基因不低于200个；</w:t>
      </w:r>
    </w:p>
    <w:p>
      <w:pPr>
        <w:pStyle w:val="null3"/>
        <w:ind w:firstLine="420"/>
      </w:pPr>
      <w:r>
        <w:rPr>
          <w:sz w:val="21"/>
          <w:color w:val="000000"/>
        </w:rPr>
        <w:t>(2)</w:t>
      </w:r>
      <w:r>
        <w:rPr>
          <w:sz w:val="21"/>
          <w:color w:val="000000"/>
        </w:rPr>
        <w:t>▲检测方法：NGS+PCR联合毛细管电泳+PCR联合电泳；</w:t>
      </w:r>
    </w:p>
    <w:p>
      <w:pPr>
        <w:pStyle w:val="null3"/>
        <w:ind w:firstLine="420"/>
      </w:pPr>
      <w:r>
        <w:rPr>
          <w:sz w:val="21"/>
          <w:color w:val="000000"/>
        </w:rPr>
        <w:t>(3)</w:t>
      </w:r>
      <w:r>
        <w:rPr>
          <w:sz w:val="21"/>
          <w:color w:val="000000"/>
        </w:rPr>
        <w:t>样本类型：外周血；</w:t>
      </w:r>
    </w:p>
    <w:p>
      <w:pPr>
        <w:pStyle w:val="null3"/>
        <w:ind w:firstLine="420"/>
      </w:pPr>
      <w:r>
        <w:rPr>
          <w:sz w:val="21"/>
          <w:color w:val="000000"/>
        </w:rPr>
        <w:t>(</w:t>
      </w:r>
      <w:r>
        <w:rPr>
          <w:sz w:val="21"/>
          <w:color w:val="000000"/>
        </w:rPr>
        <w:t>4</w:t>
      </w:r>
      <w:r>
        <w:rPr>
          <w:sz w:val="21"/>
          <w:color w:val="000000"/>
        </w:rPr>
        <w:t>)</w:t>
      </w:r>
      <w:r>
        <w:rPr>
          <w:sz w:val="21"/>
          <w:color w:val="000000"/>
        </w:rPr>
        <w:t>需提供每个基因具体检测的变异位点范围，且位点均需参照</w:t>
      </w:r>
      <w:r>
        <w:rPr>
          <w:sz w:val="21"/>
          <w:color w:val="000000"/>
        </w:rPr>
        <w:t>ACMG解读指南规则判定为致病性或疑似致病性。</w:t>
      </w:r>
    </w:p>
    <w:p>
      <w:pPr>
        <w:pStyle w:val="null3"/>
        <w:ind w:firstLine="420"/>
      </w:pPr>
      <w:r>
        <w:rPr>
          <w:sz w:val="21"/>
          <w:color w:val="000000"/>
        </w:rPr>
        <w:t>（</w:t>
      </w:r>
      <w:r>
        <w:rPr>
          <w:sz w:val="21"/>
          <w:color w:val="000000"/>
        </w:rPr>
        <w:t>5）能检测常见的CNV变异类型，包括进行性假肥大性肌营养不良DMD基因连续2个外显子及以上的缺失/重复、脊髓性肌肉萎缩症SMN1基因7号外显子缺失、希特林蛋白基因3kb插入、同时包含以下罕见病名录中的疾病：白化病、Alport综合征、瓜氨酸血症、法布雷病、家族性地中海热、范可尼贫血、半乳糖血症、戈谢病、Gitelman综合征、戊二酸血症I型。</w:t>
      </w:r>
    </w:p>
    <w:p>
      <w:pPr>
        <w:pStyle w:val="null3"/>
        <w:ind w:firstLine="420"/>
      </w:pPr>
      <w:r>
        <w:rPr>
          <w:sz w:val="21"/>
          <w:color w:val="000000"/>
        </w:rPr>
        <w:t>(</w:t>
      </w:r>
      <w:r>
        <w:rPr>
          <w:sz w:val="21"/>
          <w:color w:val="000000"/>
        </w:rPr>
        <w:t>6</w:t>
      </w:r>
      <w:r>
        <w:rPr>
          <w:sz w:val="21"/>
          <w:color w:val="000000"/>
        </w:rPr>
        <w:t>)</w:t>
      </w:r>
      <w:r>
        <w:rPr>
          <w:sz w:val="21"/>
          <w:color w:val="000000"/>
        </w:rPr>
        <w:t>对</w:t>
      </w:r>
      <w:r>
        <w:rPr>
          <w:sz w:val="21"/>
          <w:color w:val="000000"/>
        </w:rPr>
        <w:t>NGS分析CNV流程中结果为阳性或灰区的样本提供金标准MLPA、PCR等方法的二次验证。</w:t>
      </w:r>
    </w:p>
    <w:p>
      <w:pPr>
        <w:pStyle w:val="null3"/>
        <w:ind w:firstLine="420"/>
      </w:pPr>
      <w:r>
        <w:rPr>
          <w:sz w:val="21"/>
          <w:color w:val="000000"/>
        </w:rPr>
        <w:t>(</w:t>
      </w:r>
      <w:r>
        <w:rPr>
          <w:sz w:val="21"/>
          <w:color w:val="000000"/>
        </w:rPr>
        <w:t>7</w:t>
      </w:r>
      <w:r>
        <w:rPr>
          <w:sz w:val="21"/>
          <w:color w:val="000000"/>
        </w:rPr>
        <w:t>)</w:t>
      </w:r>
      <w:r>
        <w:rPr>
          <w:sz w:val="21"/>
          <w:color w:val="000000"/>
        </w:rPr>
        <w:t>检测报告需完全符合《临床单基因遗传病基因检测报告规范团体标准》规范。</w:t>
      </w:r>
    </w:p>
    <w:p>
      <w:pPr>
        <w:pStyle w:val="null3"/>
        <w:ind w:firstLine="420"/>
      </w:pPr>
      <w:r>
        <w:rPr>
          <w:sz w:val="21"/>
          <w:color w:val="000000"/>
        </w:rPr>
        <w:t>2.5.地中海贫血基因分型（非缺失型α-地中海贫血基因检测、缺失型α-地中海贫血基因检测、β地中海贫血基因突变检测）</w:t>
      </w:r>
    </w:p>
    <w:p>
      <w:pPr>
        <w:pStyle w:val="null3"/>
        <w:ind w:firstLine="420"/>
      </w:pPr>
      <w:r>
        <w:rPr>
          <w:sz w:val="21"/>
          <w:color w:val="000000"/>
        </w:rPr>
        <w:t>(1)</w:t>
      </w:r>
      <w:r>
        <w:rPr>
          <w:sz w:val="21"/>
          <w:color w:val="000000"/>
        </w:rPr>
        <w:t>▲检测内容：α珠蛋白基因：-α3.7、-α4.2</w:t>
      </w:r>
      <w:r>
        <w:rPr>
          <w:sz w:val="21"/>
          <w:color w:val="000000"/>
        </w:rPr>
        <w:t>、</w:t>
      </w:r>
      <w:r>
        <w:rPr>
          <w:sz w:val="21"/>
          <w:color w:val="000000"/>
        </w:rPr>
        <w:t>--SEA 、Hb QS、Hb CS、HbWS。β珠蛋白基因：能检测常见的21种突变：IVS-II-654 (C&gt;T), -28 (A&gt;G), -29 (A&gt;G), -30 (T&gt;C), -31 (A&gt;C), -32 (C&gt;A), CD14-15 (+G), CD15-16 (+G), CD17 (A&gt;T), IVS-I-5 (G&gt;C), CD30 (A&gt;G), IVS-I-1(G&gt;T), CD26 (G&gt;A), CD27-28 (+C), CD41-42 (-TTCT), CD43 (G&gt;T), CD37 (G&gt;A), CD71-72 (+A), IVS-II-5 (G&gt;C)), -73 (A&gt;T), -90 (C&gt;T)）。</w:t>
      </w:r>
    </w:p>
    <w:p>
      <w:pPr>
        <w:pStyle w:val="null3"/>
        <w:ind w:firstLine="420"/>
      </w:pPr>
      <w:r>
        <w:rPr>
          <w:sz w:val="21"/>
          <w:color w:val="000000"/>
        </w:rPr>
        <w:t>(2)</w:t>
      </w:r>
      <w:r>
        <w:rPr>
          <w:sz w:val="21"/>
          <w:color w:val="000000"/>
        </w:rPr>
        <w:t>▲检测方法：荧光PCR溶解曲线法；</w:t>
      </w:r>
    </w:p>
    <w:p>
      <w:pPr>
        <w:pStyle w:val="null3"/>
        <w:ind w:firstLine="420"/>
      </w:pPr>
      <w:r>
        <w:rPr>
          <w:sz w:val="21"/>
          <w:color w:val="000000"/>
        </w:rPr>
        <w:t>(3)</w:t>
      </w:r>
      <w:r>
        <w:rPr>
          <w:sz w:val="21"/>
          <w:color w:val="000000"/>
        </w:rPr>
        <w:t>检测准确性：检测范围内的地贫类型准确率不低于</w:t>
      </w:r>
      <w:r>
        <w:rPr>
          <w:sz w:val="21"/>
          <w:color w:val="000000"/>
        </w:rPr>
        <w:t>99%；</w:t>
      </w:r>
    </w:p>
    <w:p>
      <w:pPr>
        <w:pStyle w:val="null3"/>
        <w:ind w:firstLine="420"/>
      </w:pPr>
      <w:r>
        <w:rPr>
          <w:sz w:val="21"/>
          <w:color w:val="000000"/>
        </w:rPr>
        <w:t>(4)</w:t>
      </w:r>
      <w:r>
        <w:rPr>
          <w:sz w:val="21"/>
          <w:color w:val="000000"/>
        </w:rPr>
        <w:t>样本类型：外周血和</w:t>
      </w:r>
      <w:r>
        <w:rPr>
          <w:sz w:val="21"/>
          <w:color w:val="000000"/>
        </w:rPr>
        <w:t>DNA；</w:t>
      </w:r>
    </w:p>
    <w:p>
      <w:pPr>
        <w:pStyle w:val="null3"/>
        <w:ind w:firstLine="420"/>
      </w:pPr>
      <w:r>
        <w:rPr>
          <w:sz w:val="21"/>
          <w:color w:val="000000"/>
        </w:rPr>
        <w:t>(5)</w:t>
      </w:r>
      <w:r>
        <w:rPr>
          <w:sz w:val="21"/>
          <w:color w:val="000000"/>
        </w:rPr>
        <w:t>乙方具备检测流程，检测项目的技术方案及质控方案；</w:t>
      </w:r>
    </w:p>
    <w:p>
      <w:pPr>
        <w:pStyle w:val="null3"/>
        <w:ind w:firstLine="420"/>
      </w:pPr>
      <w:r>
        <w:rPr>
          <w:sz w:val="21"/>
          <w:color w:val="000000"/>
        </w:rPr>
        <w:t>2.6.脊肌萎缩症（SMA）基因筛查</w:t>
      </w:r>
    </w:p>
    <w:p>
      <w:pPr>
        <w:pStyle w:val="null3"/>
        <w:ind w:firstLine="420"/>
      </w:pPr>
      <w:r>
        <w:rPr>
          <w:sz w:val="21"/>
          <w:color w:val="000000"/>
        </w:rPr>
        <w:t>(1)</w:t>
      </w:r>
      <w:r>
        <w:rPr>
          <w:sz w:val="21"/>
          <w:color w:val="000000"/>
        </w:rPr>
        <w:t>▲检测内容：运动神经元存活基因1（SMN1）第7及第8外显子。能直接对SMN1基因的拷贝数进行分析，可以准确判断杂合缺失、纯合缺失和未缺失，明确区分携带者及正常人群；</w:t>
      </w:r>
    </w:p>
    <w:p>
      <w:pPr>
        <w:pStyle w:val="null3"/>
        <w:ind w:firstLine="420"/>
      </w:pPr>
      <w:r>
        <w:rPr>
          <w:sz w:val="21"/>
          <w:color w:val="000000"/>
        </w:rPr>
        <w:t>(2)</w:t>
      </w:r>
      <w:r>
        <w:rPr>
          <w:sz w:val="21"/>
          <w:color w:val="000000"/>
        </w:rPr>
        <w:t>▲检测方法：PCR熔解曲线法；</w:t>
      </w:r>
    </w:p>
    <w:p>
      <w:pPr>
        <w:pStyle w:val="null3"/>
        <w:ind w:firstLine="420"/>
      </w:pPr>
      <w:r>
        <w:rPr>
          <w:sz w:val="21"/>
          <w:color w:val="000000"/>
        </w:rPr>
        <w:t>(3)</w:t>
      </w:r>
      <w:r>
        <w:rPr>
          <w:sz w:val="21"/>
          <w:color w:val="000000"/>
        </w:rPr>
        <w:t>检测准确性：可以准确判断杂合缺失、纯合缺失和未缺失，明确区分携带者及正常人群；</w:t>
      </w:r>
    </w:p>
    <w:p>
      <w:pPr>
        <w:pStyle w:val="null3"/>
        <w:ind w:firstLine="420"/>
      </w:pPr>
      <w:r>
        <w:rPr>
          <w:sz w:val="21"/>
          <w:color w:val="000000"/>
        </w:rPr>
        <w:t>(4)</w:t>
      </w:r>
      <w:r>
        <w:rPr>
          <w:sz w:val="21"/>
          <w:color w:val="000000"/>
        </w:rPr>
        <w:t>样本类型：外周血；</w:t>
      </w:r>
    </w:p>
    <w:p>
      <w:pPr>
        <w:pStyle w:val="null3"/>
        <w:ind w:firstLine="420"/>
      </w:pPr>
      <w:r>
        <w:rPr>
          <w:sz w:val="21"/>
          <w:color w:val="000000"/>
        </w:rPr>
        <w:t>(</w:t>
      </w:r>
      <w:r>
        <w:rPr>
          <w:sz w:val="21"/>
          <w:color w:val="000000"/>
        </w:rPr>
        <w:t>5</w:t>
      </w:r>
      <w:r>
        <w:rPr>
          <w:sz w:val="21"/>
          <w:color w:val="000000"/>
        </w:rPr>
        <w:t>)</w:t>
      </w:r>
      <w:r>
        <w:rPr>
          <w:sz w:val="21"/>
          <w:color w:val="000000"/>
        </w:rPr>
        <w:t>乙方提供检测流程及质控方案；</w:t>
      </w:r>
    </w:p>
    <w:p>
      <w:pPr>
        <w:pStyle w:val="null3"/>
        <w:ind w:firstLine="420"/>
      </w:pPr>
      <w:r>
        <w:rPr>
          <w:sz w:val="21"/>
          <w:color w:val="000000"/>
        </w:rPr>
        <w:t>(</w:t>
      </w:r>
      <w:r>
        <w:rPr>
          <w:sz w:val="21"/>
          <w:color w:val="000000"/>
        </w:rPr>
        <w:t>6</w:t>
      </w:r>
      <w:r>
        <w:rPr>
          <w:sz w:val="21"/>
          <w:color w:val="000000"/>
        </w:rPr>
        <w:t>)</w:t>
      </w:r>
      <w:r>
        <w:rPr>
          <w:sz w:val="21"/>
          <w:color w:val="000000"/>
        </w:rPr>
        <w:t>采用国家食品药品监督管理总局认证的试剂盒，同时采用配套的多重熔解曲线数据分析软件进行自动化、标准化结果判读，保障检测结果；</w:t>
      </w:r>
    </w:p>
    <w:p>
      <w:pPr>
        <w:pStyle w:val="null3"/>
        <w:ind w:firstLine="420"/>
      </w:pPr>
      <w:r>
        <w:rPr>
          <w:sz w:val="21"/>
          <w:color w:val="000000"/>
        </w:rPr>
        <w:t>(</w:t>
      </w:r>
      <w:r>
        <w:rPr>
          <w:sz w:val="21"/>
          <w:color w:val="000000"/>
        </w:rPr>
        <w:t>7</w:t>
      </w:r>
      <w:r>
        <w:rPr>
          <w:sz w:val="21"/>
          <w:color w:val="000000"/>
        </w:rPr>
        <w:t>)</w:t>
      </w:r>
      <w:r>
        <w:rPr>
          <w:sz w:val="21"/>
          <w:color w:val="000000"/>
        </w:rPr>
        <w:t>提供遗传咨询服务，对于孕妇</w:t>
      </w:r>
      <w:r>
        <w:rPr>
          <w:sz w:val="21"/>
          <w:color w:val="000000"/>
        </w:rPr>
        <w:t>SMA基因筛查异常者，进行家系分析，指导下一步产前诊断；对于具有临床表征但筛查结果无异常者，指导被检测者进行SMA基因微变异检测。</w:t>
      </w:r>
    </w:p>
    <w:p>
      <w:pPr>
        <w:pStyle w:val="null3"/>
        <w:ind w:firstLine="420"/>
      </w:pPr>
      <w:r>
        <w:rPr>
          <w:sz w:val="21"/>
          <w:color w:val="000000"/>
        </w:rPr>
        <w:t>2.7.靶向病原分枝杆菌检测（DNA+耐药基因）</w:t>
      </w:r>
    </w:p>
    <w:p>
      <w:pPr>
        <w:pStyle w:val="null3"/>
        <w:ind w:firstLine="420"/>
      </w:pPr>
      <w:r>
        <w:rPr>
          <w:sz w:val="21"/>
          <w:color w:val="000000"/>
        </w:rPr>
        <w:t>(1)</w:t>
      </w:r>
      <w:r>
        <w:rPr>
          <w:sz w:val="21"/>
          <w:color w:val="000000"/>
        </w:rPr>
        <w:t>检测涵盖临床常见分枝杆菌，检测共包含</w:t>
      </w:r>
      <w:r>
        <w:rPr>
          <w:sz w:val="21"/>
          <w:color w:val="000000"/>
        </w:rPr>
        <w:t>48种分枝杆菌及同分枝杆菌临床症状相似的110种病原体，同时提示利福平、异烟肼、乙胺丁醇等结核一二线药物及非结核药物相关耐药信息；为疑似分枝杆菌感染患者提供快速精准诊断依据；</w:t>
      </w:r>
    </w:p>
    <w:p>
      <w:pPr>
        <w:pStyle w:val="null3"/>
        <w:ind w:firstLine="420"/>
      </w:pPr>
      <w:r>
        <w:rPr>
          <w:sz w:val="21"/>
          <w:color w:val="000000"/>
        </w:rPr>
        <w:t>(2)</w:t>
      </w:r>
      <w:r>
        <w:rPr>
          <w:sz w:val="21"/>
          <w:color w:val="000000"/>
        </w:rPr>
        <w:t>具备完善的病原检测与验证能力，配备微生物流水线培养仪器，具有超多重病原体</w:t>
      </w:r>
      <w:r>
        <w:rPr>
          <w:sz w:val="21"/>
          <w:color w:val="000000"/>
        </w:rPr>
        <w:t>PCR等多种病原检测项目，提供综合诊断平台以满足临床感染疾病诊断的多重需求；</w:t>
      </w:r>
    </w:p>
    <w:p>
      <w:pPr>
        <w:pStyle w:val="null3"/>
        <w:ind w:firstLine="420"/>
      </w:pPr>
      <w:r>
        <w:rPr>
          <w:sz w:val="21"/>
          <w:color w:val="000000"/>
        </w:rPr>
        <w:t>(3)</w:t>
      </w:r>
      <w:r>
        <w:rPr>
          <w:sz w:val="21"/>
          <w:color w:val="000000"/>
        </w:rPr>
        <w:t>检测灵敏度：检测可直接使用核酸浓度</w:t>
      </w:r>
      <w:r>
        <w:rPr>
          <w:sz w:val="21"/>
          <w:color w:val="000000"/>
        </w:rPr>
        <w:t>≤2ng/ul的样本,可处理起始量低于10ng的片段化双链DNA样本,靶区覆盖率＞95%,种属鉴定准确性＞99%；</w:t>
      </w:r>
    </w:p>
    <w:p>
      <w:pPr>
        <w:pStyle w:val="null3"/>
        <w:ind w:firstLine="420"/>
      </w:pPr>
      <w:r>
        <w:rPr>
          <w:sz w:val="21"/>
          <w:color w:val="000000"/>
        </w:rPr>
        <w:t>(4)</w:t>
      </w:r>
      <w:r>
        <w:rPr>
          <w:sz w:val="21"/>
          <w:color w:val="000000"/>
        </w:rPr>
        <w:t>样本类型：除粪便样本外</w:t>
      </w:r>
      <w:r>
        <w:rPr>
          <w:sz w:val="21"/>
          <w:color w:val="000000"/>
        </w:rPr>
        <w:t>,全面覆盖血液、脑脊液、肺泡灌洗液、痰液、胸腹水、脓肿抽液、尿液等体液样本,拭子、新鲜组织等非体液样本类型；</w:t>
      </w:r>
    </w:p>
    <w:p>
      <w:pPr>
        <w:pStyle w:val="null3"/>
        <w:ind w:firstLine="420"/>
      </w:pPr>
      <w:r>
        <w:rPr>
          <w:sz w:val="21"/>
          <w:color w:val="000000"/>
        </w:rPr>
        <w:t>(</w:t>
      </w:r>
      <w:r>
        <w:rPr>
          <w:sz w:val="21"/>
          <w:color w:val="000000"/>
        </w:rPr>
        <w:t>5</w:t>
      </w:r>
      <w:r>
        <w:rPr>
          <w:sz w:val="21"/>
          <w:color w:val="000000"/>
        </w:rPr>
        <w:t>)</w:t>
      </w:r>
      <w:r>
        <w:rPr>
          <w:sz w:val="21"/>
          <w:color w:val="000000"/>
        </w:rPr>
        <w:t>测序仪器及信息分析软件均符合资质认证，其中测序仪具有国家食品药品监督管理总局认证</w:t>
      </w:r>
      <w:r>
        <w:rPr>
          <w:sz w:val="21"/>
          <w:color w:val="000000"/>
        </w:rPr>
        <w:t>;</w:t>
      </w:r>
    </w:p>
    <w:p>
      <w:pPr>
        <w:pStyle w:val="null3"/>
        <w:ind w:firstLine="420"/>
      </w:pPr>
      <w:r>
        <w:rPr>
          <w:sz w:val="21"/>
          <w:color w:val="000000"/>
        </w:rPr>
        <w:t>(</w:t>
      </w:r>
      <w:r>
        <w:rPr>
          <w:sz w:val="21"/>
          <w:color w:val="000000"/>
        </w:rPr>
        <w:t>6</w:t>
      </w:r>
      <w:r>
        <w:rPr>
          <w:sz w:val="21"/>
          <w:color w:val="000000"/>
        </w:rPr>
        <w:t>)</w:t>
      </w:r>
      <w:r>
        <w:rPr>
          <w:sz w:val="21"/>
          <w:color w:val="000000"/>
        </w:rPr>
        <w:t>提供临床专家多学科联合报告解读及临床会诊治疗特色服务</w:t>
      </w:r>
      <w:r>
        <w:rPr>
          <w:sz w:val="21"/>
          <w:color w:val="000000"/>
        </w:rPr>
        <w:t>;</w:t>
      </w:r>
    </w:p>
    <w:p>
      <w:pPr>
        <w:pStyle w:val="null3"/>
        <w:ind w:firstLine="420"/>
      </w:pPr>
      <w:r>
        <w:rPr>
          <w:sz w:val="21"/>
          <w:color w:val="000000"/>
        </w:rPr>
        <w:t>2.8.靶向病原测序基础版376种病原体（DNA+RNA+耐药基因）</w:t>
      </w:r>
    </w:p>
    <w:p>
      <w:pPr>
        <w:pStyle w:val="null3"/>
        <w:ind w:firstLine="420"/>
      </w:pPr>
      <w:r>
        <w:rPr>
          <w:sz w:val="21"/>
          <w:color w:val="000000"/>
        </w:rPr>
        <w:t>(1)</w:t>
      </w:r>
      <w:r>
        <w:rPr>
          <w:sz w:val="21"/>
          <w:color w:val="000000"/>
        </w:rPr>
        <w:t>检测涵盖临床常见</w:t>
      </w:r>
      <w:r>
        <w:rPr>
          <w:sz w:val="21"/>
          <w:color w:val="000000"/>
        </w:rPr>
        <w:t>376种病原微生物，包括检测共包含163种细菌、49种真菌、DNA病毒59种、RNA病毒72种、支原体/衣原体/立克次体12种、寄生虫21种以及1280个耐药基因和122个毒力基因；为轻,中症感染患者提供快速精准诊断依据；</w:t>
      </w:r>
    </w:p>
    <w:p>
      <w:pPr>
        <w:pStyle w:val="null3"/>
        <w:ind w:firstLine="420"/>
      </w:pPr>
      <w:r>
        <w:rPr>
          <w:sz w:val="21"/>
          <w:color w:val="000000"/>
        </w:rPr>
        <w:t>(2)</w:t>
      </w:r>
      <w:r>
        <w:rPr>
          <w:sz w:val="21"/>
          <w:color w:val="000000"/>
        </w:rPr>
        <w:t>具备完善的病原检测与验证能力，配备</w:t>
      </w:r>
      <w:r>
        <w:rPr>
          <w:sz w:val="21"/>
          <w:color w:val="000000"/>
        </w:rPr>
        <w:t>BD微生物流水线培养仪器备，具有超多重病原体PCR等多种病原检测项目，提供综合诊断平台以满足临床感染疾病诊断的多重需求；</w:t>
      </w:r>
    </w:p>
    <w:p>
      <w:pPr>
        <w:pStyle w:val="null3"/>
        <w:ind w:firstLine="420"/>
      </w:pPr>
      <w:r>
        <w:rPr>
          <w:sz w:val="21"/>
          <w:color w:val="000000"/>
        </w:rPr>
        <w:t>(3)</w:t>
      </w:r>
      <w:r>
        <w:rPr>
          <w:sz w:val="21"/>
          <w:color w:val="000000"/>
        </w:rPr>
        <w:t>检测灵敏度：检测可直接使用核酸浓度</w:t>
      </w:r>
      <w:r>
        <w:rPr>
          <w:sz w:val="21"/>
          <w:color w:val="000000"/>
        </w:rPr>
        <w:t>≤2ng/ul的样本,可处理起始量低于10ng的片段化双链DNA样本, 靶区覆盖率＞95%,种属鉴定准确性＞99%；</w:t>
      </w:r>
    </w:p>
    <w:p>
      <w:pPr>
        <w:pStyle w:val="null3"/>
        <w:ind w:firstLine="420"/>
      </w:pPr>
      <w:r>
        <w:rPr>
          <w:sz w:val="21"/>
          <w:color w:val="000000"/>
        </w:rPr>
        <w:t>(4)</w:t>
      </w:r>
      <w:r>
        <w:rPr>
          <w:sz w:val="21"/>
          <w:color w:val="000000"/>
        </w:rPr>
        <w:t>样本类型：除粪便样本外</w:t>
      </w:r>
      <w:r>
        <w:rPr>
          <w:sz w:val="21"/>
          <w:color w:val="000000"/>
        </w:rPr>
        <w:t>, 全面覆盖血液、脑脊液、肺泡灌洗液、痰液、胸腹水、脓肿抽液、尿液等体液样本, 拭子、新鲜组织等非体液样本类型；</w:t>
      </w:r>
    </w:p>
    <w:p>
      <w:pPr>
        <w:pStyle w:val="null3"/>
        <w:ind w:firstLine="420"/>
      </w:pPr>
      <w:r>
        <w:rPr>
          <w:sz w:val="21"/>
          <w:color w:val="000000"/>
        </w:rPr>
        <w:t>(</w:t>
      </w:r>
      <w:r>
        <w:rPr>
          <w:sz w:val="21"/>
          <w:color w:val="000000"/>
        </w:rPr>
        <w:t>5</w:t>
      </w:r>
      <w:r>
        <w:rPr>
          <w:sz w:val="21"/>
          <w:color w:val="000000"/>
        </w:rPr>
        <w:t>)</w:t>
      </w:r>
      <w:r>
        <w:rPr>
          <w:sz w:val="21"/>
          <w:color w:val="000000"/>
        </w:rPr>
        <w:t>测序仪器及信息分析软件均符合资质认证，其中测序仪具有国家食品药品监督管理总局认证</w:t>
      </w:r>
    </w:p>
    <w:p>
      <w:pPr>
        <w:pStyle w:val="null3"/>
        <w:ind w:firstLine="420"/>
      </w:pPr>
      <w:r>
        <w:rPr>
          <w:sz w:val="21"/>
          <w:color w:val="000000"/>
        </w:rPr>
        <w:t>2.9.靶向病原测序加强版576种病原体（DNA+RNA+耐药基因）</w:t>
      </w:r>
    </w:p>
    <w:p>
      <w:pPr>
        <w:pStyle w:val="null3"/>
        <w:ind w:firstLine="420"/>
      </w:pPr>
      <w:r>
        <w:rPr>
          <w:sz w:val="21"/>
          <w:color w:val="000000"/>
        </w:rPr>
        <w:t>(1)</w:t>
      </w:r>
      <w:r>
        <w:rPr>
          <w:sz w:val="21"/>
          <w:color w:val="000000"/>
        </w:rPr>
        <w:t>检测涵盖临床常见</w:t>
      </w:r>
      <w:r>
        <w:rPr>
          <w:sz w:val="21"/>
          <w:color w:val="000000"/>
        </w:rPr>
        <w:t>576种病原微生物，包括检测共包含285种细菌、85种真菌、DNA病毒63种、RNA病毒82种、支原体/衣原体/立克次体18种、寄生虫43种以及1280个耐药基因和122个毒力基因；为轻,中症感染患者提供快速精准诊断依据；</w:t>
      </w:r>
    </w:p>
    <w:p>
      <w:pPr>
        <w:pStyle w:val="null3"/>
        <w:ind w:firstLine="420"/>
      </w:pPr>
      <w:r>
        <w:rPr>
          <w:sz w:val="21"/>
          <w:color w:val="000000"/>
        </w:rPr>
        <w:t>(2)</w:t>
      </w:r>
      <w:r>
        <w:rPr>
          <w:sz w:val="21"/>
          <w:color w:val="000000"/>
        </w:rPr>
        <w:t>具备完善的病原检测与验证能力，配备微生物流水线培养仪器，具有超多重病原体</w:t>
      </w:r>
      <w:r>
        <w:rPr>
          <w:sz w:val="21"/>
          <w:color w:val="000000"/>
        </w:rPr>
        <w:t>PCR等多种病原检测项目，提供综合诊断平台以满足临床感染疾病诊断的多重需求；</w:t>
      </w:r>
    </w:p>
    <w:p>
      <w:pPr>
        <w:pStyle w:val="null3"/>
        <w:ind w:firstLine="420"/>
      </w:pPr>
      <w:r>
        <w:rPr>
          <w:sz w:val="21"/>
          <w:color w:val="000000"/>
        </w:rPr>
        <w:t>(3)</w:t>
      </w:r>
      <w:r>
        <w:rPr>
          <w:sz w:val="21"/>
          <w:color w:val="000000"/>
        </w:rPr>
        <w:t>检测灵敏度：检测可直接使用核酸浓度</w:t>
      </w:r>
      <w:r>
        <w:rPr>
          <w:sz w:val="21"/>
          <w:color w:val="000000"/>
        </w:rPr>
        <w:t>≤2ng/ul的样本,可处理起始量低于10ng的片段化双链DNA样本, 靶区覆盖率＞95%,种属鉴定准确性＞99%；</w:t>
      </w:r>
    </w:p>
    <w:p>
      <w:pPr>
        <w:pStyle w:val="null3"/>
        <w:ind w:firstLine="420"/>
      </w:pPr>
      <w:r>
        <w:rPr>
          <w:sz w:val="21"/>
          <w:color w:val="000000"/>
        </w:rPr>
        <w:t>(4)</w:t>
      </w:r>
      <w:r>
        <w:rPr>
          <w:sz w:val="21"/>
          <w:color w:val="000000"/>
        </w:rPr>
        <w:t>样本类型：除粪便样本外</w:t>
      </w:r>
      <w:r>
        <w:rPr>
          <w:sz w:val="21"/>
          <w:color w:val="000000"/>
        </w:rPr>
        <w:t>, 全面覆盖血液、脑脊液、肺泡灌洗液、痰液、胸腹水、脓肿抽液、尿液等体液样本, 拭子、新鲜组织等非体液样本类型；</w:t>
      </w:r>
    </w:p>
    <w:p>
      <w:pPr>
        <w:pStyle w:val="null3"/>
        <w:ind w:firstLine="420"/>
      </w:pPr>
      <w:r>
        <w:rPr>
          <w:sz w:val="21"/>
          <w:color w:val="000000"/>
        </w:rPr>
        <w:t>(</w:t>
      </w:r>
      <w:r>
        <w:rPr>
          <w:sz w:val="21"/>
          <w:color w:val="000000"/>
        </w:rPr>
        <w:t>5</w:t>
      </w:r>
      <w:r>
        <w:rPr>
          <w:sz w:val="21"/>
          <w:color w:val="000000"/>
        </w:rPr>
        <w:t>)</w:t>
      </w:r>
      <w:r>
        <w:rPr>
          <w:sz w:val="21"/>
          <w:color w:val="000000"/>
        </w:rPr>
        <w:t>测序仪器及信息分析软件均符合资质认证，其中测序仪具有国家食品药品监督管理总局认证</w:t>
      </w:r>
      <w:r>
        <w:rPr>
          <w:sz w:val="21"/>
          <w:color w:val="000000"/>
        </w:rPr>
        <w:t>;</w:t>
      </w:r>
    </w:p>
    <w:p>
      <w:pPr>
        <w:pStyle w:val="null3"/>
        <w:ind w:firstLine="420"/>
      </w:pPr>
      <w:r>
        <w:rPr>
          <w:sz w:val="21"/>
          <w:color w:val="000000"/>
        </w:rPr>
        <w:t>(</w:t>
      </w:r>
      <w:r>
        <w:rPr>
          <w:sz w:val="21"/>
          <w:color w:val="000000"/>
        </w:rPr>
        <w:t>6</w:t>
      </w:r>
      <w:r>
        <w:rPr>
          <w:sz w:val="21"/>
          <w:color w:val="000000"/>
        </w:rPr>
        <w:t>)</w:t>
      </w:r>
      <w:r>
        <w:rPr>
          <w:sz w:val="21"/>
          <w:color w:val="000000"/>
        </w:rPr>
        <w:t>提供临床专家多学科联合报告解读及临床会诊治疗特色服务</w:t>
      </w:r>
      <w:r>
        <w:rPr>
          <w:sz w:val="21"/>
          <w:color w:val="000000"/>
        </w:rPr>
        <w:t>;</w:t>
      </w:r>
    </w:p>
    <w:p>
      <w:pPr>
        <w:pStyle w:val="null3"/>
        <w:ind w:firstLine="420"/>
      </w:pPr>
      <w:r>
        <w:rPr>
          <w:sz w:val="21"/>
          <w:color w:val="000000"/>
        </w:rPr>
        <w:t>2.10靶向病原测序精简版199种病原体（DNA+RNA+耐药基因）</w:t>
      </w:r>
    </w:p>
    <w:p>
      <w:pPr>
        <w:pStyle w:val="null3"/>
        <w:ind w:firstLine="420"/>
      </w:pPr>
      <w:r>
        <w:rPr>
          <w:sz w:val="21"/>
          <w:color w:val="000000"/>
        </w:rPr>
        <w:t>(1)</w:t>
      </w:r>
      <w:r>
        <w:rPr>
          <w:sz w:val="21"/>
          <w:color w:val="000000"/>
        </w:rPr>
        <w:t>检测涵盖临床常见</w:t>
      </w:r>
      <w:r>
        <w:rPr>
          <w:sz w:val="21"/>
          <w:color w:val="000000"/>
        </w:rPr>
        <w:t>199种病原微生物，包括30种DNA病毒、44种RNA病毒、79种细菌、22种真菌、11种支原体/衣原体/立克次体,12种寄生虫等，以及1280个耐药基因和122个毒力基因；为轻,中症感染患者提供快速精准诊断依据；</w:t>
      </w:r>
    </w:p>
    <w:p>
      <w:pPr>
        <w:pStyle w:val="null3"/>
        <w:ind w:firstLine="420"/>
      </w:pPr>
      <w:r>
        <w:rPr>
          <w:sz w:val="21"/>
          <w:color w:val="000000"/>
        </w:rPr>
        <w:t>(2)</w:t>
      </w:r>
      <w:r>
        <w:rPr>
          <w:sz w:val="21"/>
          <w:color w:val="000000"/>
        </w:rPr>
        <w:t>具备完善的病原检测与验证能力，配备微生物流水线培养仪器，具有超多重病原体</w:t>
      </w:r>
      <w:r>
        <w:rPr>
          <w:sz w:val="21"/>
          <w:color w:val="000000"/>
        </w:rPr>
        <w:t>PCR等多种病原检测项目，提供综合诊断平台以满足临床感染疾病诊断的多重需求；</w:t>
      </w:r>
    </w:p>
    <w:p>
      <w:pPr>
        <w:pStyle w:val="null3"/>
        <w:ind w:firstLine="420"/>
      </w:pPr>
      <w:r>
        <w:rPr>
          <w:sz w:val="21"/>
          <w:color w:val="000000"/>
        </w:rPr>
        <w:t>(3)</w:t>
      </w:r>
      <w:r>
        <w:rPr>
          <w:sz w:val="21"/>
          <w:color w:val="000000"/>
        </w:rPr>
        <w:t>检测灵敏度：检测可直接使用核酸浓度</w:t>
      </w:r>
      <w:r>
        <w:rPr>
          <w:sz w:val="21"/>
          <w:color w:val="000000"/>
        </w:rPr>
        <w:t>≤2ng/ul的样本,可处理起始量低于10ng的片段化双链DNA样本, 靶区覆盖率＞95%,种属鉴定准确性＞99%；</w:t>
      </w:r>
    </w:p>
    <w:p>
      <w:pPr>
        <w:pStyle w:val="null3"/>
        <w:ind w:firstLine="420"/>
      </w:pPr>
      <w:r>
        <w:rPr>
          <w:sz w:val="21"/>
          <w:color w:val="000000"/>
        </w:rPr>
        <w:t>(4)</w:t>
      </w:r>
      <w:r>
        <w:rPr>
          <w:sz w:val="21"/>
          <w:color w:val="000000"/>
        </w:rPr>
        <w:t>样本类型：除粪便样本外</w:t>
      </w:r>
      <w:r>
        <w:rPr>
          <w:sz w:val="21"/>
          <w:color w:val="000000"/>
        </w:rPr>
        <w:t>, 全面覆盖血液、脑脊液、肺泡灌洗液、痰液、胸腹水、脓肿抽液、尿液等体液样本, 拭子、新鲜组织等非体液样本类型；</w:t>
      </w:r>
    </w:p>
    <w:p>
      <w:pPr>
        <w:pStyle w:val="null3"/>
        <w:ind w:firstLine="420"/>
      </w:pPr>
      <w:r>
        <w:rPr>
          <w:sz w:val="21"/>
          <w:color w:val="000000"/>
        </w:rPr>
        <w:t>(</w:t>
      </w:r>
      <w:r>
        <w:rPr>
          <w:sz w:val="21"/>
          <w:color w:val="000000"/>
        </w:rPr>
        <w:t>5</w:t>
      </w:r>
      <w:r>
        <w:rPr>
          <w:sz w:val="21"/>
          <w:color w:val="000000"/>
        </w:rPr>
        <w:t>)</w:t>
      </w:r>
      <w:r>
        <w:rPr>
          <w:sz w:val="21"/>
          <w:color w:val="000000"/>
        </w:rPr>
        <w:t>测序仪器及信息分析软件均符合资质认证，其中测序仪具有国家食品药品监督管理总局认证</w:t>
      </w:r>
      <w:r>
        <w:rPr>
          <w:sz w:val="21"/>
          <w:color w:val="000000"/>
        </w:rPr>
        <w:t>;</w:t>
      </w:r>
    </w:p>
    <w:p>
      <w:pPr>
        <w:pStyle w:val="null3"/>
        <w:ind w:firstLine="420"/>
      </w:pPr>
      <w:r>
        <w:rPr>
          <w:sz w:val="21"/>
          <w:color w:val="000000"/>
        </w:rPr>
        <w:t>(</w:t>
      </w:r>
      <w:r>
        <w:rPr>
          <w:sz w:val="21"/>
          <w:color w:val="000000"/>
        </w:rPr>
        <w:t>6</w:t>
      </w:r>
      <w:r>
        <w:rPr>
          <w:sz w:val="21"/>
          <w:color w:val="000000"/>
        </w:rPr>
        <w:t>)</w:t>
      </w:r>
      <w:r>
        <w:rPr>
          <w:sz w:val="21"/>
          <w:color w:val="000000"/>
        </w:rPr>
        <w:t>提供临床专家多学科联合报告解读及临床会诊治疗特色服务</w:t>
      </w:r>
      <w:r>
        <w:rPr>
          <w:sz w:val="21"/>
          <w:color w:val="000000"/>
        </w:rPr>
        <w:t>;</w:t>
      </w:r>
    </w:p>
    <w:p>
      <w:pPr>
        <w:pStyle w:val="null3"/>
        <w:ind w:firstLine="420"/>
      </w:pPr>
      <w:r>
        <w:rPr>
          <w:sz w:val="21"/>
          <w:color w:val="000000"/>
        </w:rPr>
        <w:t>2.11.靶向病原测序升级版476种病原体（DNA+RNA+耐药基因）</w:t>
      </w:r>
    </w:p>
    <w:p>
      <w:pPr>
        <w:pStyle w:val="null3"/>
        <w:ind w:firstLine="420"/>
      </w:pPr>
      <w:r>
        <w:rPr>
          <w:sz w:val="21"/>
          <w:color w:val="000000"/>
        </w:rPr>
        <w:t>(1)</w:t>
      </w:r>
      <w:r>
        <w:rPr>
          <w:sz w:val="21"/>
          <w:color w:val="000000"/>
        </w:rPr>
        <w:t>检测涵盖临床高度常见</w:t>
      </w:r>
      <w:r>
        <w:rPr>
          <w:sz w:val="21"/>
          <w:color w:val="000000"/>
        </w:rPr>
        <w:t>476种病原微生物，包括检测共包含211种细菌、69种真菌、DNA病毒63种、RNA病毒82种、支原体/衣原体/立克次体15种、寄生虫36种以及1280个耐药基因和122个毒力基因；为轻,中症感染患者提供快速精准诊断依据；</w:t>
      </w:r>
    </w:p>
    <w:p>
      <w:pPr>
        <w:pStyle w:val="null3"/>
        <w:ind w:firstLine="420"/>
      </w:pPr>
      <w:r>
        <w:rPr>
          <w:sz w:val="21"/>
          <w:color w:val="000000"/>
        </w:rPr>
        <w:t>(2)</w:t>
      </w:r>
      <w:r>
        <w:rPr>
          <w:sz w:val="21"/>
          <w:color w:val="000000"/>
        </w:rPr>
        <w:t>具备完善的病原检测与验证能力，配备微生物流水线培养仪器备，具有超多重病原体</w:t>
      </w:r>
      <w:r>
        <w:rPr>
          <w:sz w:val="21"/>
          <w:color w:val="000000"/>
        </w:rPr>
        <w:t>PCR等多种病原检测项目，提供综合诊断平台以满足临床感染疾病诊断的多重需求；</w:t>
      </w:r>
    </w:p>
    <w:p>
      <w:pPr>
        <w:pStyle w:val="null3"/>
        <w:ind w:firstLine="420"/>
      </w:pPr>
      <w:r>
        <w:rPr>
          <w:sz w:val="21"/>
          <w:color w:val="000000"/>
        </w:rPr>
        <w:t>(3)</w:t>
      </w:r>
      <w:r>
        <w:rPr>
          <w:sz w:val="21"/>
          <w:color w:val="000000"/>
        </w:rPr>
        <w:t>检测灵敏度：检测可直接使用核酸浓度</w:t>
      </w:r>
      <w:r>
        <w:rPr>
          <w:sz w:val="21"/>
          <w:color w:val="000000"/>
        </w:rPr>
        <w:t>≤2ng/ul的样本,可处理起始量低于10ng的片段化双链DNA样本, 靶区覆盖率＞95%,种属鉴定准确性＞99%；</w:t>
      </w:r>
    </w:p>
    <w:p>
      <w:pPr>
        <w:pStyle w:val="null3"/>
        <w:ind w:firstLine="420"/>
      </w:pPr>
      <w:r>
        <w:rPr>
          <w:sz w:val="21"/>
          <w:color w:val="000000"/>
        </w:rPr>
        <w:t>(4)</w:t>
      </w:r>
      <w:r>
        <w:rPr>
          <w:sz w:val="21"/>
          <w:color w:val="000000"/>
        </w:rPr>
        <w:t>样本类型：除粪便样本外</w:t>
      </w:r>
      <w:r>
        <w:rPr>
          <w:sz w:val="21"/>
          <w:color w:val="000000"/>
        </w:rPr>
        <w:t>, 全面覆盖血液、脑脊液、肺泡灌洗液、痰液、胸腹水、脓肿抽液、尿液等体液样本, 拭子、新鲜组织等非体液样本类型；</w:t>
      </w:r>
    </w:p>
    <w:p>
      <w:pPr>
        <w:pStyle w:val="null3"/>
        <w:ind w:firstLine="420"/>
      </w:pPr>
      <w:r>
        <w:rPr>
          <w:sz w:val="21"/>
          <w:color w:val="000000"/>
        </w:rPr>
        <w:t>(</w:t>
      </w:r>
      <w:r>
        <w:rPr>
          <w:sz w:val="21"/>
          <w:color w:val="000000"/>
        </w:rPr>
        <w:t>5</w:t>
      </w:r>
      <w:r>
        <w:rPr>
          <w:sz w:val="21"/>
          <w:color w:val="000000"/>
        </w:rPr>
        <w:t>)</w:t>
      </w:r>
      <w:r>
        <w:rPr>
          <w:sz w:val="21"/>
          <w:color w:val="000000"/>
        </w:rPr>
        <w:t>测序仪器及信息分析软件均符合资质认证，其中测序仪具有国家食品药品监督管理总局认证</w:t>
      </w:r>
      <w:r>
        <w:rPr>
          <w:sz w:val="21"/>
          <w:color w:val="000000"/>
        </w:rPr>
        <w:t>;</w:t>
      </w:r>
    </w:p>
    <w:p>
      <w:pPr>
        <w:pStyle w:val="null3"/>
        <w:ind w:firstLine="420"/>
      </w:pPr>
      <w:r>
        <w:rPr>
          <w:sz w:val="21"/>
          <w:color w:val="000000"/>
        </w:rPr>
        <w:t>(</w:t>
      </w:r>
      <w:r>
        <w:rPr>
          <w:sz w:val="21"/>
          <w:color w:val="000000"/>
        </w:rPr>
        <w:t>6</w:t>
      </w:r>
      <w:r>
        <w:rPr>
          <w:sz w:val="21"/>
          <w:color w:val="000000"/>
        </w:rPr>
        <w:t>)</w:t>
      </w:r>
      <w:r>
        <w:rPr>
          <w:sz w:val="21"/>
          <w:color w:val="000000"/>
        </w:rPr>
        <w:t>提供临床专家多学科联合报告解读及临床会诊治疗特色服务</w:t>
      </w:r>
      <w:r>
        <w:rPr>
          <w:sz w:val="21"/>
          <w:color w:val="000000"/>
        </w:rPr>
        <w:t>;</w:t>
      </w:r>
    </w:p>
    <w:p>
      <w:pPr>
        <w:pStyle w:val="null3"/>
        <w:ind w:firstLine="420"/>
      </w:pPr>
      <w:r>
        <w:rPr>
          <w:sz w:val="21"/>
          <w:color w:val="000000"/>
        </w:rPr>
        <w:t>2.12.病原微生物宏基因组检测（DNA）</w:t>
      </w:r>
    </w:p>
    <w:p>
      <w:pPr>
        <w:pStyle w:val="null3"/>
        <w:ind w:firstLine="420"/>
      </w:pPr>
      <w:r>
        <w:rPr>
          <w:sz w:val="21"/>
          <w:color w:val="000000"/>
        </w:rPr>
        <w:t>(1)</w:t>
      </w:r>
      <w:r>
        <w:rPr>
          <w:sz w:val="21"/>
          <w:color w:val="000000"/>
        </w:rPr>
        <w:t>检测涵盖</w:t>
      </w:r>
      <w:r>
        <w:rPr>
          <w:sz w:val="21"/>
          <w:color w:val="000000"/>
        </w:rPr>
        <w:t>≥25000种病原微生物，包括DNA病毒、细菌、真菌、寄生虫、分枝杆菌、支原体/衣原体等，为疑难危重感染提供快速精准诊断依据；</w:t>
      </w:r>
    </w:p>
    <w:p>
      <w:pPr>
        <w:pStyle w:val="null3"/>
        <w:ind w:firstLine="420"/>
      </w:pPr>
      <w:r>
        <w:rPr>
          <w:sz w:val="21"/>
          <w:color w:val="000000"/>
        </w:rPr>
        <w:t>(2)</w:t>
      </w:r>
      <w:r>
        <w:rPr>
          <w:sz w:val="21"/>
          <w:color w:val="000000"/>
        </w:rPr>
        <w:t>具备完善的病原检测与验证能力，配备</w:t>
      </w:r>
      <w:r>
        <w:rPr>
          <w:sz w:val="21"/>
          <w:color w:val="000000"/>
        </w:rPr>
        <w:t>BD微生物流水线培养仪器备，具有超多重病原体PCR等多种病原检测项目，提供综合诊断平台以满足临床感染疾病诊断的多重需求；</w:t>
      </w:r>
    </w:p>
    <w:p>
      <w:pPr>
        <w:pStyle w:val="null3"/>
        <w:ind w:firstLine="420"/>
      </w:pPr>
      <w:r>
        <w:rPr>
          <w:sz w:val="21"/>
          <w:color w:val="000000"/>
        </w:rPr>
        <w:t>(3)</w:t>
      </w:r>
      <w:r>
        <w:rPr>
          <w:sz w:val="21"/>
          <w:color w:val="000000"/>
        </w:rPr>
        <w:t>检测准确率：种属鉴定准确性＞</w:t>
      </w:r>
      <w:r>
        <w:rPr>
          <w:sz w:val="21"/>
          <w:color w:val="000000"/>
        </w:rPr>
        <w:t>99%；</w:t>
      </w:r>
    </w:p>
    <w:p>
      <w:pPr>
        <w:pStyle w:val="null3"/>
        <w:ind w:firstLine="420"/>
      </w:pPr>
      <w:r>
        <w:rPr>
          <w:sz w:val="21"/>
          <w:color w:val="000000"/>
        </w:rPr>
        <w:t>(4)</w:t>
      </w:r>
      <w:r>
        <w:rPr>
          <w:sz w:val="21"/>
          <w:color w:val="000000"/>
        </w:rPr>
        <w:t>样本类型：除粪便样本外</w:t>
      </w:r>
      <w:r>
        <w:rPr>
          <w:sz w:val="21"/>
          <w:color w:val="000000"/>
        </w:rPr>
        <w:t>, 全面覆盖血液、脑脊液、肺泡灌洗液、痰液、胸腹水、脓肿抽液、尿液等体液样本, 拭子、组织、蜡块白片等非体液样本类型；</w:t>
      </w:r>
    </w:p>
    <w:p>
      <w:pPr>
        <w:pStyle w:val="null3"/>
        <w:ind w:firstLine="420"/>
      </w:pPr>
      <w:r>
        <w:rPr>
          <w:sz w:val="21"/>
          <w:color w:val="000000"/>
        </w:rPr>
        <w:t>(</w:t>
      </w:r>
      <w:r>
        <w:rPr>
          <w:sz w:val="21"/>
          <w:color w:val="000000"/>
        </w:rPr>
        <w:t>5</w:t>
      </w:r>
      <w:r>
        <w:rPr>
          <w:sz w:val="21"/>
          <w:color w:val="000000"/>
        </w:rPr>
        <w:t>)</w:t>
      </w:r>
      <w:r>
        <w:rPr>
          <w:sz w:val="21"/>
          <w:color w:val="000000"/>
        </w:rPr>
        <w:t>单个样本下机数据量平均达</w:t>
      </w:r>
      <w:r>
        <w:rPr>
          <w:sz w:val="21"/>
          <w:color w:val="000000"/>
        </w:rPr>
        <w:t>40M；</w:t>
      </w:r>
    </w:p>
    <w:p>
      <w:pPr>
        <w:pStyle w:val="null3"/>
        <w:ind w:firstLine="420"/>
      </w:pPr>
      <w:r>
        <w:rPr>
          <w:sz w:val="21"/>
          <w:color w:val="000000"/>
        </w:rPr>
        <w:t>(</w:t>
      </w:r>
      <w:r>
        <w:rPr>
          <w:sz w:val="21"/>
          <w:color w:val="000000"/>
        </w:rPr>
        <w:t>6</w:t>
      </w:r>
      <w:r>
        <w:rPr>
          <w:sz w:val="21"/>
          <w:color w:val="000000"/>
        </w:rPr>
        <w:t>)</w:t>
      </w:r>
      <w:r>
        <w:rPr>
          <w:sz w:val="21"/>
          <w:color w:val="000000"/>
        </w:rPr>
        <w:t>测序仪器及信息分析软件均符合资质认证，其中测序仪具有国家食品药品监督管理总局认证</w:t>
      </w:r>
      <w:r>
        <w:rPr>
          <w:sz w:val="21"/>
          <w:color w:val="000000"/>
        </w:rPr>
        <w:t>;</w:t>
      </w:r>
    </w:p>
    <w:p>
      <w:pPr>
        <w:pStyle w:val="null3"/>
        <w:ind w:firstLine="420"/>
      </w:pPr>
      <w:r>
        <w:rPr>
          <w:sz w:val="21"/>
          <w:color w:val="000000"/>
        </w:rPr>
        <w:t>(</w:t>
      </w:r>
      <w:r>
        <w:rPr>
          <w:sz w:val="21"/>
          <w:color w:val="000000"/>
        </w:rPr>
        <w:t>7</w:t>
      </w:r>
      <w:r>
        <w:rPr>
          <w:sz w:val="21"/>
          <w:color w:val="000000"/>
        </w:rPr>
        <w:t>)</w:t>
      </w:r>
      <w:r>
        <w:rPr>
          <w:sz w:val="21"/>
          <w:color w:val="000000"/>
        </w:rPr>
        <w:t>提供临床专家多学科联合报告解读及临床会诊治疗特色服务</w:t>
      </w:r>
      <w:r>
        <w:rPr>
          <w:sz w:val="21"/>
          <w:color w:val="000000"/>
        </w:rPr>
        <w:t>;</w:t>
      </w:r>
    </w:p>
    <w:p>
      <w:pPr>
        <w:pStyle w:val="null3"/>
        <w:jc w:val="both"/>
      </w:pPr>
      <w:r>
        <w:rPr>
          <w:sz w:val="21"/>
          <w:b/>
          <w:color w:val="000000"/>
        </w:rPr>
        <w:t>（三）标本接收、送检及检验要求</w:t>
      </w:r>
    </w:p>
    <w:p>
      <w:pPr>
        <w:pStyle w:val="null3"/>
      </w:pPr>
      <w:r>
        <w:rPr>
          <w:sz w:val="21"/>
          <w:color w:val="000000"/>
        </w:rPr>
        <w:t>3.1.乙方提供物流服务，物流费用包含在收费项目内，按要求，提供每周5天上门接收标本的服务，时间为8：30至17：00，地点：广州市第一人民医院南沙医院。</w:t>
      </w:r>
    </w:p>
    <w:p>
      <w:pPr>
        <w:pStyle w:val="null3"/>
      </w:pPr>
      <w:r>
        <w:rPr>
          <w:sz w:val="21"/>
          <w:color w:val="000000"/>
        </w:rPr>
        <w:t>3.2.乙方具有规范标本接收、登记和包装流程，保证标本质量和安全，确保标本顺利交接，方便查核。乙方需提供相关方案的介绍说明，提供运输专用容器实物图片。</w:t>
      </w:r>
    </w:p>
    <w:p>
      <w:pPr>
        <w:pStyle w:val="null3"/>
      </w:pPr>
      <w:r>
        <w:rPr>
          <w:sz w:val="21"/>
          <w:color w:val="000000"/>
        </w:rPr>
        <w:t>3.3.乙方标本接收人员负责标本质量的初检、标识的核对，标本不符合检验要求时，应及时通知甲方重新取样；乙方标本接收人员负责标本的接收登记及包装储存。</w:t>
      </w:r>
    </w:p>
    <w:p>
      <w:pPr>
        <w:pStyle w:val="null3"/>
      </w:pPr>
      <w:r>
        <w:rPr>
          <w:sz w:val="21"/>
          <w:color w:val="000000"/>
        </w:rPr>
        <w:t>3.4.乙方必须确保及时接收、送检标本和及时检验。 标本不符合检验要求时，应及时通知甲方重新取样。</w:t>
      </w:r>
    </w:p>
    <w:p>
      <w:pPr>
        <w:pStyle w:val="null3"/>
        <w:jc w:val="both"/>
      </w:pPr>
      <w:r>
        <w:rPr>
          <w:sz w:val="21"/>
          <w:color w:val="000000"/>
        </w:rPr>
        <w:t>3.5.检验报告单必须由具备相应资质的检验人员签发，上级医师复核。</w:t>
      </w:r>
    </w:p>
    <w:p>
      <w:pPr>
        <w:pStyle w:val="null3"/>
        <w:ind w:firstLine="420"/>
        <w:jc w:val="both"/>
      </w:pPr>
      <w:r>
        <w:rPr>
          <w:sz w:val="21"/>
          <w:b/>
          <w:color w:val="000000"/>
        </w:rPr>
        <w:t>七、付款方式</w:t>
      </w:r>
    </w:p>
    <w:p>
      <w:pPr>
        <w:pStyle w:val="null3"/>
        <w:ind w:firstLine="420"/>
      </w:pPr>
      <w:r>
        <w:rPr>
          <w:sz w:val="21"/>
          <w:color w:val="000000"/>
        </w:rPr>
        <w:t>（一）付款结算周期：按</w:t>
      </w:r>
      <w:r>
        <w:rPr>
          <w:sz w:val="21"/>
          <w:color w:val="000000"/>
        </w:rPr>
        <w:t>半年</w:t>
      </w:r>
      <w:r>
        <w:rPr>
          <w:sz w:val="21"/>
          <w:color w:val="000000"/>
        </w:rPr>
        <w:t>结算。</w:t>
      </w:r>
    </w:p>
    <w:p>
      <w:pPr>
        <w:pStyle w:val="null3"/>
        <w:ind w:firstLine="420"/>
      </w:pPr>
      <w:r>
        <w:rPr>
          <w:sz w:val="21"/>
          <w:color w:val="000000"/>
        </w:rPr>
        <w:t>（二）对账依据：</w:t>
      </w:r>
      <w:r>
        <w:rPr>
          <w:sz w:val="21"/>
          <w:color w:val="000000"/>
        </w:rPr>
        <w:t>每半年凭检查的统计表与甲方核对送检项目、数量，甲方相关科室核实后双方签字确认，并以计算的结算金额扣除按</w:t>
      </w:r>
      <w:r>
        <w:rPr>
          <w:sz w:val="21"/>
          <w:color w:val="000000"/>
        </w:rPr>
        <w:t>用户需求书中的</w:t>
      </w:r>
      <w:r>
        <w:rPr>
          <w:sz w:val="21"/>
          <w:color w:val="000000"/>
        </w:rPr>
        <w:t>考核要求进行考核后的扣减金额及按</w:t>
      </w:r>
      <w:r>
        <w:rPr>
          <w:sz w:val="21"/>
          <w:color w:val="000000"/>
        </w:rPr>
        <w:t>用户需求书中的</w:t>
      </w:r>
      <w:r>
        <w:rPr>
          <w:sz w:val="21"/>
          <w:color w:val="000000"/>
        </w:rPr>
        <w:t>退出机制扣减的违约金进行支付</w:t>
      </w:r>
      <w:r>
        <w:rPr>
          <w:sz w:val="21"/>
          <w:color w:val="000000"/>
        </w:rPr>
        <w:t>半年度</w:t>
      </w:r>
      <w:r>
        <w:rPr>
          <w:sz w:val="21"/>
          <w:color w:val="000000"/>
        </w:rPr>
        <w:t>决算，结算前乙方应开具相应的正式发票再到财务科决算。</w:t>
      </w:r>
    </w:p>
    <w:p>
      <w:pPr>
        <w:pStyle w:val="null3"/>
        <w:ind w:firstLine="420"/>
      </w:pPr>
      <w:r>
        <w:rPr>
          <w:sz w:val="21"/>
          <w:color w:val="000000"/>
        </w:rPr>
        <w:t>（三）</w:t>
      </w:r>
      <w:r>
        <w:rPr>
          <w:color w:val="000000"/>
        </w:rPr>
        <w:t>乙方</w:t>
      </w:r>
      <w:r>
        <w:rPr>
          <w:color w:val="000000"/>
        </w:rPr>
        <w:t>在结算日届满起</w:t>
      </w:r>
      <w:r>
        <w:rPr>
          <w:color w:val="000000"/>
        </w:rPr>
        <w:t>5</w:t>
      </w:r>
      <w:r>
        <w:rPr>
          <w:color w:val="000000"/>
        </w:rPr>
        <w:t>个工作日内与</w:t>
      </w:r>
      <w:r>
        <w:rPr>
          <w:color w:val="000000"/>
        </w:rPr>
        <w:t>甲方</w:t>
      </w:r>
      <w:r>
        <w:rPr>
          <w:color w:val="000000"/>
        </w:rPr>
        <w:t>对账，双方对账无误签字确认及</w:t>
      </w:r>
      <w:r>
        <w:rPr>
          <w:color w:val="000000"/>
        </w:rPr>
        <w:t>甲方</w:t>
      </w:r>
      <w:r>
        <w:rPr>
          <w:color w:val="000000"/>
        </w:rPr>
        <w:t>收到</w:t>
      </w:r>
      <w:r>
        <w:rPr>
          <w:color w:val="000000"/>
        </w:rPr>
        <w:t>乙方</w:t>
      </w:r>
      <w:r>
        <w:rPr>
          <w:color w:val="000000"/>
        </w:rPr>
        <w:t>发票后，</w:t>
      </w:r>
      <w:r>
        <w:rPr>
          <w:color w:val="000000"/>
        </w:rPr>
        <w:t>甲方</w:t>
      </w:r>
      <w:r>
        <w:rPr>
          <w:color w:val="000000"/>
        </w:rPr>
        <w:t>5</w:t>
      </w:r>
      <w:r>
        <w:rPr>
          <w:color w:val="000000"/>
        </w:rPr>
        <w:t>个工作日内转款至</w:t>
      </w:r>
      <w:r>
        <w:rPr>
          <w:color w:val="000000"/>
        </w:rPr>
        <w:t>乙方</w:t>
      </w:r>
      <w:r>
        <w:rPr>
          <w:color w:val="000000"/>
        </w:rPr>
        <w:t>指定账户。</w:t>
      </w:r>
    </w:p>
    <w:p>
      <w:pPr>
        <w:pStyle w:val="null3"/>
        <w:ind w:firstLine="420"/>
      </w:pPr>
      <w:r>
        <w:rPr>
          <w:sz w:val="21"/>
          <w:color w:val="000000"/>
        </w:rPr>
        <w:t>（四）乙方不得委托第三方开具发票办理结算事宜，否则甲方可拒付。支付前，乙方应向甲方开具等额有效的增值税发票，并承担由此产生的税费，否则甲方有权拒绝付款，且不承担违约责任。</w:t>
      </w:r>
    </w:p>
    <w:p>
      <w:pPr>
        <w:pStyle w:val="null3"/>
        <w:ind w:firstLine="420"/>
      </w:pPr>
      <w:r>
        <w:rPr>
          <w:sz w:val="21"/>
          <w:color w:val="000000"/>
        </w:rPr>
        <w:t>（五）以银行转账的方式支付。</w:t>
      </w:r>
    </w:p>
    <w:p>
      <w:pPr>
        <w:pStyle w:val="null3"/>
        <w:ind w:firstLine="420"/>
      </w:pPr>
      <w:r>
        <w:rPr>
          <w:sz w:val="21"/>
          <w:color w:val="000000"/>
        </w:rPr>
        <w:t>（六）如遇节假日或不可抗力因素，则付款日期顺延。</w:t>
      </w:r>
    </w:p>
    <w:p>
      <w:pPr>
        <w:pStyle w:val="null3"/>
        <w:ind w:firstLine="420"/>
      </w:pPr>
      <w:r>
        <w:rPr>
          <w:sz w:val="21"/>
          <w:color w:val="000000"/>
        </w:rPr>
        <w:t>（七）乙方凭以下资料与甲方结算：</w:t>
      </w:r>
    </w:p>
    <w:p>
      <w:pPr>
        <w:pStyle w:val="null3"/>
        <w:ind w:firstLine="420"/>
      </w:pPr>
      <w:r>
        <w:rPr>
          <w:sz w:val="21"/>
          <w:color w:val="000000"/>
        </w:rPr>
        <w:t>1.</w:t>
      </w:r>
      <w:r>
        <w:rPr>
          <w:sz w:val="21"/>
          <w:color w:val="000000"/>
        </w:rPr>
        <w:t>采购合同；</w:t>
      </w:r>
    </w:p>
    <w:p>
      <w:pPr>
        <w:pStyle w:val="null3"/>
        <w:ind w:firstLine="420"/>
      </w:pPr>
      <w:r>
        <w:rPr>
          <w:sz w:val="21"/>
          <w:color w:val="000000"/>
        </w:rPr>
        <w:t>2.</w:t>
      </w:r>
      <w:r>
        <w:rPr>
          <w:sz w:val="21"/>
          <w:color w:val="000000"/>
        </w:rPr>
        <w:t>乙方开具的与货物金额相应的正式发票；</w:t>
      </w:r>
    </w:p>
    <w:p>
      <w:pPr>
        <w:pStyle w:val="null3"/>
        <w:ind w:firstLine="420"/>
      </w:pPr>
      <w:r>
        <w:rPr>
          <w:sz w:val="21"/>
          <w:color w:val="000000"/>
        </w:rPr>
        <w:t>3.</w:t>
      </w:r>
      <w:r>
        <w:rPr>
          <w:sz w:val="21"/>
          <w:color w:val="000000"/>
        </w:rPr>
        <w:t>甲方签字确认的验收（服务）报告；</w:t>
      </w:r>
    </w:p>
    <w:p>
      <w:pPr>
        <w:pStyle w:val="null3"/>
        <w:ind w:firstLine="420"/>
      </w:pPr>
      <w:r>
        <w:rPr>
          <w:sz w:val="21"/>
          <w:color w:val="000000"/>
        </w:rPr>
        <w:t>4.</w:t>
      </w:r>
      <w:r>
        <w:rPr>
          <w:sz w:val="21"/>
          <w:color w:val="000000"/>
        </w:rPr>
        <w:t>中标通知书。</w:t>
      </w:r>
    </w:p>
    <w:p>
      <w:pPr>
        <w:pStyle w:val="null3"/>
        <w:ind w:firstLine="420"/>
      </w:pPr>
      <w:r>
        <w:rPr>
          <w:sz w:val="21"/>
          <w:color w:val="000000"/>
        </w:rPr>
        <w:t>（八）乙方银行账户信息如下：</w:t>
      </w:r>
    </w:p>
    <w:p>
      <w:pPr>
        <w:pStyle w:val="null3"/>
        <w:ind w:firstLine="420"/>
      </w:pPr>
      <w:r>
        <w:rPr>
          <w:sz w:val="21"/>
          <w:color w:val="000000"/>
        </w:rPr>
        <w:t>开户名称：</w:t>
      </w:r>
    </w:p>
    <w:p>
      <w:pPr>
        <w:pStyle w:val="null3"/>
        <w:ind w:firstLine="420"/>
      </w:pPr>
      <w:r>
        <w:rPr>
          <w:sz w:val="21"/>
          <w:color w:val="000000"/>
        </w:rPr>
        <w:t>银行账号：</w:t>
      </w:r>
    </w:p>
    <w:p>
      <w:pPr>
        <w:pStyle w:val="null3"/>
        <w:ind w:firstLine="420"/>
      </w:pPr>
      <w:r>
        <w:rPr>
          <w:sz w:val="21"/>
          <w:color w:val="000000"/>
        </w:rPr>
        <w:t>纳税人识别号：</w:t>
      </w:r>
    </w:p>
    <w:p>
      <w:pPr>
        <w:pStyle w:val="null3"/>
        <w:ind w:firstLine="420"/>
      </w:pPr>
      <w:r>
        <w:rPr>
          <w:sz w:val="21"/>
          <w:color w:val="000000"/>
        </w:rPr>
        <w:t>开户行：</w:t>
      </w:r>
    </w:p>
    <w:p>
      <w:pPr>
        <w:pStyle w:val="null3"/>
      </w:pPr>
      <w:r>
        <w:rPr>
          <w:sz w:val="21"/>
          <w:b/>
          <w:color w:val="000000"/>
        </w:rPr>
        <w:t>八、解除合同与赔偿损失</w:t>
      </w:r>
    </w:p>
    <w:p>
      <w:pPr>
        <w:pStyle w:val="null3"/>
        <w:ind w:firstLine="420"/>
      </w:pPr>
      <w:r>
        <w:rPr>
          <w:sz w:val="21"/>
          <w:color w:val="000000"/>
        </w:rPr>
        <w:t>乙方出现以下情形之一的，甲方有权无条件终止和解除服务合同，并要求乙方支付预算金额</w:t>
      </w:r>
      <w:r>
        <w:rPr>
          <w:sz w:val="21"/>
          <w:color w:val="000000"/>
        </w:rPr>
        <w:t>5%</w:t>
      </w:r>
      <w:r>
        <w:rPr>
          <w:sz w:val="21"/>
          <w:color w:val="000000"/>
        </w:rPr>
        <w:t>的违约金，由此产生的甲方经济损失和法律责任由乙方承担：</w:t>
      </w:r>
    </w:p>
    <w:p>
      <w:pPr>
        <w:pStyle w:val="null3"/>
        <w:ind w:firstLine="420"/>
      </w:pPr>
      <w:r>
        <w:rPr>
          <w:sz w:val="21"/>
          <w:color w:val="000000"/>
        </w:rPr>
        <w:t>（一）乙方连续两个季度考评不合格的。</w:t>
      </w:r>
    </w:p>
    <w:p>
      <w:pPr>
        <w:pStyle w:val="null3"/>
        <w:ind w:firstLine="420"/>
      </w:pPr>
      <w:r>
        <w:rPr>
          <w:sz w:val="21"/>
          <w:color w:val="000000"/>
        </w:rPr>
        <w:t>（二）一年内出现</w:t>
      </w:r>
      <w:r>
        <w:rPr>
          <w:sz w:val="21"/>
          <w:color w:val="000000"/>
        </w:rPr>
        <w:t>3</w:t>
      </w:r>
      <w:r>
        <w:rPr>
          <w:sz w:val="21"/>
          <w:color w:val="000000"/>
        </w:rPr>
        <w:t>次标本遗漏、丢失。一年内出现</w:t>
      </w:r>
      <w:r>
        <w:rPr>
          <w:sz w:val="21"/>
          <w:color w:val="000000"/>
        </w:rPr>
        <w:t>2</w:t>
      </w:r>
      <w:r>
        <w:rPr>
          <w:sz w:val="21"/>
          <w:color w:val="000000"/>
        </w:rPr>
        <w:t>次检验误差、错误而导致甲方医疗纠纷或事故等不良后果。</w:t>
      </w:r>
    </w:p>
    <w:p>
      <w:pPr>
        <w:pStyle w:val="null3"/>
        <w:ind w:firstLine="420"/>
      </w:pPr>
      <w:r>
        <w:rPr>
          <w:sz w:val="21"/>
          <w:color w:val="000000"/>
        </w:rPr>
        <w:t>（三）其他违约责任按合同相应条款约定及《中华人民共和国民法典》的规定处理。</w:t>
      </w:r>
    </w:p>
    <w:p>
      <w:pPr>
        <w:pStyle w:val="null3"/>
      </w:pPr>
      <w:r>
        <w:rPr>
          <w:sz w:val="21"/>
          <w:b/>
          <w:color w:val="000000"/>
        </w:rPr>
        <w:t>九、服务费的扣罚</w:t>
      </w:r>
    </w:p>
    <w:p>
      <w:pPr>
        <w:pStyle w:val="null3"/>
        <w:ind w:firstLine="420"/>
      </w:pPr>
      <w:r>
        <w:rPr>
          <w:sz w:val="21"/>
          <w:color w:val="000000"/>
        </w:rPr>
        <w:t>服务费扣罚涉及的投诉类型、过错大小、事故性质、有效性的确定由甲、乙双方另行协商予以明确，个别投诉事项可以具体个案具体明确，有分歧异议的，以甲方的意见为准。</w:t>
      </w:r>
    </w:p>
    <w:p>
      <w:pPr>
        <w:pStyle w:val="null3"/>
      </w:pPr>
      <w:r>
        <w:rPr>
          <w:sz w:val="21"/>
          <w:b/>
          <w:color w:val="000000"/>
        </w:rPr>
        <w:t>十、争议的解决方式</w:t>
      </w:r>
    </w:p>
    <w:p>
      <w:pPr>
        <w:pStyle w:val="null3"/>
        <w:ind w:firstLine="420"/>
      </w:pPr>
      <w:r>
        <w:rPr>
          <w:sz w:val="21"/>
          <w:color w:val="000000"/>
        </w:rPr>
        <w:t>（一）合同执行过程中发生的任何争议，如双方不能通过友好协商解决，甲、乙双方一致同意向甲方所在地人民法院提起诉讼。诉讼过程中，除双方有争议的部分外，本合同其他部分仍然有效，双方应继续履行。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20"/>
      </w:pPr>
      <w:r>
        <w:rPr>
          <w:sz w:val="21"/>
          <w:color w:val="000000"/>
        </w:rPr>
        <w:t>（二）下列文件被认为是组成本合同的一部分，并互为补充和解释，如各部分文件内容存在不一致的，其效力和解释按下列排列次序，排列在先者优先适用：</w:t>
      </w:r>
    </w:p>
    <w:p>
      <w:pPr>
        <w:pStyle w:val="null3"/>
        <w:ind w:firstLine="420"/>
      </w:pPr>
      <w:r>
        <w:rPr>
          <w:sz w:val="21"/>
          <w:color w:val="000000"/>
        </w:rPr>
        <w:t>1.</w:t>
      </w:r>
      <w:r>
        <w:rPr>
          <w:sz w:val="21"/>
          <w:color w:val="000000"/>
        </w:rPr>
        <w:t>合同实施后的补充协议、纪要、备忘录；</w:t>
      </w:r>
    </w:p>
    <w:p>
      <w:pPr>
        <w:pStyle w:val="null3"/>
        <w:ind w:firstLine="420"/>
      </w:pPr>
      <w:r>
        <w:rPr>
          <w:sz w:val="21"/>
          <w:color w:val="000000"/>
        </w:rPr>
        <w:t>2.</w:t>
      </w:r>
      <w:r>
        <w:rPr>
          <w:sz w:val="21"/>
          <w:color w:val="000000"/>
        </w:rPr>
        <w:t>本合同及本合同附件；</w:t>
      </w:r>
    </w:p>
    <w:p>
      <w:pPr>
        <w:pStyle w:val="null3"/>
        <w:ind w:firstLine="420"/>
      </w:pPr>
      <w:r>
        <w:rPr>
          <w:sz w:val="21"/>
          <w:color w:val="000000"/>
        </w:rPr>
        <w:t>3.</w:t>
      </w:r>
      <w:r>
        <w:rPr>
          <w:sz w:val="21"/>
          <w:color w:val="000000"/>
        </w:rPr>
        <w:t>中标通知书；</w:t>
      </w:r>
    </w:p>
    <w:p>
      <w:pPr>
        <w:pStyle w:val="null3"/>
        <w:ind w:firstLine="420"/>
      </w:pPr>
      <w:r>
        <w:rPr>
          <w:sz w:val="21"/>
          <w:color w:val="000000"/>
        </w:rPr>
        <w:t>4.</w:t>
      </w:r>
      <w:r>
        <w:rPr>
          <w:sz w:val="21"/>
          <w:color w:val="000000"/>
        </w:rPr>
        <w:t>招标文件及其澄清、补充文件；</w:t>
      </w:r>
    </w:p>
    <w:p>
      <w:pPr>
        <w:pStyle w:val="null3"/>
        <w:ind w:firstLine="420"/>
      </w:pPr>
      <w:r>
        <w:rPr>
          <w:sz w:val="21"/>
          <w:color w:val="000000"/>
        </w:rPr>
        <w:t>5.</w:t>
      </w:r>
      <w:r>
        <w:rPr>
          <w:sz w:val="21"/>
          <w:color w:val="000000"/>
        </w:rPr>
        <w:t>投标文件及其澄清、补充文件；</w:t>
      </w:r>
    </w:p>
    <w:p>
      <w:pPr>
        <w:pStyle w:val="null3"/>
        <w:ind w:firstLine="420"/>
      </w:pPr>
      <w:r>
        <w:rPr>
          <w:sz w:val="21"/>
          <w:color w:val="000000"/>
        </w:rPr>
        <w:t>6.</w:t>
      </w:r>
      <w:r>
        <w:rPr>
          <w:sz w:val="21"/>
          <w:color w:val="000000"/>
        </w:rPr>
        <w:t>标准、规范和其他有关技术文件；</w:t>
      </w:r>
    </w:p>
    <w:p>
      <w:pPr>
        <w:pStyle w:val="null3"/>
        <w:ind w:firstLine="420"/>
      </w:pPr>
      <w:r>
        <w:rPr>
          <w:sz w:val="21"/>
          <w:color w:val="000000"/>
        </w:rPr>
        <w:t>（三）当合同文件出现含糊不清或不相一致，按以上排序仍不能解决的，在不影响项目合同履行进度的情况下，双方可协商解决。</w:t>
      </w:r>
    </w:p>
    <w:p>
      <w:pPr>
        <w:pStyle w:val="null3"/>
      </w:pPr>
      <w:r>
        <w:rPr>
          <w:sz w:val="21"/>
          <w:b/>
          <w:color w:val="000000"/>
        </w:rPr>
        <w:t>十一、不可抗力</w:t>
      </w:r>
    </w:p>
    <w:p>
      <w:pPr>
        <w:pStyle w:val="null3"/>
        <w:ind w:firstLine="420"/>
      </w:pPr>
      <w:r>
        <w:rPr>
          <w:sz w:val="21"/>
          <w:color w:val="000000"/>
        </w:rPr>
        <w:t>（一）不可抗力指战争、洪水、台风、地震等或其它双方认定的不可抗力事件。</w:t>
      </w:r>
    </w:p>
    <w:p>
      <w:pPr>
        <w:pStyle w:val="null3"/>
        <w:ind w:firstLine="420"/>
      </w:pPr>
      <w:r>
        <w:rPr>
          <w:sz w:val="21"/>
          <w:color w:val="000000"/>
        </w:rPr>
        <w:t>（二）任何一方由于不可抗力影响合同执行时，发生不可抗力一方应尽快将事故通知另一方。在此情况下，乙方仍然有责任采取必要的措施完成服务，双方应通过友好协商解决本合同的执行问题。</w:t>
      </w:r>
    </w:p>
    <w:p>
      <w:pPr>
        <w:pStyle w:val="null3"/>
      </w:pPr>
      <w:r>
        <w:rPr>
          <w:sz w:val="21"/>
          <w:b/>
          <w:color w:val="000000"/>
        </w:rPr>
        <w:t>十二、检查与审计</w:t>
      </w:r>
    </w:p>
    <w:p>
      <w:pPr>
        <w:pStyle w:val="null3"/>
        <w:ind w:firstLine="420"/>
      </w:pPr>
      <w:r>
        <w:rPr>
          <w:sz w:val="21"/>
          <w:color w:val="000000"/>
        </w:rPr>
        <w:t>为配合监督管理部门的检查及评估合规风险的需要，甲方有权对乙方与本合同项下有关的经营情况进行调查或审计，乙方应当积极予以配合。</w:t>
      </w:r>
    </w:p>
    <w:p>
      <w:pPr>
        <w:pStyle w:val="null3"/>
      </w:pPr>
      <w:r>
        <w:rPr>
          <w:sz w:val="21"/>
          <w:b/>
          <w:color w:val="000000"/>
        </w:rPr>
        <w:t>十三、其他事项</w:t>
      </w:r>
    </w:p>
    <w:p>
      <w:pPr>
        <w:pStyle w:val="null3"/>
        <w:ind w:firstLine="420"/>
      </w:pPr>
      <w:r>
        <w:rPr>
          <w:sz w:val="21"/>
          <w:color w:val="000000"/>
        </w:rPr>
        <w:t>（一）本合同所有附件及乙方报价文件均为合同的有效组成部分，与本合同具有同等法律效力。</w:t>
      </w:r>
    </w:p>
    <w:p>
      <w:pPr>
        <w:pStyle w:val="null3"/>
        <w:ind w:firstLine="420"/>
      </w:pPr>
      <w:r>
        <w:rPr>
          <w:sz w:val="21"/>
          <w:color w:val="000000"/>
        </w:rPr>
        <w:t>（二）在执行本合同的过程中，所有经双方签署确认的文件（包括会议纪要、补充协议、往来信函）即成为本合同的有效组成部分。</w:t>
      </w:r>
    </w:p>
    <w:p>
      <w:pPr>
        <w:pStyle w:val="null3"/>
        <w:ind w:firstLine="420"/>
      </w:pPr>
      <w:r>
        <w:rPr>
          <w:sz w:val="21"/>
          <w:color w:val="000000"/>
        </w:rPr>
        <w:t>（三）如一方地址、电话、传真号码有变更，应在变更之日起</w:t>
      </w:r>
      <w:r>
        <w:rPr>
          <w:sz w:val="21"/>
          <w:color w:val="000000"/>
        </w:rPr>
        <w:t>3</w:t>
      </w:r>
      <w:r>
        <w:rPr>
          <w:sz w:val="21"/>
          <w:color w:val="000000"/>
        </w:rPr>
        <w:t>天内书面通知对方，否则，应承担相应责任。</w:t>
      </w:r>
    </w:p>
    <w:p>
      <w:pPr>
        <w:pStyle w:val="null3"/>
        <w:ind w:firstLine="420"/>
      </w:pPr>
      <w:r>
        <w:rPr>
          <w:sz w:val="21"/>
          <w:color w:val="000000"/>
        </w:rPr>
        <w:t>（四）除甲方事先书面同意外，乙方不得部分或全部转让其应履行的合同项下的义务。</w:t>
      </w:r>
    </w:p>
    <w:p>
      <w:pPr>
        <w:pStyle w:val="null3"/>
        <w:ind w:firstLine="420"/>
      </w:pPr>
      <w:r>
        <w:rPr>
          <w:sz w:val="21"/>
          <w:color w:val="000000"/>
        </w:rPr>
        <w:t>（五）乙方对本合同履行过程中所知悉的甲方全部文件、资料、信息等负有保密义务，未经甲方书面同意，乙方不得擅自披露、泄露、使用或用于本合同约定之外的目的。</w:t>
      </w:r>
    </w:p>
    <w:p>
      <w:pPr>
        <w:pStyle w:val="null3"/>
        <w:ind w:firstLine="420"/>
      </w:pPr>
      <w:r>
        <w:rPr>
          <w:sz w:val="21"/>
          <w:color w:val="000000"/>
        </w:rPr>
        <w:t>（六）乙方应完全遵守《中华人民共和国劳动合同法》有关规定和《中华人民共和国妇女权益保障法》中关于</w:t>
      </w:r>
      <w:r>
        <w:rPr>
          <w:sz w:val="21"/>
          <w:color w:val="000000"/>
        </w:rPr>
        <w:t>“劳动和社会保障权益”的有关要求。</w:t>
      </w:r>
    </w:p>
    <w:p>
      <w:pPr>
        <w:pStyle w:val="null3"/>
      </w:pPr>
      <w:r>
        <w:rPr>
          <w:sz w:val="21"/>
          <w:b/>
          <w:color w:val="000000"/>
        </w:rPr>
        <w:t>十四、合同生效</w:t>
      </w:r>
    </w:p>
    <w:p>
      <w:pPr>
        <w:pStyle w:val="null3"/>
        <w:ind w:firstLine="420"/>
      </w:pPr>
      <w:r>
        <w:rPr>
          <w:sz w:val="21"/>
          <w:color w:val="000000"/>
        </w:rPr>
        <w:t>（一）本合同自甲乙双方单位负责人或其签约代表签字且单位盖章之日起生效。</w:t>
      </w:r>
    </w:p>
    <w:p>
      <w:pPr>
        <w:pStyle w:val="null3"/>
        <w:ind w:firstLine="420"/>
      </w:pPr>
      <w:r>
        <w:rPr>
          <w:sz w:val="21"/>
          <w:color w:val="000000"/>
        </w:rPr>
        <w:t>（二）本合同正本壹式</w:t>
      </w:r>
      <w:r>
        <w:rPr>
          <w:sz w:val="21"/>
          <w:color w:val="000000"/>
        </w:rPr>
        <w:t>___</w:t>
      </w:r>
      <w:r>
        <w:rPr>
          <w:sz w:val="21"/>
          <w:color w:val="000000"/>
        </w:rPr>
        <w:t>份，其中甲方执</w:t>
      </w:r>
      <w:r>
        <w:rPr>
          <w:sz w:val="21"/>
          <w:color w:val="000000"/>
        </w:rPr>
        <w:t>___</w:t>
      </w:r>
      <w:r>
        <w:rPr>
          <w:sz w:val="21"/>
          <w:color w:val="000000"/>
        </w:rPr>
        <w:t>份，乙方执</w:t>
      </w:r>
      <w:r>
        <w:rPr>
          <w:sz w:val="21"/>
          <w:color w:val="000000"/>
        </w:rPr>
        <w:t>___</w:t>
      </w:r>
      <w:r>
        <w:rPr>
          <w:sz w:val="21"/>
          <w:color w:val="000000"/>
        </w:rPr>
        <w:t>份。</w:t>
      </w:r>
    </w:p>
    <w:p>
      <w:pPr>
        <w:pStyle w:val="null3"/>
        <w:ind w:firstLine="422"/>
      </w:pPr>
      <w:r>
        <w:rPr>
          <w:sz w:val="21"/>
          <w:color w:val="000000"/>
        </w:rPr>
        <w:t>附件：检验服务质量季度考核表</w:t>
      </w:r>
    </w:p>
    <w:p>
      <w:pPr>
        <w:pStyle w:val="null3"/>
        <w:ind w:firstLine="422"/>
        <w:jc w:val="both"/>
      </w:pPr>
      <w:r>
        <w:rPr>
          <w:sz w:val="21"/>
          <w:color w:val="000000"/>
        </w:rPr>
        <w:t>（以下无正文，为签字盖章内容）</w:t>
      </w:r>
    </w:p>
    <w:p>
      <w:pPr>
        <w:pStyle w:val="null3"/>
        <w:ind w:firstLine="420"/>
      </w:pPr>
      <w:r>
        <w:rPr>
          <w:sz w:val="21"/>
          <w:color w:val="000000"/>
        </w:rPr>
        <w:t>甲方：广州市第一人民医院</w:t>
      </w:r>
      <w:r>
        <w:rPr>
          <w:sz w:val="21"/>
          <w:color w:val="000000"/>
        </w:rPr>
        <w:t xml:space="preserve">               </w:t>
      </w:r>
      <w:r>
        <w:rPr>
          <w:sz w:val="21"/>
          <w:color w:val="000000"/>
        </w:rPr>
        <w:t>乙方：</w:t>
      </w:r>
    </w:p>
    <w:p>
      <w:pPr>
        <w:pStyle w:val="null3"/>
        <w:ind w:firstLine="420"/>
      </w:pPr>
      <w:r>
        <w:rPr>
          <w:sz w:val="21"/>
          <w:color w:val="000000"/>
        </w:rPr>
        <w:t>单位负责人或签约代表：</w:t>
      </w:r>
      <w:r>
        <w:rPr>
          <w:sz w:val="21"/>
          <w:color w:val="000000"/>
        </w:rPr>
        <w:t xml:space="preserve">                 </w:t>
      </w:r>
      <w:r>
        <w:rPr>
          <w:sz w:val="21"/>
          <w:color w:val="000000"/>
        </w:rPr>
        <w:t>单位负责人或签约代表：</w:t>
      </w:r>
      <w:r>
        <w:rPr/>
        <w:t xml:space="preserve">         </w:t>
      </w:r>
    </w:p>
    <w:p>
      <w:pPr>
        <w:pStyle w:val="null3"/>
        <w:ind w:firstLine="420"/>
      </w:pPr>
      <w:r>
        <w:rPr>
          <w:sz w:val="21"/>
          <w:color w:val="000000"/>
        </w:rPr>
        <w:t>签订日期：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签订日期：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p>
    <w:p>
      <w:pPr>
        <w:pStyle w:val="null3"/>
        <w:ind w:firstLine="630"/>
      </w:pPr>
      <w:r>
        <w:rPr/>
        <w:t xml:space="preserve"> </w:t>
      </w:r>
    </w:p>
    <w:p>
      <w:pPr>
        <w:pStyle w:val="null3"/>
        <w:ind w:firstLine="422"/>
        <w:jc w:val="both"/>
      </w:pPr>
      <w:r>
        <w:rPr>
          <w:sz w:val="21"/>
          <w:b/>
          <w:color w:val="000000"/>
        </w:rPr>
        <w:t>附件：检验服务质量季度考核表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考核项目</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考核内容</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满分值</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扣分原则</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标本</w:t>
            </w:r>
          </w:p>
          <w:p>
            <w:pPr>
              <w:pStyle w:val="null3"/>
              <w:jc w:val="center"/>
            </w:pPr>
            <w:r>
              <w:rPr>
                <w:sz w:val="21"/>
                <w:color w:val="000000"/>
              </w:rPr>
              <w:t>接收</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标本及时接收；无出现标本遗失、丢失。</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标本未及时接收，每例</w:t>
            </w:r>
            <w:r>
              <w:rPr>
                <w:sz w:val="21"/>
                <w:color w:val="000000"/>
              </w:rPr>
              <w:t>-2分；标本遗失、标本丢失每例-5分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按规范流程进行标本登记</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未按规范进行标本登记每出现</w:t>
            </w:r>
            <w:r>
              <w:rPr>
                <w:sz w:val="21"/>
                <w:color w:val="000000"/>
              </w:rPr>
              <w:t>1例-1分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标本初检发现不合格应及时报告医院</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未及时报告医院每出现</w:t>
            </w:r>
            <w:r>
              <w:rPr>
                <w:sz w:val="21"/>
                <w:color w:val="000000"/>
              </w:rPr>
              <w:t>1例-1分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标本</w:t>
            </w:r>
          </w:p>
          <w:p>
            <w:pPr>
              <w:pStyle w:val="null3"/>
              <w:jc w:val="center"/>
            </w:pPr>
            <w:r>
              <w:rPr>
                <w:sz w:val="21"/>
                <w:color w:val="000000"/>
              </w:rPr>
              <w:t>检验</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按规定时间进行标本送检，送检过程中无出现标本遗失、丢失情况</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未按规定时间进行标本送检，每出现一例</w:t>
            </w:r>
            <w:r>
              <w:rPr>
                <w:sz w:val="21"/>
                <w:color w:val="000000"/>
              </w:rPr>
              <w:t>-2分；标本遗失、丢失每出现一例-5分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61"/>
            <w:vMerge/>
            <w:tcBorders>
              <w:top w:val="none" w:color="000000" w:sz="4"/>
              <w:left w:val="none" w:color="000000" w:sz="4"/>
              <w:bottom w:val="non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检查结果按规定时间出具</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检验结果未在规定时间出具每例</w:t>
            </w:r>
            <w:r>
              <w:rPr>
                <w:sz w:val="21"/>
                <w:color w:val="000000"/>
              </w:rPr>
              <w:t>-1分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61"/>
            <w:vMerge/>
            <w:tcBorders>
              <w:top w:val="none" w:color="000000" w:sz="4"/>
              <w:left w:val="none" w:color="000000" w:sz="4"/>
              <w:bottom w:val="non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报告单书写整洁、无错项、无漏项、签名易辨认</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报告单书写书写潦草每例</w:t>
            </w:r>
            <w:r>
              <w:rPr>
                <w:sz w:val="21"/>
                <w:color w:val="000000"/>
              </w:rPr>
              <w:t>-1分、签名无法辨认每例-1分，漏项每例-1分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661"/>
            <w:vMerge/>
            <w:tcBorders>
              <w:top w:val="none" w:color="000000" w:sz="4"/>
              <w:left w:val="none" w:color="000000" w:sz="4"/>
              <w:bottom w:val="non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报告单由具备资质的检验人员签发</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出现一例报告单签发人员资质不符合要求</w:t>
            </w:r>
            <w:r>
              <w:rPr>
                <w:sz w:val="21"/>
                <w:color w:val="000000"/>
              </w:rPr>
              <w:t>-15</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w:t>
            </w:r>
          </w:p>
          <w:p>
            <w:pPr>
              <w:pStyle w:val="null3"/>
              <w:jc w:val="center"/>
            </w:pPr>
            <w:r>
              <w:rPr>
                <w:sz w:val="21"/>
                <w:color w:val="000000"/>
              </w:rPr>
              <w:t>结果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检验结果无误差、错误</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检验结果出现</w:t>
            </w:r>
            <w:r>
              <w:rPr>
                <w:sz w:val="21"/>
                <w:color w:val="000000"/>
              </w:rPr>
              <w:t>1例误差错误不得分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检验结果及时上传，供医院查询调阅</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检验结果未及时上传每例</w:t>
            </w:r>
            <w:r>
              <w:rPr>
                <w:sz w:val="21"/>
                <w:color w:val="000000"/>
              </w:rPr>
              <w:t>-1分</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color w:val="000000"/>
        </w:rPr>
        <w:t>1</w:t>
      </w:r>
      <w:r>
        <w:rPr>
          <w:sz w:val="21"/>
          <w:color w:val="000000"/>
        </w:rPr>
        <w:t>、</w:t>
      </w:r>
      <w:r>
        <w:rPr>
          <w:sz w:val="21"/>
          <w:color w:val="000000"/>
        </w:rPr>
        <w:t>满分为</w:t>
      </w:r>
      <w:r>
        <w:rPr>
          <w:sz w:val="21"/>
          <w:color w:val="000000"/>
        </w:rPr>
        <w:t>100</w:t>
      </w:r>
      <w:r>
        <w:rPr>
          <w:sz w:val="21"/>
          <w:color w:val="000000"/>
        </w:rPr>
        <w:t>分，考核得分≥</w:t>
      </w:r>
      <w:r>
        <w:rPr>
          <w:sz w:val="21"/>
          <w:color w:val="000000"/>
        </w:rPr>
        <w:t>95</w:t>
      </w:r>
      <w:r>
        <w:rPr>
          <w:sz w:val="21"/>
          <w:color w:val="000000"/>
        </w:rPr>
        <w:t>分的为合格， 考核得分＜</w:t>
      </w:r>
      <w:r>
        <w:rPr>
          <w:sz w:val="21"/>
          <w:color w:val="000000"/>
        </w:rPr>
        <w:t>95</w:t>
      </w:r>
      <w:r>
        <w:rPr>
          <w:sz w:val="21"/>
          <w:color w:val="000000"/>
        </w:rPr>
        <w:t>分的为考核不合格，考核不合格时， 每低于合格基准分（即</w:t>
      </w:r>
      <w:r>
        <w:rPr>
          <w:sz w:val="21"/>
          <w:color w:val="000000"/>
        </w:rPr>
        <w:t>95</w:t>
      </w:r>
      <w:r>
        <w:rPr>
          <w:sz w:val="21"/>
          <w:color w:val="000000"/>
        </w:rPr>
        <w:t>分）</w:t>
      </w:r>
      <w:r>
        <w:rPr>
          <w:sz w:val="21"/>
          <w:color w:val="000000"/>
        </w:rPr>
        <w:t>1</w:t>
      </w:r>
      <w:r>
        <w:rPr>
          <w:sz w:val="21"/>
          <w:color w:val="000000"/>
        </w:rPr>
        <w:t>分值，按所考核季度总费用</w:t>
      </w:r>
      <w:r>
        <w:rPr>
          <w:sz w:val="21"/>
          <w:color w:val="000000"/>
        </w:rPr>
        <w:t>1%</w:t>
      </w:r>
      <w:r>
        <w:rPr>
          <w:sz w:val="21"/>
          <w:color w:val="000000"/>
        </w:rPr>
        <w:t>扣减费用，以此类推。</w:t>
      </w:r>
      <w:r>
        <w:rPr>
          <w:sz w:val="21"/>
          <w:color w:val="000000"/>
        </w:rPr>
        <w:t>对需整改的考评项目，甲方以书面形式向乙方发出整改通知，乙方须在接到书面通知后</w:t>
      </w:r>
      <w:r>
        <w:rPr>
          <w:sz w:val="21"/>
          <w:color w:val="000000"/>
        </w:rPr>
        <w:t>7</w:t>
      </w:r>
      <w:r>
        <w:rPr>
          <w:sz w:val="21"/>
          <w:color w:val="000000"/>
        </w:rPr>
        <w:t>天内作出整改方案及承诺，并提交甲方确认。</w:t>
      </w:r>
    </w:p>
    <w:p>
      <w:pPr>
        <w:pStyle w:val="null3"/>
        <w:jc w:val="both"/>
      </w:pPr>
      <w:r>
        <w:rPr>
          <w:sz w:val="21"/>
          <w:color w:val="000000"/>
        </w:rPr>
        <w:t>2</w:t>
      </w:r>
      <w:r>
        <w:rPr>
          <w:sz w:val="21"/>
          <w:color w:val="000000"/>
        </w:rPr>
        <w:t>、</w:t>
      </w:r>
      <w:r>
        <w:rPr>
          <w:sz w:val="21"/>
          <w:color w:val="000000"/>
        </w:rPr>
        <w:t>标本在送检过程中出现延迟、遗漏、丢失等情况，或因检验结果误差、错误而导致的医疗纠纷、事故等不良后果的，按对应检验项目当次费用的</w:t>
      </w:r>
      <w:r>
        <w:rPr>
          <w:sz w:val="21"/>
          <w:color w:val="000000"/>
        </w:rPr>
        <w:t>2</w:t>
      </w:r>
      <w:r>
        <w:rPr>
          <w:sz w:val="21"/>
          <w:color w:val="000000"/>
        </w:rPr>
        <w:t>倍扣减费用，且由此产生的赔偿责任由</w:t>
      </w:r>
      <w:r>
        <w:rPr>
          <w:sz w:val="21"/>
          <w:color w:val="000000"/>
        </w:rPr>
        <w:t>乙方</w:t>
      </w:r>
      <w:r>
        <w:rPr>
          <w:sz w:val="21"/>
          <w:color w:val="000000"/>
        </w:rPr>
        <w:t>承担。</w:t>
      </w:r>
    </w:p>
    <w:p>
      <w:pPr>
        <w:pStyle w:val="null3"/>
        <w:ind w:firstLine="420"/>
        <w:jc w:val="both"/>
      </w:pPr>
      <w:r>
        <w:rPr/>
        <w:t xml:space="preserve"> </w:t>
      </w:r>
    </w:p>
    <w:p>
      <w:pPr>
        <w:pStyle w:val="null3"/>
        <w:jc w:val="both"/>
      </w:pPr>
      <w:r>
        <w:rPr/>
        <w:t xml:space="preserve"> </w:t>
      </w:r>
    </w:p>
    <w:p>
      <w:pPr>
        <w:pStyle w:val="null3"/>
        <w:jc w:val="center"/>
      </w:pPr>
      <w:r>
        <w:rPr>
          <w:sz w:val="44"/>
          <w:b/>
          <w:color w:val="000000"/>
        </w:rPr>
        <w:t>廉洁购销合同</w:t>
      </w:r>
    </w:p>
    <w:p>
      <w:pPr>
        <w:pStyle w:val="null3"/>
      </w:pPr>
      <w:r>
        <w:rPr/>
        <w:t xml:space="preserve"> </w:t>
      </w:r>
    </w:p>
    <w:p>
      <w:pPr>
        <w:pStyle w:val="null3"/>
        <w:jc w:val="left"/>
      </w:pPr>
      <w:r>
        <w:rPr>
          <w:sz w:val="22"/>
          <w:b/>
          <w:color w:val="000000"/>
        </w:rPr>
        <w:t>甲方</w:t>
      </w:r>
      <w:r>
        <w:rPr>
          <w:sz w:val="22"/>
          <w:color w:val="000000"/>
        </w:rPr>
        <w:t>：广州市第一人民医院</w:t>
      </w:r>
    </w:p>
    <w:p>
      <w:pPr>
        <w:pStyle w:val="null3"/>
        <w:jc w:val="left"/>
      </w:pPr>
      <w:r>
        <w:rPr>
          <w:sz w:val="22"/>
          <w:b/>
          <w:color w:val="000000"/>
        </w:rPr>
        <w:t>乙方</w:t>
      </w:r>
      <w:r>
        <w:rPr>
          <w:sz w:val="22"/>
          <w:color w:val="000000"/>
        </w:rPr>
        <w:t>：</w:t>
      </w:r>
    </w:p>
    <w:p>
      <w:pPr>
        <w:pStyle w:val="null3"/>
      </w:pPr>
      <w:r>
        <w:rPr>
          <w:sz w:val="22"/>
          <w:color w:val="000000"/>
        </w:rPr>
        <w:t xml:space="preserve"> </w:t>
      </w:r>
      <w:r>
        <w:rPr>
          <w:sz w:val="22"/>
          <w:color w:val="000000"/>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40"/>
      </w:pPr>
      <w:r>
        <w:rPr>
          <w:sz w:val="22"/>
          <w:color w:val="000000"/>
        </w:rPr>
        <w:t>一、甲乙双方按照《民法典》及购销合同约定购销物资、服务、信息等产品。</w:t>
      </w:r>
    </w:p>
    <w:p>
      <w:pPr>
        <w:pStyle w:val="null3"/>
        <w:ind w:firstLine="440"/>
      </w:pPr>
      <w:r>
        <w:rPr>
          <w:sz w:val="22"/>
          <w:color w:val="000000"/>
        </w:rPr>
        <w:t>二、甲方应当严格执行购销合同验收、入库制度，对采购的产品及发票进行查验，不得违反有关规定合同外采购、违价采购或从非规定渠道采购。</w:t>
      </w:r>
    </w:p>
    <w:p>
      <w:pPr>
        <w:pStyle w:val="null3"/>
        <w:ind w:firstLine="440"/>
      </w:pPr>
      <w:r>
        <w:rPr>
          <w:sz w:val="22"/>
          <w:color w:val="000000"/>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40"/>
      </w:pPr>
      <w:r>
        <w:rPr>
          <w:sz w:val="22"/>
          <w:color w:val="000000"/>
        </w:rPr>
        <w:t>四、乙方不得以好处、宴请等方式影响甲方工作人员采购或使用产品的选择权，不得在经济活动中提供旅游、超标准支付食宿费用。</w:t>
      </w:r>
    </w:p>
    <w:p>
      <w:pPr>
        <w:pStyle w:val="null3"/>
        <w:ind w:firstLine="440"/>
      </w:pPr>
      <w:r>
        <w:rPr>
          <w:sz w:val="22"/>
          <w:color w:val="000000"/>
        </w:rPr>
        <w:t>五、乙方指定</w:t>
      </w:r>
      <w:r>
        <w:rPr>
          <w:u w:val="single"/>
        </w:rPr>
        <w:t xml:space="preserve">           </w:t>
      </w:r>
      <w:r>
        <w:rPr>
          <w:sz w:val="22"/>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40"/>
      </w:pPr>
      <w:r>
        <w:rPr>
          <w:sz w:val="22"/>
          <w:color w:val="000000"/>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2"/>
          <w:color w:val="000000"/>
          <w:shd w:fill="FFFFFF" w:val="clear"/>
        </w:rPr>
        <w:t>（国卫法制发〔</w:t>
      </w:r>
      <w:r>
        <w:rPr>
          <w:sz w:val="22"/>
          <w:color w:val="000000"/>
          <w:shd w:fill="FFFFFF" w:val="clear"/>
        </w:rPr>
        <w:t>2013〕50号）</w:t>
      </w:r>
      <w:r>
        <w:rPr>
          <w:sz w:val="22"/>
          <w:color w:val="000000"/>
        </w:rPr>
        <w:t>相关规定处理。</w:t>
      </w:r>
    </w:p>
    <w:p>
      <w:pPr>
        <w:pStyle w:val="null3"/>
        <w:ind w:firstLine="440"/>
      </w:pPr>
      <w:r>
        <w:rPr>
          <w:sz w:val="22"/>
          <w:color w:val="000000"/>
        </w:rPr>
        <w:t>七、本合同作为购销合同的重要组成部分，与购销合同一并执行，具有同等的法律效力。</w:t>
      </w:r>
    </w:p>
    <w:p>
      <w:pPr>
        <w:pStyle w:val="null3"/>
        <w:ind w:firstLine="440"/>
      </w:pPr>
      <w:r>
        <w:rPr>
          <w:sz w:val="22"/>
          <w:color w:val="000000"/>
        </w:rPr>
        <w:t>八、本合同一式三份，甲、乙双方各执一份，甲方纪检监察部门执一份，并从签订之日起生效。</w:t>
      </w:r>
    </w:p>
    <w:p>
      <w:pPr>
        <w:pStyle w:val="null3"/>
        <w:ind w:firstLine="440"/>
      </w:pPr>
      <w:r>
        <w:rPr>
          <w:sz w:val="22"/>
          <w:b/>
          <w:color w:val="000000"/>
        </w:rPr>
        <w:t>甲方（盖章）：</w:t>
      </w:r>
      <w:r>
        <w:rPr>
          <w:sz w:val="22"/>
          <w:b/>
          <w:color w:val="000000"/>
        </w:rPr>
        <w:t xml:space="preserve">                                 </w:t>
      </w:r>
      <w:r>
        <w:rPr>
          <w:sz w:val="22"/>
          <w:b/>
          <w:color w:val="000000"/>
        </w:rPr>
        <w:t>乙方（盖章）：</w:t>
      </w:r>
    </w:p>
    <w:p>
      <w:pPr>
        <w:pStyle w:val="null3"/>
      </w:pPr>
      <w:r>
        <w:rPr>
          <w:sz w:val="22"/>
          <w:b/>
          <w:color w:val="000000"/>
        </w:rPr>
        <w:t>单位负责人或签约代表：</w:t>
      </w:r>
      <w:r>
        <w:rPr>
          <w:sz w:val="22"/>
          <w:b/>
          <w:color w:val="000000"/>
        </w:rPr>
        <w:t xml:space="preserve">                        </w:t>
      </w:r>
      <w:r>
        <w:rPr>
          <w:sz w:val="22"/>
          <w:b/>
          <w:color w:val="000000"/>
        </w:rPr>
        <w:t>单位负责人或签约代表：</w:t>
      </w:r>
    </w:p>
    <w:p>
      <w:pPr>
        <w:pStyle w:val="null3"/>
      </w:pPr>
      <w:r>
        <w:rPr>
          <w:sz w:val="22"/>
          <w:b/>
          <w:color w:val="000000"/>
        </w:rPr>
        <w:t>经办人签名：</w:t>
      </w:r>
      <w:r>
        <w:rPr>
          <w:sz w:val="22"/>
          <w:b/>
          <w:color w:val="000000"/>
        </w:rPr>
        <w:t xml:space="preserve">                                   </w:t>
      </w:r>
      <w:r>
        <w:rPr>
          <w:sz w:val="22"/>
          <w:b/>
          <w:color w:val="000000"/>
        </w:rPr>
        <w:t>经办人签名：</w:t>
      </w:r>
    </w:p>
    <w:p>
      <w:pPr>
        <w:pStyle w:val="null3"/>
        <w:jc w:val="both"/>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440101-2025-13386</w:t>
      </w:r>
    </w:p>
    <w:p>
      <w:pPr>
        <w:pStyle w:val="null3"/>
        <w:jc w:val="center"/>
        <w:outlineLvl w:val="3"/>
      </w:pPr>
      <w:r>
        <w:rPr>
          <w:sz w:val="24"/>
          <w:b/>
        </w:rPr>
        <w:t>采购项目编号：</w:t>
      </w:r>
      <w:r>
        <w:rPr>
          <w:sz w:val="24"/>
          <w:b/>
        </w:rPr>
        <w:t>0724-2531Z2633819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广州市第一人民医院南沙医院病原微生物检测技术平台及部分检验外送合作项目</w:t>
      </w:r>
      <w:r>
        <w:rPr>
          <w:u w:val="single"/>
        </w:rPr>
        <w:t>”</w:t>
      </w:r>
      <w:r>
        <w:rPr/>
        <w:t>项目的招标[采购项目编号为：</w:t>
      </w:r>
      <w:r>
        <w:rPr>
          <w:u w:val="single"/>
        </w:rPr>
        <w:t>0724-2531Z2633819</w:t>
      </w:r>
      <w:r>
        <w:rPr/>
        <w:t>]，我方愿参与投标。</w:t>
      </w:r>
    </w:p>
    <w:p>
      <w:pPr>
        <w:pStyle w:val="null3"/>
        <w:ind w:firstLine="480"/>
      </w:pPr>
      <w:r>
        <w:rPr/>
        <w:t>我方确认收到贵方提供的</w:t>
      </w:r>
      <w:r>
        <w:rPr>
          <w:u w:val="single"/>
        </w:rPr>
        <w:t>“</w:t>
      </w:r>
      <w:r>
        <w:rPr>
          <w:u w:val="single"/>
        </w:rPr>
        <w:t>广州市第一人民医院南沙医院病原微生物检测技术平台及部分检验外送合作项目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广州市第一人民医院南沙医院病原微生物检测技术平台及部分检验外送合作项目</w:t>
      </w:r>
      <w:r>
        <w:rPr/>
        <w:t>”项目采购[采购项目编号为</w:t>
      </w:r>
      <w:r>
        <w:rPr/>
        <w:t>0724-2531Z2633819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广州市第一人民医院南沙医院病原微生物检测技术平台及部分检验外送合作项目</w:t>
      </w:r>
      <w:r>
        <w:rPr/>
        <w:t>招标中获中标（采购项目编号：</w:t>
      </w:r>
      <w:r>
        <w:rPr/>
        <w:t>0724-2531Z2633819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