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441401-2025-00385</w:t>
      </w:r>
    </w:p>
    <w:p>
      <w:pPr>
        <w:pStyle w:val="null3"/>
        <w:jc w:val="center"/>
        <w:outlineLvl w:val="3"/>
      </w:pPr>
      <w:r>
        <w:rPr>
          <w:sz w:val="24"/>
          <w:b/>
        </w:rPr>
        <w:t>采购项目编号：</w:t>
      </w:r>
      <w:r>
        <w:rPr>
          <w:sz w:val="24"/>
          <w:b/>
        </w:rPr>
        <w:t>0724-2531MZ271769</w:t>
      </w:r>
    </w:p>
    <w:p>
      <w:pPr>
        <w:pStyle w:val="null3"/>
        <w:jc w:val="center"/>
        <w:outlineLvl w:val="3"/>
      </w:pPr>
      <w:r>
        <w:rPr>
          <w:sz w:val="24"/>
          <w:b/>
        </w:rPr>
        <w:t>项目名称：</w:t>
      </w:r>
      <w:r>
        <w:rPr>
          <w:sz w:val="24"/>
          <w:b/>
        </w:rPr>
        <w:t>梅州市人民医院检验、病理标本外送检测服务项目(二次)</w:t>
      </w:r>
    </w:p>
    <w:p>
      <w:pPr>
        <w:pStyle w:val="null3"/>
        <w:jc w:val="center"/>
        <w:outlineLvl w:val="3"/>
      </w:pPr>
      <w:r>
        <w:rPr>
          <w:sz w:val="24"/>
          <w:b/>
        </w:rPr>
        <w:t>采购人：</w:t>
      </w:r>
      <w:r>
        <w:rPr>
          <w:sz w:val="24"/>
          <w:b/>
        </w:rPr>
        <w:t>梅州市人民医院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梅州市人民医院</w:t>
      </w:r>
      <w:r>
        <w:rPr/>
        <w:t>的委托，采用</w:t>
      </w:r>
      <w:r>
        <w:rPr/>
        <w:t>公开招标</w:t>
      </w:r>
      <w:r>
        <w:rPr/>
        <w:t>方式组织采购</w:t>
      </w:r>
      <w:r>
        <w:rPr/>
        <w:t>梅州市人民医院检验、病理标本外送检测服务项目(二次)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梅州市人民医院检验、病理标本外送检测服务项目(二次)</w:t>
      </w:r>
    </w:p>
    <w:p>
      <w:pPr>
        <w:pStyle w:val="null3"/>
        <w:ind w:firstLine="480"/>
      </w:pPr>
      <w:r>
        <w:rPr/>
        <w:t>采购计划编号：</w:t>
      </w:r>
      <w:r>
        <w:rPr/>
        <w:t>441401-2025-00385</w:t>
      </w:r>
    </w:p>
    <w:p>
      <w:pPr>
        <w:pStyle w:val="null3"/>
        <w:ind w:firstLine="480"/>
      </w:pPr>
      <w:r>
        <w:rPr/>
        <w:t>采购项目编号：</w:t>
      </w:r>
      <w:r>
        <w:rPr/>
        <w:t>0724-2531MZ271769</w:t>
      </w:r>
    </w:p>
    <w:p>
      <w:pPr>
        <w:pStyle w:val="null3"/>
        <w:ind w:firstLine="480"/>
      </w:pPr>
      <w:r>
        <w:rPr/>
        <w:t>采购方式：</w:t>
      </w:r>
      <w:r>
        <w:rPr/>
        <w:t>公开招标</w:t>
      </w:r>
    </w:p>
    <w:p>
      <w:pPr>
        <w:pStyle w:val="null3"/>
        <w:ind w:firstLine="480"/>
      </w:pPr>
      <w:r>
        <w:rPr/>
        <w:t>预算金额：</w:t>
      </w:r>
      <w:r>
        <w:rPr/>
        <w:t>3,050,000.00</w:t>
      </w:r>
      <w:r>
        <w:rPr/>
        <w:t>元</w:t>
      </w:r>
    </w:p>
    <w:p>
      <w:pPr>
        <w:pStyle w:val="null3"/>
        <w:outlineLvl w:val="3"/>
      </w:pPr>
      <w:r>
        <w:rPr>
          <w:sz w:val="24"/>
          <w:b/>
        </w:rPr>
        <w:t>2.项目内容及需求情况（采购项目技术规格、参数及要求）</w:t>
      </w:r>
    </w:p>
    <w:p>
      <w:pPr>
        <w:pStyle w:val="null3"/>
      </w:pPr>
      <w:r>
        <w:rPr/>
        <w:t>采购包1(孕妇外周血胎儿游离DNA产前筛查与诊断、全外显子组核心家系测序分析等产前检测):</w:t>
      </w:r>
    </w:p>
    <w:p>
      <w:pPr>
        <w:pStyle w:val="null3"/>
      </w:pPr>
      <w:r>
        <w:rPr/>
        <w:t>采购包预算金额：3,050,000.00元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孕妇外周血胎儿游离DNA产前筛查与诊断、全外显子组核心家系测序分析等产前检测</w:t>
            </w:r>
          </w:p>
        </w:tc>
        <w:tc>
          <w:tcPr>
            <w:tcW w:type="dxa" w:w="977"/>
          </w:tcPr>
          <w:p>
            <w:pPr>
              <w:pStyle w:val="null3"/>
            </w:pPr>
            <w:r>
              <w:rPr/>
              <w:t>2(年)</w:t>
            </w:r>
          </w:p>
        </w:tc>
        <w:tc>
          <w:tcPr>
            <w:tcW w:type="dxa" w:w="977"/>
          </w:tcPr>
          <w:p>
            <w:pPr>
              <w:pStyle w:val="null3"/>
            </w:pPr>
            <w:r>
              <w:rPr/>
              <w:t>详见第二章</w:t>
            </w:r>
          </w:p>
        </w:tc>
        <w:tc>
          <w:tcPr>
            <w:tcW w:type="dxa" w:w="977"/>
          </w:tcPr>
          <w:p>
            <w:pPr>
              <w:pStyle w:val="null3"/>
            </w:pPr>
            <w:r>
              <w:rPr/>
              <w:t>3,050,000.00</w:t>
            </w:r>
          </w:p>
        </w:tc>
        <w:tc>
          <w:tcPr>
            <w:tcW w:type="dxa" w:w="97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2）有依法缴纳税收和社会保障资金的良好记录：投标文件中提供《资格承诺函》。</w:t>
      </w:r>
    </w:p>
    <w:p>
      <w:pPr>
        <w:pStyle w:val="null3"/>
      </w:pPr>
      <w:r>
        <w:rPr/>
        <w:t>3）具有良好的商业信誉和健全的财务会计制度：投标文件中提供《资格承诺函》。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投标文件中提供《资格承诺函》。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采购包1（孕妇外周血胎儿游离DNA产前筛查与诊断、全外显子组核心家系测序分析等产前检测）：</w:t>
      </w:r>
      <w:r>
        <w:rPr/>
        <w:t>本项目不属于专门面向中小企业采购的项目。</w:t>
      </w:r>
    </w:p>
    <w:p>
      <w:pPr>
        <w:pStyle w:val="null3"/>
        <w:outlineLvl w:val="3"/>
      </w:pPr>
      <w:r>
        <w:rPr>
          <w:sz w:val="24"/>
          <w:b/>
        </w:rPr>
        <w:t>3.本项目特定的资格要求：</w:t>
      </w:r>
    </w:p>
    <w:p>
      <w:pPr>
        <w:pStyle w:val="null3"/>
      </w:pPr>
      <w:r>
        <w:rPr/>
        <w:t>采购包1（孕妇外周血胎儿游离DNA产前筛查与诊断、全外显子组核心家系测序分析等产前检测）：</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2)单位负责人为同一人或者存在直接控股、管理关系的不同供应商，不得同时参加本采购项目同一采购包投标（响应）（提供投标（报价）函承诺相关内容）。</w:t>
      </w:r>
    </w:p>
    <w:p>
      <w:pPr>
        <w:pStyle w:val="null3"/>
      </w:pPr>
      <w:r>
        <w:rPr/>
        <w:t>3)为本项目提供整体设计、规范编制或者项目管理、监理、检测等服务的供应商，不得再参与本项目投标（响应）（提供投标（报价）函承诺相关内容）。</w:t>
      </w:r>
    </w:p>
    <w:p>
      <w:pPr>
        <w:pStyle w:val="null3"/>
      </w:pPr>
      <w:r>
        <w:rPr/>
        <w:t>4)投标人具有卫生部门核发且在有效期内的《医疗机构执业许可证》，且证书的诊疗科目中要包含医学检验科或直接载明医学检验科的相关二级科目。</w:t>
      </w:r>
    </w:p>
    <w:p>
      <w:pPr>
        <w:pStyle w:val="null3"/>
      </w:pPr>
      <w:r>
        <w:rPr/>
        <w:t>5)投标人具备临床基因扩增检验实验室资质（以投标人提供的临床检验主管部门出具的批复文件或实验室认定证书或卫健委统一向社会公告的截图复印件为评审依据）。</w:t>
      </w:r>
    </w:p>
    <w:p>
      <w:pPr>
        <w:pStyle w:val="null3"/>
      </w:pPr>
      <w:r>
        <w:rPr/>
        <w:t>6)允许联合体投标，牵头方应具备《母婴保健技术服务执业许可证》(产前诊断:分子遗传、细胞遗传方向)，联合体成员应具有卫生部门核发且在有效期内的《医疗机构执业许可证》，且证书的诊疗科目中要包含医学检验科或直接载明医学检验科的相关二级科目。</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梅州市人民医院</w:t>
      </w:r>
    </w:p>
    <w:p>
      <w:pPr>
        <w:pStyle w:val="null3"/>
        <w:ind w:firstLine="480"/>
      </w:pPr>
      <w:r>
        <w:rPr/>
        <w:t xml:space="preserve"> 地址：</w:t>
      </w:r>
      <w:r>
        <w:rPr/>
        <w:t>梅州市梅江区新峰路63号</w:t>
      </w:r>
    </w:p>
    <w:p>
      <w:pPr>
        <w:pStyle w:val="null3"/>
        <w:ind w:firstLine="480"/>
      </w:pPr>
      <w:r>
        <w:rPr/>
        <w:t xml:space="preserve"> 联系方式：</w:t>
      </w:r>
      <w:r>
        <w:rPr/>
        <w:t>0753-2208390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020-37861065/37860557</w:t>
      </w:r>
    </w:p>
    <w:p>
      <w:pPr>
        <w:pStyle w:val="null3"/>
        <w:outlineLvl w:val="3"/>
      </w:pPr>
      <w:r>
        <w:rPr>
          <w:sz w:val="24"/>
          <w:b/>
        </w:rPr>
        <w:t xml:space="preserve"> 3.项目联系方式</w:t>
      </w:r>
    </w:p>
    <w:p>
      <w:pPr>
        <w:pStyle w:val="null3"/>
        <w:ind w:firstLine="480"/>
      </w:pPr>
      <w:r>
        <w:rPr/>
        <w:t xml:space="preserve"> 项目联系人：</w:t>
      </w:r>
      <w:r>
        <w:rPr/>
        <w:t>林程宏、陈超、赵亮、蔡文苑、邓冠崇</w:t>
      </w:r>
    </w:p>
    <w:p>
      <w:pPr>
        <w:pStyle w:val="null3"/>
        <w:ind w:firstLine="480"/>
      </w:pPr>
      <w:r>
        <w:rPr/>
        <w:t xml:space="preserve"> 电话：</w:t>
      </w:r>
      <w:r>
        <w:rPr/>
        <w:t>020-37861065/37860557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1.项目标的及采购限价</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040"/>
        <w:gridCol w:w="3456"/>
        <w:gridCol w:w="1340"/>
        <w:gridCol w:w="2469"/>
      </w:tblGrid>
      <w:tr>
        <w:tc>
          <w:tcPr>
            <w:tcW w:type="dxa" w:w="104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序号</w:t>
            </w:r>
          </w:p>
        </w:tc>
        <w:tc>
          <w:tcPr>
            <w:tcW w:type="dxa" w:w="345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标的名称</w:t>
            </w:r>
          </w:p>
        </w:tc>
        <w:tc>
          <w:tcPr>
            <w:tcW w:type="dxa" w:w="134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服务期</w:t>
            </w:r>
          </w:p>
        </w:tc>
        <w:tc>
          <w:tcPr>
            <w:tcW w:type="dxa" w:w="246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最高限价</w:t>
            </w:r>
            <w:r>
              <w:rPr>
                <w:sz w:val="21"/>
                <w:b/>
              </w:rPr>
              <w:t>(</w:t>
            </w:r>
            <w:r>
              <w:rPr>
                <w:sz w:val="21"/>
                <w:b/>
              </w:rPr>
              <w:t>人民币</w:t>
            </w:r>
            <w:r>
              <w:rPr>
                <w:sz w:val="21"/>
                <w:b/>
              </w:rPr>
              <w:t>)</w:t>
            </w:r>
          </w:p>
        </w:tc>
      </w:tr>
      <w:tr>
        <w:tc>
          <w:tcPr>
            <w:tcW w:type="dxa" w:w="10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345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孕妇外周血胎儿游离</w:t>
            </w:r>
            <w:r>
              <w:rPr>
                <w:sz w:val="21"/>
              </w:rPr>
              <w:t>DNA</w:t>
            </w:r>
            <w:r>
              <w:rPr>
                <w:sz w:val="21"/>
              </w:rPr>
              <w:t>产前筛查与诊断、全外显子组核心家系测序分析等产前检测</w:t>
            </w:r>
          </w:p>
        </w:tc>
        <w:tc>
          <w:tcPr>
            <w:tcW w:type="dxa" w:w="13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r>
              <w:rPr>
                <w:sz w:val="21"/>
              </w:rPr>
              <w:t>年</w:t>
            </w:r>
          </w:p>
        </w:tc>
        <w:tc>
          <w:tcPr>
            <w:tcW w:type="dxa" w:w="24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305</w:t>
            </w:r>
            <w:r>
              <w:rPr>
                <w:sz w:val="21"/>
              </w:rPr>
              <w:t>万元</w:t>
            </w:r>
          </w:p>
        </w:tc>
      </w:tr>
    </w:tbl>
    <w:p>
      <w:pPr>
        <w:pStyle w:val="null3"/>
        <w:ind w:firstLine="340"/>
        <w:jc w:val="both"/>
      </w:pPr>
      <w:r>
        <w:rPr>
          <w:sz w:val="21"/>
        </w:rPr>
        <w:t>详细技术规范请参阅招标文件中的用户需求书。投标人必须对本项目（所投包号内）全部内容进行投标报价，如有缺漏，将导致投标无效。如投标报价超出最高限价，将导致投标无效。本项目采购本国服务。</w:t>
      </w:r>
    </w:p>
    <w:p>
      <w:pPr>
        <w:pStyle w:val="null3"/>
        <w:jc w:val="both"/>
      </w:pPr>
      <w:r>
        <w:rPr>
          <w:sz w:val="21"/>
        </w:rPr>
        <w:t>2.总体要求：</w:t>
      </w:r>
    </w:p>
    <w:p>
      <w:pPr>
        <w:pStyle w:val="null3"/>
        <w:jc w:val="both"/>
      </w:pPr>
      <w:r>
        <w:rPr>
          <w:sz w:val="21"/>
        </w:rPr>
        <w:t>（1）</w:t>
      </w:r>
      <w:r>
        <w:rPr>
          <w:sz w:val="21"/>
        </w:rPr>
        <w:t>投标人必须对</w:t>
      </w:r>
      <w:r>
        <w:rPr>
          <w:sz w:val="21"/>
        </w:rPr>
        <w:t>所投包号内</w:t>
      </w:r>
      <w:r>
        <w:rPr>
          <w:sz w:val="21"/>
        </w:rPr>
        <w:t>的所有内容进行投标。</w:t>
      </w:r>
    </w:p>
    <w:p>
      <w:pPr>
        <w:pStyle w:val="null3"/>
        <w:jc w:val="both"/>
      </w:pPr>
      <w:r>
        <w:rPr>
          <w:sz w:val="21"/>
        </w:rPr>
        <w:t>（2）</w:t>
      </w:r>
      <w:r>
        <w:rPr>
          <w:sz w:val="21"/>
        </w:rPr>
        <w:t>投标人漏报的单价或每单价投标中漏报、少报的费用，视为此项费用已包含在投标中，中标后不得再向采购人收取任何费用。</w:t>
      </w:r>
    </w:p>
    <w:p>
      <w:pPr>
        <w:pStyle w:val="null3"/>
        <w:jc w:val="both"/>
      </w:pPr>
      <w:r>
        <w:rPr>
          <w:sz w:val="21"/>
        </w:rPr>
        <w:t>3.</w:t>
      </w:r>
      <w:r>
        <w:rPr>
          <w:sz w:val="21"/>
        </w:rPr>
        <w:t>需要落实的政府采购政策：《关于进一步加大政府采购支持中小企业力度的通知》（财库〔</w:t>
      </w:r>
      <w:r>
        <w:rPr>
          <w:sz w:val="21"/>
        </w:rPr>
        <w:t>2022</w:t>
      </w:r>
      <w:r>
        <w:rPr>
          <w:sz w:val="21"/>
        </w:rPr>
        <w:t>〕</w:t>
      </w:r>
      <w:r>
        <w:rPr>
          <w:sz w:val="21"/>
        </w:rPr>
        <w:t>19</w:t>
      </w:r>
      <w:r>
        <w:rPr>
          <w:sz w:val="21"/>
        </w:rPr>
        <w:t>号）、政府采购促进中小企业发展暂行办法（财库〔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jc w:val="left"/>
      </w:pPr>
      <w:r>
        <w:rPr>
          <w:sz w:val="21"/>
        </w:rPr>
        <w:t>4.</w:t>
      </w:r>
      <w:r>
        <w:rPr>
          <w:sz w:val="21"/>
        </w:rPr>
        <w:t>附件</w:t>
      </w:r>
      <w:r>
        <w:rPr>
          <w:sz w:val="21"/>
        </w:rPr>
        <w:t>1</w:t>
      </w:r>
    </w:p>
    <w:p>
      <w:pPr>
        <w:pStyle w:val="null3"/>
        <w:jc w:val="center"/>
      </w:pPr>
      <w:r>
        <w:rPr>
          <w:sz w:val="21"/>
        </w:rPr>
        <w:t>梅州市人民医院</w:t>
      </w:r>
    </w:p>
    <w:p>
      <w:pPr>
        <w:pStyle w:val="null3"/>
        <w:jc w:val="center"/>
      </w:pPr>
      <w:r>
        <w:rPr>
          <w:sz w:val="21"/>
        </w:rPr>
        <w:t>医院信息集成平台接口技术规范</w:t>
      </w:r>
    </w:p>
    <w:p>
      <w:pPr>
        <w:pStyle w:val="null3"/>
        <w:jc w:val="center"/>
      </w:pPr>
      <w:r>
        <w:rPr>
          <w:sz w:val="21"/>
        </w:rPr>
        <w:t>（概述）</w:t>
      </w:r>
    </w:p>
    <w:p>
      <w:pPr>
        <w:pStyle w:val="null3"/>
        <w:jc w:val="left"/>
      </w:pPr>
      <w:r>
        <w:rPr>
          <w:sz w:val="21"/>
        </w:rPr>
        <w:t>概述</w:t>
      </w:r>
    </w:p>
    <w:p>
      <w:pPr>
        <w:pStyle w:val="null3"/>
        <w:ind w:firstLine="420"/>
        <w:jc w:val="both"/>
      </w:pPr>
      <w:r>
        <w:rPr>
          <w:sz w:val="21"/>
        </w:rPr>
        <w:t>为满足医院信息化建设的要求，建成符合基于电子病历的医院信息平台技术规范、电子病历系统应用水平分级评价标准、互联互通标准化成熟度测评标准、医院智慧服务分级评估标准的医院信息系统，制定《梅州市人民医院集成平台标准接口技术规范》。</w:t>
      </w:r>
    </w:p>
    <w:p>
      <w:pPr>
        <w:pStyle w:val="null3"/>
        <w:ind w:firstLine="420"/>
        <w:jc w:val="both"/>
      </w:pPr>
      <w:r>
        <w:rPr>
          <w:sz w:val="21"/>
        </w:rPr>
        <w:t>本文主要包括个人信息数据交互服务、医疗卫生机构数据交互服务、医疗卫生人员数据交互服务、术语数据交互服务、就诊信息交互服务、医嘱信息交互服务等</w:t>
      </w:r>
      <w:r>
        <w:rPr>
          <w:sz w:val="21"/>
        </w:rPr>
        <w:t>12类81项交互服务以及项非标准交互服务接口规范，供各应用系统接入集成平台使用。</w:t>
      </w:r>
    </w:p>
    <w:p>
      <w:pPr>
        <w:pStyle w:val="null3"/>
        <w:numPr>
          <w:ilvl w:val="1"/>
          <w:numId w:val="1"/>
        </w:numPr>
      </w:pPr>
      <w:r>
        <w:rPr>
          <w:sz w:val="21"/>
        </w:rPr>
        <w:t>文件说明</w:t>
      </w:r>
    </w:p>
    <w:p>
      <w:pPr>
        <w:pStyle w:val="null3"/>
        <w:ind w:firstLine="420"/>
        <w:jc w:val="both"/>
      </w:pPr>
      <w:r>
        <w:rPr>
          <w:sz w:val="21"/>
        </w:rPr>
        <w:t>本文档作为梅州市人民医院集成平台的接口标准文件，描述各业务系统接入平台的相关接口的规范性文件。</w:t>
      </w:r>
    </w:p>
    <w:p>
      <w:pPr>
        <w:pStyle w:val="null3"/>
        <w:ind w:firstLine="420"/>
        <w:jc w:val="both"/>
      </w:pPr>
      <w:r>
        <w:rPr>
          <w:sz w:val="21"/>
        </w:rPr>
        <w:t>请注意本文件的某些内容可能涉及专利。本文件的发布机构不承担识别这些专利的责任。</w:t>
      </w:r>
    </w:p>
    <w:p>
      <w:pPr>
        <w:pStyle w:val="null3"/>
        <w:ind w:firstLine="420"/>
        <w:jc w:val="both"/>
      </w:pPr>
      <w:r>
        <w:rPr>
          <w:sz w:val="21"/>
        </w:rPr>
        <w:t>1.使用范围</w:t>
      </w:r>
    </w:p>
    <w:p>
      <w:pPr>
        <w:pStyle w:val="null3"/>
        <w:ind w:firstLine="420"/>
        <w:jc w:val="both"/>
      </w:pPr>
      <w:r>
        <w:rPr>
          <w:sz w:val="21"/>
        </w:rPr>
        <w:t>本文档的使用范围：梅州市人民医院集成平台项目组；其他软件研发项目组；各相关业务系统软件承建单位。</w:t>
      </w:r>
    </w:p>
    <w:p>
      <w:pPr>
        <w:pStyle w:val="null3"/>
        <w:ind w:firstLine="420"/>
        <w:jc w:val="both"/>
      </w:pPr>
      <w:r>
        <w:rPr>
          <w:sz w:val="21"/>
        </w:rPr>
        <w:t>2.规范性引用文件</w:t>
      </w:r>
    </w:p>
    <w:p>
      <w:pPr>
        <w:pStyle w:val="null3"/>
        <w:ind w:firstLine="420"/>
        <w:jc w:val="both"/>
      </w:pPr>
      <w:r>
        <w:rPr>
          <w:sz w:val="21"/>
        </w:rPr>
        <w:t>3.服务调用方式</w:t>
      </w:r>
    </w:p>
    <w:tbl>
      <w:tblPr>
        <w:tblW w:w="0" w:type="auto"/>
        <w:tblBorders>
          <w:top w:val="none" w:color="000000" w:sz="4"/>
          <w:left w:val="none" w:color="000000" w:sz="4"/>
          <w:bottom w:val="none" w:color="000000" w:sz="4"/>
          <w:right w:val="none" w:color="000000" w:sz="4"/>
          <w:insideH w:val="none"/>
          <w:insideV w:val="none"/>
        </w:tblBorders>
      </w:tblPr>
      <w:tblGrid>
        <w:gridCol w:w="1811"/>
        <w:gridCol w:w="5378"/>
        <w:gridCol w:w="1117"/>
      </w:tblGrid>
      <w:tr>
        <w:tc>
          <w:tcPr>
            <w:tcW w:type="dxa" w:w="1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标准号</w:t>
            </w:r>
          </w:p>
        </w:tc>
        <w:tc>
          <w:tcPr>
            <w:tcW w:type="dxa" w:w="5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文件名</w:t>
            </w:r>
          </w:p>
        </w:tc>
        <w:tc>
          <w:tcPr>
            <w:tcW w:type="dxa" w:w="1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版本号</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447-2014</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基于电子病历的医院信息平台技术规范</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2014</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2018</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卫生机构（组织）分类与代码</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2002</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363.1-17</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卫生信息数据元目录</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2011</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364.1-17</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卫生信息数据元值域代码</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2011</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365</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城乡居民健康档案基本数据集</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2011</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370</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卫生信息基本数据集编制规范</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2012</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371</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基本信息基本数据集</w:t>
            </w:r>
            <w:r>
              <w:rPr>
                <w:sz w:val="21"/>
              </w:rPr>
              <w:t>-个人信息</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2012</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372.1-6</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疾病管理基本数据集</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2012</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373.1-3</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医疗服务基本数据集</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2012</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445.1-17</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电子病历基本数据集</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2014</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446</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居民健康档案医学检验项目常用代码</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2013</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303</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卫生信息数据元标准化规则</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2009</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304</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卫生信息数据模式描述指南</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2009</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305</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卫生信息数据集元数据规范</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2009</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306</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卫生信息数据分类与编码规则</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2009</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447</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基于电子病历的医院信息平台技术规范</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2013</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482</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卫生信息共享文档编制规范</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2016</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500.1-53</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电子病历共享文档规范</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2016</w:t>
            </w:r>
          </w:p>
        </w:tc>
      </w:tr>
    </w:tbl>
    <w:p>
      <w:pPr>
        <w:pStyle w:val="null3"/>
        <w:ind w:firstLine="420"/>
        <w:jc w:val="both"/>
      </w:pPr>
      <w:r>
        <w:rPr>
          <w:sz w:val="21"/>
        </w:rPr>
        <w:t>（</w:t>
      </w:r>
      <w:r>
        <w:rPr>
          <w:sz w:val="21"/>
        </w:rPr>
        <w:t>1）医院信息集成平台服务地址：</w:t>
      </w:r>
      <w:r>
        <w:rPr>
          <w:sz w:val="21"/>
        </w:rPr>
        <w:t>********************</w:t>
      </w:r>
    </w:p>
    <w:p>
      <w:pPr>
        <w:pStyle w:val="null3"/>
        <w:ind w:firstLine="420"/>
        <w:jc w:val="both"/>
      </w:pPr>
      <w:r>
        <w:rPr>
          <w:sz w:val="21"/>
        </w:rPr>
        <w:t>（</w:t>
      </w:r>
      <w:r>
        <w:rPr>
          <w:sz w:val="21"/>
        </w:rPr>
        <w:t>2）请求消息如无特殊要求，一般采用如下格式：</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sz w:val="21"/>
              </w:rPr>
              <w:t>&lt;Message id="服务代码" code="互联互通标准代码" name="服务名称" appid="业务系统ID" ip="发起请求的终端的网络地址"&gt;</w:t>
            </w:r>
          </w:p>
          <w:p>
            <w:pPr>
              <w:pStyle w:val="null3"/>
              <w:jc w:val="left"/>
            </w:pPr>
            <w:r>
              <w:rPr>
                <w:sz w:val="21"/>
              </w:rPr>
              <w:t>&lt;!--请求消息内容--&gt;</w:t>
            </w:r>
          </w:p>
          <w:p>
            <w:pPr>
              <w:pStyle w:val="null3"/>
              <w:jc w:val="both"/>
            </w:pPr>
            <w:r>
              <w:rPr>
                <w:sz w:val="21"/>
              </w:rPr>
              <w:t>&lt;/Message&gt;</w:t>
            </w:r>
          </w:p>
        </w:tc>
      </w:tr>
    </w:tbl>
    <w:p>
      <w:pPr>
        <w:pStyle w:val="null3"/>
        <w:ind w:firstLine="420"/>
        <w:jc w:val="both"/>
      </w:pPr>
      <w:r>
        <w:rPr/>
        <w:t>4.技术要求</w:t>
      </w:r>
    </w:p>
    <w:p>
      <w:pPr>
        <w:pStyle w:val="null3"/>
        <w:ind w:firstLine="420"/>
        <w:jc w:val="both"/>
      </w:pPr>
      <w:r>
        <w:rPr>
          <w:sz w:val="21"/>
        </w:rPr>
        <w:t>（</w:t>
      </w:r>
      <w:r>
        <w:rPr>
          <w:sz w:val="21"/>
        </w:rPr>
        <w:t>1）如无特别说明，所有接口均采用WebService的交互方式，必须支持SOAP协议，可酌情支持HTTP GET、HTTP POST协议。</w:t>
      </w:r>
    </w:p>
    <w:p>
      <w:pPr>
        <w:pStyle w:val="null3"/>
        <w:ind w:firstLine="420"/>
        <w:jc w:val="both"/>
      </w:pPr>
      <w:r>
        <w:rPr>
          <w:sz w:val="21"/>
        </w:rPr>
        <w:t>（</w:t>
      </w:r>
      <w:r>
        <w:rPr>
          <w:sz w:val="21"/>
        </w:rPr>
        <w:t>2）数据格式如无特殊要求，一般采用XML格式。</w:t>
      </w:r>
    </w:p>
    <w:p>
      <w:pPr>
        <w:pStyle w:val="null3"/>
        <w:ind w:firstLine="420"/>
        <w:jc w:val="both"/>
      </w:pPr>
      <w:r>
        <w:rPr>
          <w:sz w:val="21"/>
        </w:rPr>
        <w:t>（</w:t>
      </w:r>
      <w:r>
        <w:rPr>
          <w:sz w:val="21"/>
        </w:rPr>
        <w:t>3）响应格式如无特殊要求，一般采用如下格式：</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sz w:val="21"/>
              </w:rPr>
              <w:t>&lt;Response&gt;</w:t>
            </w:r>
          </w:p>
          <w:p>
            <w:pPr>
              <w:pStyle w:val="null3"/>
              <w:jc w:val="left"/>
            </w:pPr>
            <w:r>
              <w:rPr>
                <w:sz w:val="21"/>
              </w:rPr>
              <w:t>&lt;Result&gt;</w:t>
            </w:r>
          </w:p>
          <w:p>
            <w:pPr>
              <w:pStyle w:val="null3"/>
              <w:jc w:val="left"/>
            </w:pPr>
            <w:r>
              <w:rPr>
                <w:sz w:val="21"/>
              </w:rPr>
              <w:t>&lt;Code&gt;结果代码，值域参照【HT00.00.001 结果代码】&lt;/Code&gt;</w:t>
            </w:r>
          </w:p>
          <w:p>
            <w:pPr>
              <w:pStyle w:val="null3"/>
              <w:jc w:val="left"/>
            </w:pPr>
            <w:r>
              <w:rPr>
                <w:sz w:val="21"/>
              </w:rPr>
              <w:t>&lt;Msg&gt;提示消息&lt;/Msg&gt;</w:t>
            </w:r>
          </w:p>
          <w:p>
            <w:pPr>
              <w:pStyle w:val="null3"/>
              <w:jc w:val="left"/>
            </w:pPr>
            <w:r>
              <w:rPr>
                <w:sz w:val="21"/>
              </w:rPr>
              <w:t>&lt;/Result&gt;</w:t>
            </w:r>
          </w:p>
          <w:p>
            <w:pPr>
              <w:pStyle w:val="null3"/>
              <w:jc w:val="left"/>
            </w:pPr>
            <w:r>
              <w:rPr>
                <w:sz w:val="21"/>
              </w:rPr>
              <w:t>&lt;Data&gt;相关数据&lt;/Data&gt;</w:t>
            </w:r>
          </w:p>
          <w:p>
            <w:pPr>
              <w:pStyle w:val="null3"/>
              <w:jc w:val="both"/>
            </w:pPr>
            <w:r>
              <w:rPr>
                <w:sz w:val="21"/>
              </w:rPr>
              <w:t>&lt;/Response&gt;</w:t>
            </w:r>
          </w:p>
        </w:tc>
      </w:tr>
    </w:tbl>
    <w:p>
      <w:pPr>
        <w:pStyle w:val="null3"/>
        <w:ind w:firstLine="420"/>
        <w:jc w:val="both"/>
      </w:pPr>
      <w:r>
        <w:rPr>
          <w:sz w:val="21"/>
        </w:rPr>
        <w:t>（</w:t>
      </w:r>
      <w:r>
        <w:rPr>
          <w:sz w:val="21"/>
        </w:rPr>
        <w:t>4）如无特别说明，日期数据格式统一为yyyy-MM-dd，时间数据格式统一为yyyy-MM-dd hh:mm:ss，</w:t>
      </w:r>
    </w:p>
    <w:p>
      <w:pPr>
        <w:pStyle w:val="null3"/>
        <w:ind w:firstLine="420"/>
        <w:jc w:val="both"/>
      </w:pPr>
      <w:r>
        <w:rPr>
          <w:sz w:val="21"/>
        </w:rPr>
        <w:t>（</w:t>
      </w:r>
      <w:r>
        <w:rPr>
          <w:sz w:val="21"/>
        </w:rPr>
        <w:t>5）如无特别说明，金额数据统一保留四位小数，其他数字类型的数据小数位最大不超过17位。</w:t>
      </w:r>
    </w:p>
    <w:p>
      <w:pPr>
        <w:pStyle w:val="null3"/>
        <w:ind w:firstLine="420"/>
        <w:jc w:val="both"/>
      </w:pPr>
      <w:r>
        <w:rPr>
          <w:sz w:val="21"/>
        </w:rPr>
        <w:t>（</w:t>
      </w:r>
      <w:r>
        <w:rPr>
          <w:sz w:val="21"/>
        </w:rPr>
        <w:t>6）如无特别说明，年龄精确到周岁。不足一周岁的精确到月，不足一月的精确到天，不足一天的精确到小时，不足一小时的按一小时计。</w:t>
      </w:r>
    </w:p>
    <w:p>
      <w:pPr>
        <w:pStyle w:val="null3"/>
        <w:ind w:firstLine="420"/>
        <w:jc w:val="both"/>
      </w:pPr>
      <w:r>
        <w:rPr>
          <w:sz w:val="21"/>
        </w:rPr>
        <w:t>（</w:t>
      </w:r>
      <w:r>
        <w:rPr>
          <w:sz w:val="21"/>
        </w:rPr>
        <w:t>7）如无特别说明，科室代码字段一律取ID。</w:t>
      </w:r>
    </w:p>
    <w:p>
      <w:pPr>
        <w:pStyle w:val="null3"/>
        <w:jc w:val="both"/>
      </w:pPr>
      <w:r>
        <w:rPr>
          <w:sz w:val="21"/>
        </w:rPr>
        <w:t>5.</w:t>
      </w:r>
      <w:r>
        <w:rPr>
          <w:sz w:val="21"/>
        </w:rPr>
        <w:t>附件</w:t>
      </w:r>
      <w:r>
        <w:rPr>
          <w:sz w:val="21"/>
        </w:rPr>
        <w:t>2</w:t>
      </w:r>
    </w:p>
    <w:p>
      <w:pPr>
        <w:pStyle w:val="null3"/>
      </w:pPr>
      <w:r>
        <w:rPr>
          <w:sz w:val="21"/>
        </w:rPr>
        <w:t xml:space="preserve">                                               检验服务质量季度考核表</w:t>
      </w:r>
    </w:p>
    <w:tbl>
      <w:tblPr>
        <w:tblW w:w="0" w:type="auto"/>
        <w:tblBorders>
          <w:top w:val="none" w:color="000000" w:sz="4"/>
          <w:left w:val="none" w:color="000000" w:sz="4"/>
          <w:bottom w:val="none" w:color="000000" w:sz="4"/>
          <w:right w:val="none" w:color="000000" w:sz="4"/>
          <w:insideH w:val="none"/>
          <w:insideV w:val="none"/>
        </w:tblBorders>
      </w:tblPr>
      <w:tblGrid>
        <w:gridCol w:w="615"/>
        <w:gridCol w:w="825"/>
        <w:gridCol w:w="2790"/>
        <w:gridCol w:w="720"/>
        <w:gridCol w:w="3060"/>
      </w:tblGrid>
      <w:tr>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2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7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满分值</w:t>
            </w:r>
          </w:p>
        </w:tc>
        <w:tc>
          <w:tcPr>
            <w:tcW w:type="dxa" w:w="30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扣分原则（不设上限）</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2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标本接收</w:t>
            </w:r>
            <w:r>
              <w:br/>
            </w:r>
            <w:r>
              <w:rPr>
                <w:sz w:val="21"/>
              </w:rPr>
              <w:t>（</w:t>
            </w:r>
            <w:r>
              <w:rPr>
                <w:sz w:val="21"/>
              </w:rPr>
              <w:t>20分）</w:t>
            </w: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标本接收是否及时、遗漏、丢失。</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标本未及时接收，每例扣</w:t>
            </w:r>
            <w:r>
              <w:rPr>
                <w:sz w:val="21"/>
              </w:rPr>
              <w:t>2分；标本遗失、标本丢失每例扣5分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25"/>
            <w:vMerge/>
            <w:tcBorders>
              <w:top w:val="none" w:color="000000" w:sz="4"/>
              <w:left w:val="none" w:color="000000" w:sz="4"/>
              <w:bottom w:val="none" w:color="000000" w:sz="4"/>
              <w:right w:val="single" w:color="000000" w:sz="4"/>
            </w:tcBorders>
          </w:tcP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是否按规范流程进行标本接收、登记和包装。</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未按规范进行标本登记每出现</w:t>
            </w:r>
            <w:r>
              <w:rPr>
                <w:sz w:val="21"/>
              </w:rPr>
              <w:t>1例扣1分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25"/>
            <w:vMerge/>
            <w:tcBorders>
              <w:top w:val="none" w:color="000000" w:sz="4"/>
              <w:left w:val="none" w:color="000000" w:sz="4"/>
              <w:bottom w:val="none" w:color="000000" w:sz="4"/>
              <w:right w:val="single" w:color="000000" w:sz="4"/>
            </w:tcBorders>
          </w:tcP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标本初检发现不合格标本是否及时通知医院。</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未及时报告医院每出现</w:t>
            </w:r>
            <w:r>
              <w:rPr>
                <w:sz w:val="21"/>
              </w:rPr>
              <w:t>1例扣1分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25"/>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标本检验及结果报告（</w:t>
            </w:r>
            <w:r>
              <w:rPr>
                <w:sz w:val="21"/>
              </w:rPr>
              <w:t>40分）</w:t>
            </w:r>
          </w:p>
          <w:p>
            <w:pPr>
              <w:pStyle w:val="null3"/>
              <w:jc w:val="center"/>
            </w:pP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标本送检过程中是否及时、遗漏、丢失。</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未按规定时间进行标本送检，每出现一例扣</w:t>
            </w:r>
            <w:r>
              <w:rPr>
                <w:sz w:val="21"/>
              </w:rPr>
              <w:t>2分；标本遗失、丢失每出现一例扣5分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25"/>
            <w:vMerge/>
            <w:tcBorders>
              <w:top w:val="single" w:color="000000" w:sz="4"/>
              <w:left w:val="none" w:color="000000" w:sz="4"/>
              <w:bottom w:val="none" w:color="000000" w:sz="4"/>
              <w:right w:val="single" w:color="000000" w:sz="4"/>
            </w:tcBorders>
          </w:tcP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报告单是否书写整洁、无错项、无漏项、签名易辨认、信息完整。</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报告单书写潦草、签名无法辨认、漏项、信息不完整每例扣</w:t>
            </w:r>
            <w:r>
              <w:rPr>
                <w:sz w:val="21"/>
              </w:rPr>
              <w:t>1分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25"/>
            <w:vMerge/>
            <w:tcBorders>
              <w:top w:val="single" w:color="000000" w:sz="4"/>
              <w:left w:val="none" w:color="000000" w:sz="4"/>
              <w:bottom w:val="none" w:color="000000" w:sz="4"/>
              <w:right w:val="single" w:color="000000" w:sz="4"/>
            </w:tcBorders>
          </w:tcP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发生设备、试剂耗材严重不良事件及其他特殊情况影响检测结果准确性或报告时限时，是否</w:t>
            </w:r>
            <w:r>
              <w:rPr>
                <w:sz w:val="21"/>
              </w:rPr>
              <w:t>4小时内通知采购人实验室并递交相应解决方案。</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未及时告知每例扣</w:t>
            </w:r>
            <w:r>
              <w:rPr>
                <w:sz w:val="21"/>
              </w:rPr>
              <w:t>2分，有告知但无解决方案每例扣2分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825"/>
            <w:vMerge/>
            <w:tcBorders>
              <w:top w:val="single" w:color="000000" w:sz="4"/>
              <w:left w:val="none" w:color="000000" w:sz="4"/>
              <w:bottom w:val="none" w:color="000000" w:sz="4"/>
              <w:right w:val="single" w:color="000000" w:sz="4"/>
            </w:tcBorders>
          </w:tcP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检验结果无差错</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检验结果出现</w:t>
            </w:r>
            <w:r>
              <w:rPr>
                <w:sz w:val="21"/>
              </w:rPr>
              <w:t>1例差错每例扣10分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25"/>
            <w:vMerge/>
            <w:tcBorders>
              <w:top w:val="single" w:color="000000" w:sz="4"/>
              <w:left w:val="none" w:color="000000" w:sz="4"/>
              <w:bottom w:val="none" w:color="000000" w:sz="4"/>
              <w:right w:val="single" w:color="000000" w:sz="4"/>
            </w:tcBorders>
          </w:tcP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检测结果存在疑</w:t>
            </w:r>
            <w:r>
              <w:rPr>
                <w:sz w:val="21"/>
              </w:rPr>
              <w:t>议</w:t>
            </w:r>
            <w:r>
              <w:rPr>
                <w:sz w:val="21"/>
              </w:rPr>
              <w:t>时，</w:t>
            </w:r>
            <w:r>
              <w:rPr>
                <w:sz w:val="21"/>
              </w:rPr>
              <w:t>是否</w:t>
            </w:r>
            <w:r>
              <w:rPr>
                <w:sz w:val="21"/>
              </w:rPr>
              <w:t>及时提供验证性检测服务</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未及时提供验证性检测服务每例扣</w:t>
            </w:r>
            <w:r>
              <w:rPr>
                <w:sz w:val="21"/>
              </w:rPr>
              <w:t>2分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825"/>
            <w:vMerge/>
            <w:tcBorders>
              <w:top w:val="single" w:color="000000" w:sz="4"/>
              <w:left w:val="none" w:color="000000" w:sz="4"/>
              <w:bottom w:val="none" w:color="000000" w:sz="4"/>
              <w:right w:val="single" w:color="000000" w:sz="4"/>
            </w:tcBorders>
          </w:tcP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检验结果是否及时报告、上传（含病理扫描切片链接），以供医院随时查询及调阅。</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检验结果未及时上传每例扣</w:t>
            </w:r>
            <w:r>
              <w:rPr>
                <w:sz w:val="21"/>
              </w:rPr>
              <w:t>1分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危急值处理</w:t>
            </w:r>
            <w:r>
              <w:br/>
            </w:r>
            <w:r>
              <w:rPr>
                <w:sz w:val="21"/>
              </w:rPr>
              <w:t>（</w:t>
            </w:r>
            <w:r>
              <w:rPr>
                <w:sz w:val="21"/>
              </w:rPr>
              <w:t>10分）</w:t>
            </w: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出现危急值结果时，检查标本是否合格情况，质控达标情况运行是否正常，并对结果进行复查后登记。是否按危急值报告流程通知医院及</w:t>
            </w:r>
            <w:r>
              <w:rPr>
                <w:sz w:val="21"/>
              </w:rPr>
              <w:t>主管</w:t>
            </w:r>
            <w:r>
              <w:rPr>
                <w:sz w:val="21"/>
              </w:rPr>
              <w:t>医师。</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危急值迟报、漏报每例扣</w:t>
            </w:r>
            <w:r>
              <w:rPr>
                <w:sz w:val="21"/>
              </w:rPr>
              <w:t>5分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82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服务响应</w:t>
            </w:r>
            <w:r>
              <w:rPr>
                <w:sz w:val="21"/>
              </w:rPr>
              <w:t>（</w:t>
            </w:r>
            <w:r>
              <w:rPr>
                <w:sz w:val="21"/>
              </w:rPr>
              <w:t>30分）</w:t>
            </w: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是否按采购人需求提供检验后样本（含病理玻片、核酸等）、原始数据等</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未提供每例扣</w:t>
            </w:r>
            <w:r>
              <w:rPr>
                <w:sz w:val="21"/>
              </w:rPr>
              <w:t>2分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25"/>
            <w:vMerge/>
            <w:tcBorders>
              <w:top w:val="none" w:color="000000" w:sz="4"/>
              <w:left w:val="none" w:color="000000" w:sz="4"/>
              <w:bottom w:val="none" w:color="000000" w:sz="4"/>
              <w:right w:val="single" w:color="000000" w:sz="4"/>
            </w:tcBorders>
          </w:tcP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是否按采购需求定期提供室间质评证书、实验室间比对结果、室内质量控制数据</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未按时提供每项目扣</w:t>
            </w:r>
            <w:r>
              <w:rPr>
                <w:sz w:val="21"/>
              </w:rPr>
              <w:t>2分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825"/>
            <w:vMerge/>
            <w:tcBorders>
              <w:top w:val="none" w:color="000000" w:sz="4"/>
              <w:left w:val="none" w:color="000000" w:sz="4"/>
              <w:bottom w:val="none" w:color="000000" w:sz="4"/>
              <w:right w:val="single" w:color="000000" w:sz="4"/>
            </w:tcBorders>
          </w:tcP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是否及时响应针对检测项目产生的投诉或其他需处理的情况</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无响应每次扣</w:t>
            </w:r>
            <w:r>
              <w:rPr>
                <w:sz w:val="21"/>
              </w:rPr>
              <w:t>5分，有响应但处理不及时导致不良后果每次扣2分</w:t>
            </w:r>
          </w:p>
        </w:tc>
      </w:tr>
      <w:tr>
        <w:tc>
          <w:tcPr>
            <w:tcW w:type="dxa" w:w="423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采购包1（孕妇外周血胎儿游离DNA产前筛查与诊断、全外显子组核心家系测序分析等产前检测）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服务期2年（具体以签订合同时间为准），服务期内如结算金额达到预算金额时即合同终止。</w:t>
            </w:r>
          </w:p>
        </w:tc>
      </w:tr>
      <w:tr>
        <w:tc>
          <w:tcPr>
            <w:tcW w:type="dxa" w:w="4153"/>
          </w:tcPr>
          <w:p>
            <w:pPr>
              <w:pStyle w:val="null3"/>
            </w:pPr>
            <w:r>
              <w:rPr/>
              <w:t>标的提供的地点</w:t>
            </w:r>
          </w:p>
        </w:tc>
        <w:tc>
          <w:tcPr>
            <w:tcW w:type="dxa" w:w="4153"/>
          </w:tcPr>
          <w:p>
            <w:pPr>
              <w:pStyle w:val="null3"/>
            </w:pPr>
            <w:r>
              <w:rPr/>
              <w:t>梅州市人民医院</w:t>
            </w:r>
          </w:p>
        </w:tc>
      </w:tr>
      <w:tr/>
      <w:tr/>
      <w:tr>
        <w:tc>
          <w:tcPr>
            <w:tcW w:type="dxa" w:w="4153"/>
          </w:tcPr>
          <w:p>
            <w:pPr>
              <w:pStyle w:val="null3"/>
            </w:pPr>
            <w:r>
              <w:rPr/>
              <w:t>付款方式</w:t>
            </w:r>
          </w:p>
        </w:tc>
        <w:tc>
          <w:tcPr>
            <w:tcW w:type="dxa" w:w="4153"/>
          </w:tcPr>
          <w:p>
            <w:pPr>
              <w:pStyle w:val="null3"/>
            </w:pPr>
            <w:r>
              <w:rPr/>
              <w:t>第1期为(进度款)：支付比例100%，按实际完成的外送检测项目和数量进行季度结算。实际结算金额=∑（外送检测项目梅州市最新核准公布的收费标准×供应商折扣率×项目数量）。如服务期内有新的政策法规调整，则以最新的规定为准，结算也以最新价格标准结算。 双方凭采购人信息管理系统统计的业务数据按季度出具结算对账清单，双方须于下一季度结束前确认对账清单是否有误，对账单确认无误后双方签字；供应商向采购人提供上季度相应检测服务费用的服务发票，采购人在收到供应商准确有效的发票后，30日内支付款项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1期：采购人和中标人共同验收、现场验收。具体根据招投标文件约定及合同要求进行。履约验收程序至少应做到以下两点： 一、中标人提供验收所需资料，协助采购人开展验收。 二、履约验收程序应根据本项目的服务交付要求和中标人的承诺进行验收。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投标有效期，从提交投标（响应）文件的截止之日起90日历天。</w:t>
            </w:r>
          </w:p>
          <w:p>
            <w:pPr>
              <w:pStyle w:val="null3"/>
            </w:pPr>
            <w:r>
              <w:rPr/>
              <w:t>价格要求，本次项目报价以《梅州市城市公立医院医疗服务项目价格》的收费标准为基准，供应商进行折扣率的报价。供应商的折扣率报价为0＜供应商折扣率≤45%。报价包括但不限于：完成本次招标所有服务内容的费用，包括人工费、检验费、材料费、设备使用费、样本运输费、各种税务费、必须的辅助材料费及合同实施过程中不可预见费用等全部费用。采购人不保证供应商的业务量和业务收入。</w:t>
            </w:r>
          </w:p>
          <w:p>
            <w:pPr>
              <w:pStyle w:val="null3"/>
            </w:pPr>
            <w:r>
              <w:rPr/>
              <w:t>分包要求，本项目不允许分包或转包</w:t>
            </w:r>
          </w:p>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孕妇外周血胎儿游离DNA产前筛查与诊断、全外显子组核心家系测序分析等产前检测</w:t>
            </w:r>
          </w:p>
        </w:tc>
        <w:tc>
          <w:tcPr>
            <w:tcW w:type="dxa" w:w="831"/>
          </w:tcPr>
          <w:p>
            <w:pPr>
              <w:pStyle w:val="null3"/>
              <w:jc w:val="left"/>
            </w:pPr>
            <w:r>
              <w:rPr/>
              <w:t>年</w:t>
            </w:r>
          </w:p>
        </w:tc>
        <w:tc>
          <w:tcPr>
            <w:tcW w:type="dxa" w:w="831"/>
          </w:tcPr>
          <w:p>
            <w:pPr>
              <w:pStyle w:val="null3"/>
              <w:jc w:val="right"/>
            </w:pPr>
            <w:r>
              <w:rPr/>
              <w:t>2.00</w:t>
            </w:r>
          </w:p>
        </w:tc>
        <w:tc>
          <w:tcPr>
            <w:tcW w:type="dxa" w:w="831"/>
          </w:tcPr>
          <w:p>
            <w:pPr>
              <w:pStyle w:val="null3"/>
              <w:jc w:val="right"/>
            </w:pPr>
            <w:r>
              <w:rPr/>
              <w:t>1,525,000.00</w:t>
            </w:r>
          </w:p>
        </w:tc>
        <w:tc>
          <w:tcPr>
            <w:tcW w:type="dxa" w:w="831"/>
          </w:tcPr>
          <w:p>
            <w:pPr>
              <w:pStyle w:val="null3"/>
              <w:jc w:val="right"/>
            </w:pPr>
            <w:r>
              <w:rPr/>
              <w:t>3,050,000.00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孕妇外周血胎儿游离DNA产前筛查与诊断、全外显子组核心家系测序分析等产前检测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实验室应符合国家卫健委《医疗机构临床实验室管理办法》等法律法规要求。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技术人员具备相应的专业技术职称和执业资格证书；特殊岗位技术人员应按规范要求接受培训取得相应资质（1.基因检测项目技术人员需持省级或以上临检中心颁发的临床基因扩增检验实验室（PCR）上岗培训证书；2.产前诊断项目技术人员需持有《母婴保健技术考核合格证书》（分子遗传、细胞遗传方向）。</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供应商安排专人每周一、周四上午12时前往医院收取标本，如遇法定节假日，双方协商。如遇特殊标本，可机动收取。</w:t>
            </w:r>
          </w:p>
        </w:tc>
      </w:tr>
      <w:tr>
        <w:tc>
          <w:tcPr>
            <w:tcW w:type="dxa" w:w="2076"/>
          </w:tcPr>
          <w:p/>
        </w:tc>
        <w:tc>
          <w:tcPr>
            <w:tcW w:type="dxa" w:w="415"/>
          </w:tcPr>
          <w:p>
            <w:pPr>
              <w:pStyle w:val="null3"/>
            </w:pPr>
            <w:r>
              <w:rPr/>
              <w:t>4</w:t>
            </w:r>
          </w:p>
        </w:tc>
        <w:tc>
          <w:tcPr>
            <w:tcW w:type="dxa" w:w="5814"/>
          </w:tcPr>
          <w:p>
            <w:pPr>
              <w:pStyle w:val="null3"/>
            </w:pPr>
            <w:r>
              <w:rPr/>
              <w:t>提供外送样本采集的相关要求，必要时提供培训。</w:t>
            </w:r>
          </w:p>
        </w:tc>
      </w:tr>
      <w:tr>
        <w:tc>
          <w:tcPr>
            <w:tcW w:type="dxa" w:w="2076"/>
          </w:tcPr>
          <w:p/>
        </w:tc>
        <w:tc>
          <w:tcPr>
            <w:tcW w:type="dxa" w:w="415"/>
          </w:tcPr>
          <w:p>
            <w:pPr>
              <w:pStyle w:val="null3"/>
            </w:pPr>
            <w:r>
              <w:rPr/>
              <w:t>5</w:t>
            </w:r>
          </w:p>
        </w:tc>
        <w:tc>
          <w:tcPr>
            <w:tcW w:type="dxa" w:w="5814"/>
          </w:tcPr>
          <w:p>
            <w:pPr>
              <w:pStyle w:val="null3"/>
            </w:pPr>
            <w:r>
              <w:rPr/>
              <w:t>提供外送样本采集所需要的相关辅助材料。</w:t>
            </w:r>
          </w:p>
        </w:tc>
      </w:tr>
      <w:tr>
        <w:tc>
          <w:tcPr>
            <w:tcW w:type="dxa" w:w="2076"/>
          </w:tcPr>
          <w:p/>
        </w:tc>
        <w:tc>
          <w:tcPr>
            <w:tcW w:type="dxa" w:w="415"/>
          </w:tcPr>
          <w:p>
            <w:pPr>
              <w:pStyle w:val="null3"/>
            </w:pPr>
            <w:r>
              <w:rPr/>
              <w:t>6</w:t>
            </w:r>
          </w:p>
        </w:tc>
        <w:tc>
          <w:tcPr>
            <w:tcW w:type="dxa" w:w="5814"/>
          </w:tcPr>
          <w:p>
            <w:pPr>
              <w:pStyle w:val="null3"/>
            </w:pPr>
            <w:r>
              <w:rPr/>
              <w:t>有完整的交接和核对记录，包括但不限于知情同意书、专用申请单、样本交接单等。</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不合格标本应及时与采购人进行临床沟通并做好记录。每月汇总标本收取过程中遇到的问题，反馈给采购人实验室。</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供应商具备专业的物流团队，按采购人要求提供标本接收的物流服务。具备完善的冷链物流运输系统,物流系统应符合《GB/T 42186-2022 医学检验生物标本冷链物流运作规范》，以保证标本接收、送检运输过程的安全与规范，保证标本的检测前质量，确保运输过程的样品质量和环境安全。</w:t>
            </w:r>
          </w:p>
        </w:tc>
      </w:tr>
      <w:tr>
        <w:tc>
          <w:tcPr>
            <w:tcW w:type="dxa" w:w="2076"/>
          </w:tcPr>
          <w:p/>
        </w:tc>
        <w:tc>
          <w:tcPr>
            <w:tcW w:type="dxa" w:w="415"/>
          </w:tcPr>
          <w:p>
            <w:pPr>
              <w:pStyle w:val="null3"/>
            </w:pPr>
            <w:r>
              <w:rPr/>
              <w:t>9</w:t>
            </w:r>
          </w:p>
        </w:tc>
        <w:tc>
          <w:tcPr>
            <w:tcW w:type="dxa" w:w="5814"/>
          </w:tcPr>
          <w:p>
            <w:pPr>
              <w:pStyle w:val="null3"/>
            </w:pPr>
            <w:r>
              <w:rPr/>
              <w:t>（1）标本运输须要求直立、冷藏、封闭、标识清晰，符合生物安全要求。根据不同标本类型设定温度，保持温度稳定；（2）使用符合标准的包装材料，标识清晰；（3）运输过程有实时跟踪并记录运输信息，确保运输过程的样品质量和环境安全；（4）有运输时间管理，确保从样品采集到处理之间的时间适用于申请的检验；（5）有制定应对运输过程中可能出现的突发情况的应急处理预案。</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有完善的样本管理制度。确保样本在采集、运输、保存和检测等各个环节中不受污染、不变质。样本的所有权归采购人所有，未经许可不得挪作他用。在国家相关法律法规框架范围内，能够按采购人要求妥善保存及销毁或退还检验后的样本（包括但不限于血液样本、样本提取后的核酸）。</w:t>
            </w:r>
          </w:p>
        </w:tc>
      </w:tr>
      <w:tr>
        <w:tc>
          <w:tcPr>
            <w:tcW w:type="dxa" w:w="2076"/>
          </w:tcPr>
          <w:p/>
        </w:tc>
        <w:tc>
          <w:tcPr>
            <w:tcW w:type="dxa" w:w="415"/>
          </w:tcPr>
          <w:p>
            <w:pPr>
              <w:pStyle w:val="null3"/>
            </w:pPr>
            <w:r>
              <w:rPr/>
              <w:t>11</w:t>
            </w:r>
          </w:p>
        </w:tc>
        <w:tc>
          <w:tcPr>
            <w:tcW w:type="dxa" w:w="5814"/>
          </w:tcPr>
          <w:p>
            <w:pPr>
              <w:pStyle w:val="null3"/>
            </w:pPr>
            <w:r>
              <w:rPr/>
              <w:t>样品留置要求：样本收取后至待检过程中的留置存储均需按照相关国家法律法规及相关行业的要求进行处理，并制定完善的留置方案。供应商检测后的剩余样本（如有），由供应商按照相关国家法律法规、广东省产前诊断质量评估标准及其他相关行业规定的标准进行保存期限内的保存和处置。</w:t>
            </w:r>
          </w:p>
        </w:tc>
      </w:tr>
      <w:tr>
        <w:tc>
          <w:tcPr>
            <w:tcW w:type="dxa" w:w="2076"/>
          </w:tcPr>
          <w:p/>
        </w:tc>
        <w:tc>
          <w:tcPr>
            <w:tcW w:type="dxa" w:w="415"/>
          </w:tcPr>
          <w:p>
            <w:pPr>
              <w:pStyle w:val="null3"/>
            </w:pPr>
            <w:r>
              <w:rPr/>
              <w:t>12</w:t>
            </w:r>
          </w:p>
        </w:tc>
        <w:tc>
          <w:tcPr>
            <w:tcW w:type="dxa" w:w="5814"/>
          </w:tcPr>
          <w:p>
            <w:pPr>
              <w:pStyle w:val="null3"/>
            </w:pPr>
            <w:r>
              <w:rPr/>
              <w:t>应当按照国家或行业认可的标准检测方法。能提供检验程序的性能验证/确认报告。</w:t>
            </w:r>
          </w:p>
        </w:tc>
      </w:tr>
      <w:tr>
        <w:tc>
          <w:tcPr>
            <w:tcW w:type="dxa" w:w="2076"/>
          </w:tcPr>
          <w:p/>
        </w:tc>
        <w:tc>
          <w:tcPr>
            <w:tcW w:type="dxa" w:w="415"/>
          </w:tcPr>
          <w:p>
            <w:pPr>
              <w:pStyle w:val="null3"/>
            </w:pPr>
            <w:r>
              <w:rPr/>
              <w:t>13</w:t>
            </w:r>
          </w:p>
        </w:tc>
        <w:tc>
          <w:tcPr>
            <w:tcW w:type="dxa" w:w="5814"/>
          </w:tcPr>
          <w:p>
            <w:pPr>
              <w:pStyle w:val="null3"/>
            </w:pPr>
            <w:r>
              <w:rPr/>
              <w:t>有完善的设备管理程序。确保设备的正常运行并防止污染或损坏，能提供设备使用的相关记录。定期对检测设备进行校准，确保设备的准确性和精密度。设备应由经过培训、能力评估合格并授权的人员操作。如发生设备严重不良事件影响检测结果准确性或报告时限时，应4小时内通知采购人实验室，并递交相应解决方案。</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有完善的试剂耗材管理程序。应使用质量符合国家管理规范的试剂和耗材，确保满足检测要求。如使用临床实验室自建检测（Laboratory developed test, 简称“LDT”）体系，应确保试剂性能参数符合国家质量管理规范、行业标准且满足临床诊疗的需求。如采购人有需要，应能提供试剂耗材的性能评估和验收记录。如发生试剂耗材严重不良事件影响检测结果准确性或报告时限时，应4小时内通知采购人实验室，并递交相应解决方案。</w:t>
            </w:r>
          </w:p>
        </w:tc>
      </w:tr>
      <w:tr>
        <w:tc>
          <w:tcPr>
            <w:tcW w:type="dxa" w:w="2076"/>
          </w:tcPr>
          <w:p/>
        </w:tc>
        <w:tc>
          <w:tcPr>
            <w:tcW w:type="dxa" w:w="415"/>
          </w:tcPr>
          <w:p>
            <w:pPr>
              <w:pStyle w:val="null3"/>
            </w:pPr>
            <w:r>
              <w:rPr/>
              <w:t>15</w:t>
            </w:r>
          </w:p>
        </w:tc>
        <w:tc>
          <w:tcPr>
            <w:tcW w:type="dxa" w:w="5814"/>
          </w:tcPr>
          <w:p>
            <w:pPr>
              <w:pStyle w:val="null3"/>
            </w:pPr>
            <w:r>
              <w:rPr/>
              <w:t>有完善的人员管理制度。定期对技术人员进行专业技能培训和能力评估、授权上岗。检测人员应严格按照标准操作程序进行检测操作，确保操作的准确性和规范性。</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实验室应具有室内质量控制程序。根据国家相关管理规定、行业标准、专家共识及相关指南，开展室内质量控制以确保检验结果的准确性和有效性。接受采购人对其送检项目的室内质量控制数据的抽查；对质控数据进行统计分析并撰写质控报告，供采购人查阅；有持续改进措施，确保质量指标稳中向好。</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出具规范、清晰、完整的检测报告，包含样本信息、检测项目、方法、结果、单位、参考结果范围、异常结果的解释、检测日期、报告日期、检测机构名称等信息。如医院对检测结果存在疑议，供应商应及时提供咨询、解释、验证性检测服务并出具报告。</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应参加外部质量控制活动且成绩为“合格”或“通过”，如国家或省卫健委临床检验中心组织的室间质量评价；针对无室间质量评价的项目，应与通过ISO15189实验室进行实验室间比对。</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接受采购人对送检项目检测流程的现场考核，确保质量管理体系处于有效运行状态。</w:t>
            </w:r>
          </w:p>
        </w:tc>
      </w:tr>
      <w:tr>
        <w:tc>
          <w:tcPr>
            <w:tcW w:type="dxa" w:w="2076"/>
          </w:tcPr>
          <w:p/>
        </w:tc>
        <w:tc>
          <w:tcPr>
            <w:tcW w:type="dxa" w:w="415"/>
          </w:tcPr>
          <w:p>
            <w:pPr>
              <w:pStyle w:val="null3"/>
            </w:pPr>
            <w:r>
              <w:rPr/>
              <w:t>20</w:t>
            </w:r>
          </w:p>
        </w:tc>
        <w:tc>
          <w:tcPr>
            <w:tcW w:type="dxa" w:w="5814"/>
          </w:tcPr>
          <w:p>
            <w:pPr>
              <w:pStyle w:val="null3"/>
            </w:pPr>
            <w:r>
              <w:rPr/>
              <w:t>应有外部机构的质量监督记录，接受采购人对质量监督记录的查阅。</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有明确的样本送检和报告发布时间。</w:t>
            </w:r>
          </w:p>
        </w:tc>
      </w:tr>
      <w:tr>
        <w:tc>
          <w:tcPr>
            <w:tcW w:type="dxa" w:w="2076"/>
          </w:tcPr>
          <w:p/>
        </w:tc>
        <w:tc>
          <w:tcPr>
            <w:tcW w:type="dxa" w:w="415"/>
          </w:tcPr>
          <w:p>
            <w:pPr>
              <w:pStyle w:val="null3"/>
            </w:pPr>
            <w:r>
              <w:rPr/>
              <w:t>22</w:t>
            </w:r>
          </w:p>
        </w:tc>
        <w:tc>
          <w:tcPr>
            <w:tcW w:type="dxa" w:w="5814"/>
          </w:tcPr>
          <w:p>
            <w:pPr>
              <w:pStyle w:val="null3"/>
            </w:pPr>
            <w:r>
              <w:rPr/>
              <w:t>样本周转时间起点为供应商接收样本，终点为采购人医院信息系统端收到检验报告。</w:t>
            </w:r>
          </w:p>
        </w:tc>
      </w:tr>
      <w:tr>
        <w:tc>
          <w:tcPr>
            <w:tcW w:type="dxa" w:w="2076"/>
          </w:tcPr>
          <w:p/>
        </w:tc>
        <w:tc>
          <w:tcPr>
            <w:tcW w:type="dxa" w:w="415"/>
          </w:tcPr>
          <w:p>
            <w:pPr>
              <w:pStyle w:val="null3"/>
            </w:pPr>
            <w:r>
              <w:rPr/>
              <w:t>23</w:t>
            </w:r>
          </w:p>
        </w:tc>
        <w:tc>
          <w:tcPr>
            <w:tcW w:type="dxa" w:w="5814"/>
          </w:tcPr>
          <w:p>
            <w:pPr>
              <w:pStyle w:val="null3"/>
            </w:pPr>
            <w:r>
              <w:rPr/>
              <w:t>出现特殊情况，如恶劣天气等突发情况，导致不能按时发出报告，应4小时内通知采购人，并递交相应解决方案。</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有完善的临床实验室危急值报告流程，对于纳入危急值报告管理的项目，出现危急值时应快速准确报告采购人。</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具备完善的数据管理系统，系统与梅州市人民医院信息系统集成平台无缝对接，符合《梅州市人民医院集成平台标准接口技术规范》（见附件1）的全部要求。确保采购人的相关医务人员可以随时调阅。可实现检验项目的多终端查询，包括网页端、手机端等，对紧急报告可提供口头报告或邮件报告等形式。</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确保数据的安全性，未经授权不得泄露客户的检测数据和相关信息，对检测数据进行安全、有效管理。检测数据的所有权归采购人所有，未经许可不得挪作他用。</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供应商应具有数据传输验证程序，保证数据传输的准确性和一致性。</w:t>
            </w:r>
          </w:p>
        </w:tc>
      </w:tr>
      <w:tr>
        <w:tc>
          <w:tcPr>
            <w:tcW w:type="dxa" w:w="2076"/>
          </w:tcPr>
          <w:p/>
        </w:tc>
        <w:tc>
          <w:tcPr>
            <w:tcW w:type="dxa" w:w="415"/>
          </w:tcPr>
          <w:p>
            <w:pPr>
              <w:pStyle w:val="null3"/>
            </w:pPr>
            <w:r>
              <w:rPr/>
              <w:t>28</w:t>
            </w:r>
          </w:p>
        </w:tc>
        <w:tc>
          <w:tcPr>
            <w:tcW w:type="dxa" w:w="5814"/>
          </w:tcPr>
          <w:p>
            <w:pPr>
              <w:pStyle w:val="null3"/>
            </w:pPr>
            <w:r>
              <w:rPr/>
              <w:t>数据及时进行备份，防止丢失；应有原始数据保存的标准操作程序文件，原始数据保存时限应不低于10年。</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如采购人有需求，供应商需要配合提供和协助整理分析采购人送检标本的检测数据。</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对于检测过程中出现的问题和异常情况，能及时与采购人进行沟通和处理，并保留相关记录。</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对于可能影响检验结果的任何变更，应及时通知采购人，征得同意后方可变更。</w:t>
            </w:r>
          </w:p>
        </w:tc>
      </w:tr>
      <w:tr>
        <w:tc>
          <w:tcPr>
            <w:tcW w:type="dxa" w:w="2076"/>
          </w:tcPr>
          <w:p>
            <w:pPr>
              <w:pStyle w:val="null3"/>
            </w:pPr>
            <w:r>
              <w:rPr/>
              <w:t>★</w:t>
            </w:r>
          </w:p>
        </w:tc>
        <w:tc>
          <w:tcPr>
            <w:tcW w:type="dxa" w:w="415"/>
          </w:tcPr>
          <w:p>
            <w:pPr>
              <w:pStyle w:val="null3"/>
            </w:pPr>
            <w:r>
              <w:rPr/>
              <w:t>32</w:t>
            </w:r>
          </w:p>
        </w:tc>
        <w:tc>
          <w:tcPr>
            <w:tcW w:type="dxa" w:w="5814"/>
          </w:tcPr>
          <w:p>
            <w:pPr>
              <w:pStyle w:val="null3"/>
            </w:pPr>
            <w:r>
              <w:rPr/>
              <w:t>每月上旬应提供上个月的室内质量控制数据，每年第一季度应提供去年室间质评证书、实验室间比对记录等。</w:t>
            </w:r>
          </w:p>
        </w:tc>
      </w:tr>
      <w:tr>
        <w:tc>
          <w:tcPr>
            <w:tcW w:type="dxa" w:w="2076"/>
          </w:tcPr>
          <w:p/>
        </w:tc>
        <w:tc>
          <w:tcPr>
            <w:tcW w:type="dxa" w:w="415"/>
          </w:tcPr>
          <w:p>
            <w:pPr>
              <w:pStyle w:val="null3"/>
            </w:pPr>
            <w:r>
              <w:rPr/>
              <w:t>33</w:t>
            </w:r>
          </w:p>
        </w:tc>
        <w:tc>
          <w:tcPr>
            <w:tcW w:type="dxa" w:w="5814"/>
          </w:tcPr>
          <w:p>
            <w:pPr>
              <w:pStyle w:val="null3"/>
            </w:pPr>
            <w:r>
              <w:rPr/>
              <w:t>有完善快速的客户服务反应机制。如有针对检测项目产生的投诉或其他需处理的情况，供应商应及时沟通、处理；若由检测项目引起的、主要针对采购人的投诉或需处理的情况，供应商有义务协助采购人及时进行处理。</w:t>
            </w:r>
          </w:p>
        </w:tc>
      </w:tr>
      <w:tr>
        <w:tc>
          <w:tcPr>
            <w:tcW w:type="dxa" w:w="2076"/>
          </w:tcPr>
          <w:p/>
        </w:tc>
        <w:tc>
          <w:tcPr>
            <w:tcW w:type="dxa" w:w="415"/>
          </w:tcPr>
          <w:p>
            <w:pPr>
              <w:pStyle w:val="null3"/>
            </w:pPr>
            <w:r>
              <w:rPr/>
              <w:t>34</w:t>
            </w:r>
          </w:p>
        </w:tc>
        <w:tc>
          <w:tcPr>
            <w:tcW w:type="dxa" w:w="5814"/>
          </w:tcPr>
          <w:p>
            <w:pPr>
              <w:pStyle w:val="null3"/>
            </w:pPr>
            <w:r>
              <w:rPr/>
              <w:t>供应商根据采购人具体情况定制培训。</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严禁供应商私下接收采购人临床科室的检验检查标本，所有外送项目均需通过采购人院内流程才可开展。如有违反，采购人有权单方终止合同。</w:t>
            </w:r>
          </w:p>
        </w:tc>
      </w:tr>
      <w:tr>
        <w:tc>
          <w:tcPr>
            <w:tcW w:type="dxa" w:w="2076"/>
          </w:tcPr>
          <w:p/>
        </w:tc>
        <w:tc>
          <w:tcPr>
            <w:tcW w:type="dxa" w:w="415"/>
          </w:tcPr>
          <w:p>
            <w:pPr>
              <w:pStyle w:val="null3"/>
            </w:pPr>
            <w:r>
              <w:rPr/>
              <w:t>36</w:t>
            </w:r>
          </w:p>
        </w:tc>
        <w:tc>
          <w:tcPr>
            <w:tcW w:type="dxa" w:w="5814"/>
          </w:tcPr>
          <w:p>
            <w:pPr>
              <w:pStyle w:val="null3"/>
            </w:pPr>
            <w:r>
              <w:rPr/>
              <w:t>考核机制（见附件2：检验服务质量季度考核表）：每季度对供应商的服务质量进行季度考核并根据考核结果扣罚供应商的服务费，考核项目及考核内容详见“附件2：检验服务质量季度考核表”。满分为100分，考核得分≥90分的为合格，考核得分&lt;90分的为不合格。考核不合格时，每低于合格基准分（即90分）1分值，按考核季度总费用1%扣减费用，以此类推。季度服务质量连续三个月低于90分或出现季度服务质量低于80分，采购人并有权单方解除合同并报政府采购监管部门，造成的损失由中标人承担。对需整改的考评项目，甲方以书面形式向乙方发出整改通知，乙方须在接到书面通知后7天内作出整改方案及承诺，并提交甲方确认。</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项目名称：全外显子组核心家系测序分析 收费编码：250700031F 1.检测方法：目标区域捕获+高通量测序法； 2.标本类型：外周全血、组织、羊水、脐带血样本等； 3.检测要求： 3.1包含人类基因组2万多个基因（不包括线粒体基因组）约18万个外显子及侧翼20bp的点突变、小的缺失插入突变（20bp以内）（准确率为99%以上）； 3.2外显子水平的缺失重复变异（包括SMN1基因7号外显子的缺失情况）（检测准确率为95%以上）； 3.3与受检者表型相关的其他变异类型，包括大片段的基因组拷贝数变异（≥1Mb）、染色体非整倍体、三倍体、杂合性缺失（≥5Mb）； 4.技术参数： 4.1样本量要求：全外显子组检测对血液样本，要求总量≤500ul；对所有样品均可建库，进行质控测序； 4.2建库方法：预文库采用PCR-free方法建库； 4.3采用杂交捕获体系，平均覆盖深度≥180X，≥10X覆盖度≥95%，≥20X覆盖度≥95%； 4.4探针设计需采用CCDS、RefSeq、Ensembl、GENCODE、ClinVar等数据库； 5.报告时间：25个自然日； 6.物流要求：2℃-4℃。</w:t>
            </w:r>
          </w:p>
        </w:tc>
      </w:tr>
      <w:tr>
        <w:tc>
          <w:tcPr>
            <w:tcW w:type="dxa" w:w="2076"/>
          </w:tcPr>
          <w:p/>
        </w:tc>
        <w:tc>
          <w:tcPr>
            <w:tcW w:type="dxa" w:w="415"/>
          </w:tcPr>
          <w:p>
            <w:pPr>
              <w:pStyle w:val="null3"/>
            </w:pPr>
            <w:r>
              <w:rPr/>
              <w:t>38</w:t>
            </w:r>
          </w:p>
        </w:tc>
        <w:tc>
          <w:tcPr>
            <w:tcW w:type="dxa" w:w="5814"/>
          </w:tcPr>
          <w:p>
            <w:pPr>
              <w:pStyle w:val="null3"/>
            </w:pPr>
            <w:r>
              <w:rPr/>
              <w:t>项目名称：常见染色体非整倍体的间期核(13、18、21、X、Y) 收费编码：270700001-2 1.检测方法：荧光免疫杂交技术； 2.样本类型：外周全血、羊水、绒毛、脐带血； 3.检测要求：具有完善的产前诊断实验室技术的支撑；可检测常见染色体非整倍体的间期核(13、18、21、X、Y)； 4.技术参数： 4.1探针信号≥100，采用标准化结果判读； 4.2临床参考品阳性符合率100%，阴性符合率100%； 5.报告时间：10个自然日； 6.物流要求：常温。</w:t>
            </w:r>
          </w:p>
        </w:tc>
      </w:tr>
      <w:tr>
        <w:tc>
          <w:tcPr>
            <w:tcW w:type="dxa" w:w="2076"/>
          </w:tcPr>
          <w:p/>
        </w:tc>
        <w:tc>
          <w:tcPr>
            <w:tcW w:type="dxa" w:w="415"/>
          </w:tcPr>
          <w:p>
            <w:pPr>
              <w:pStyle w:val="null3"/>
            </w:pPr>
            <w:r>
              <w:rPr/>
              <w:t>39</w:t>
            </w:r>
          </w:p>
        </w:tc>
        <w:tc>
          <w:tcPr>
            <w:tcW w:type="dxa" w:w="5814"/>
          </w:tcPr>
          <w:p>
            <w:pPr>
              <w:pStyle w:val="null3"/>
            </w:pPr>
            <w:r>
              <w:rPr/>
              <w:t>项目名称：流产组织常见染色体数目异常（13、16、18、21、22、X、Y） 收费编码：270700001-2 1.检测方法：荧光免疫杂交技术； 2.样本类型：流产组织； 3.检测要求：具有完善的产前诊断实验室技术的支撑；可检测常见染色体非整倍体的间期核(13、16、18、21、22、X、Y)； 4.技术参数： 4.1探针信号≥100，采用标准化结果判读； 4.2临床参考品阳性符合率100%，阴性符合率100%； 5.报告时间：10个自然日； 6.物流要求：常温。</w:t>
            </w:r>
          </w:p>
        </w:tc>
      </w:tr>
      <w:tr>
        <w:tc>
          <w:tcPr>
            <w:tcW w:type="dxa" w:w="2076"/>
          </w:tcPr>
          <w:p/>
        </w:tc>
        <w:tc>
          <w:tcPr>
            <w:tcW w:type="dxa" w:w="415"/>
          </w:tcPr>
          <w:p>
            <w:pPr>
              <w:pStyle w:val="null3"/>
            </w:pPr>
            <w:r>
              <w:rPr/>
              <w:t>40</w:t>
            </w:r>
          </w:p>
        </w:tc>
        <w:tc>
          <w:tcPr>
            <w:tcW w:type="dxa" w:w="5814"/>
          </w:tcPr>
          <w:p>
            <w:pPr>
              <w:pStyle w:val="null3"/>
            </w:pPr>
            <w:r>
              <w:rPr/>
              <w:t>项目名称：特异性染色体异常 收费编码：270700001-2 1.检测方法：荧光免疫杂交技术； 2.样本类型：外周全血、羊水、绒毛、脐带血； 3.检测要求：具有完善的产前诊断实验室技术的支撑；可检测染色体各种结构异常； 4.技术参数： 4.1探针信号≥100，采用标准化结果判读； 4.2临床参考品阳性符合率100%，阴性符合率100%； 5.报告时间：10个自然日； 6.物流要求：常温。</w:t>
            </w:r>
          </w:p>
        </w:tc>
      </w:tr>
      <w:tr>
        <w:tc>
          <w:tcPr>
            <w:tcW w:type="dxa" w:w="2076"/>
          </w:tcPr>
          <w:p/>
        </w:tc>
        <w:tc>
          <w:tcPr>
            <w:tcW w:type="dxa" w:w="415"/>
          </w:tcPr>
          <w:p>
            <w:pPr>
              <w:pStyle w:val="null3"/>
            </w:pPr>
            <w:r>
              <w:rPr/>
              <w:t>41</w:t>
            </w:r>
          </w:p>
        </w:tc>
        <w:tc>
          <w:tcPr>
            <w:tcW w:type="dxa" w:w="5814"/>
          </w:tcPr>
          <w:p>
            <w:pPr>
              <w:pStyle w:val="null3"/>
            </w:pPr>
            <w:r>
              <w:rPr/>
              <w:t>项目名称：微缺失综合症 收费编码：270700001-2 1.检测方法：荧光免疫杂交技术； 2.样本类型：外周全血、羊水、绒毛、脐带血； 3.检测要求：具有完善的产前诊断实验室技术的支撑；可检测染色体各种微缺失异常； 4.技术参数： 4.1探针信号≥100，采用标准化结果判读； 4.2临床参考品阳性符合率100%，阴性符合率100%； 5.报告时间：10个自然日； 6.物流要求：常温。</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t>项目名称：全外显子检测(单人) 收费编码：250700031F 1.检测方法：目标区域捕获+高通量测序法； 2.标本类型：外周全血、组织、羊水、脐带血样本等； 3.检测要求： 3.1包含人类基因组2万多个基因（不包括线粒体基因组）约18万个外显子及侧翼20bp的点突变、小的缺失插入突变（20bp以内）（准确率为99%以上）； 3.2外显子水平的缺失重复变异（包括SMN1基因7号外显子的缺失情况）（检测准确率为95%以上）； 3.3与受检者表型相关的其他变异类型，包括大片段的基因组拷贝数变异（≥1Mb）、染色体非整倍体、三倍体、杂合性缺失（≥5Mb）； 4.技术参数： 4.1样本量要求：全外显子组检测对血液样本，要求总量≤500ul；对所有样品均可建库，进行质控测序； 4.2建库方法：预文库采用PCR-free方法建库； 4.3采用杂交捕获体系，平均覆盖深度≥180X，≥10X覆盖度≥95%，≥20X覆盖度≥95%； 4.4探针设计需采用CCDS、RefSeq、Ensembl、GENCODE、ClinVar等数据库； 5.报告时间：25个自然日； 6.物流要求：2℃-4℃。</w:t>
            </w:r>
          </w:p>
        </w:tc>
      </w:tr>
      <w:tr>
        <w:tc>
          <w:tcPr>
            <w:tcW w:type="dxa" w:w="2076"/>
          </w:tcPr>
          <w:p/>
        </w:tc>
        <w:tc>
          <w:tcPr>
            <w:tcW w:type="dxa" w:w="415"/>
          </w:tcPr>
          <w:p>
            <w:pPr>
              <w:pStyle w:val="null3"/>
            </w:pPr>
            <w:r>
              <w:rPr/>
              <w:t>43</w:t>
            </w:r>
          </w:p>
        </w:tc>
        <w:tc>
          <w:tcPr>
            <w:tcW w:type="dxa" w:w="5814"/>
          </w:tcPr>
          <w:p>
            <w:pPr>
              <w:pStyle w:val="null3"/>
            </w:pPr>
            <w:r>
              <w:rPr/>
              <w:t>项目名称：常见染色体微缺失微重复无创产前基因测序（无创PLUS） 收费编码：250700031F 1.检测方法：高通量测序法； 2.标本类型：外周全血； 3.检测要求： 3.1检测T21、T18、T13； 3.2额外检测：通过加大测序数据量（≥25M reads）来发现除目标疾病外的其他染色体异常（其他染色体非整倍体及染色体缺失/重复综合征）； 4.质控要求：检测准确性&gt;99%； 5.报告时间：12个自然日； 6.物流要求：2℃-4℃。</w:t>
            </w:r>
          </w:p>
        </w:tc>
      </w:tr>
      <w:tr>
        <w:tc>
          <w:tcPr>
            <w:tcW w:type="dxa" w:w="2076"/>
          </w:tcPr>
          <w:p/>
        </w:tc>
        <w:tc>
          <w:tcPr>
            <w:tcW w:type="dxa" w:w="415"/>
          </w:tcPr>
          <w:p>
            <w:pPr>
              <w:pStyle w:val="null3"/>
            </w:pPr>
            <w:r>
              <w:rPr/>
              <w:t>44</w:t>
            </w:r>
          </w:p>
        </w:tc>
        <w:tc>
          <w:tcPr>
            <w:tcW w:type="dxa" w:w="5814"/>
          </w:tcPr>
          <w:p>
            <w:pPr>
              <w:pStyle w:val="null3"/>
            </w:pPr>
            <w:r>
              <w:rPr/>
              <w:t>项目名称：孕妇外周血胎儿游离DNA产前筛查与诊断 收费编码：250700010-2 1.检测方法：高通量测序法； 2.标本类型：外周全血； 3.检测要求：检测T21、T18、T13； 4.质控要求：检测准确性&gt;99%； 5.报告时间：10个自然日； 6.物流要求：2℃-4℃。</w:t>
            </w:r>
          </w:p>
        </w:tc>
      </w:tr>
      <w:tr>
        <w:tc>
          <w:tcPr>
            <w:tcW w:type="dxa" w:w="2076"/>
          </w:tcPr>
          <w:p/>
        </w:tc>
        <w:tc>
          <w:tcPr>
            <w:tcW w:type="dxa" w:w="415"/>
          </w:tcPr>
          <w:p>
            <w:pPr>
              <w:pStyle w:val="null3"/>
            </w:pPr>
            <w:r>
              <w:rPr/>
              <w:t>45</w:t>
            </w:r>
          </w:p>
        </w:tc>
        <w:tc>
          <w:tcPr>
            <w:tcW w:type="dxa" w:w="5814"/>
          </w:tcPr>
          <w:p>
            <w:pPr>
              <w:pStyle w:val="null3"/>
            </w:pPr>
            <w:r>
              <w:rPr/>
              <w:t>项目名称：携带者筛查(155种单基因遗传病) 收费编码：250700031F 1.检测方法：高通量测序法； 2.标本类型：外周全血； 3.检测要求： 3.1检测155种单基因隐性遗传病相关的147个基因的编码区及其上下游30bp，地中海贫血基因的内含子区和启动子区； 3.2可检测变异类型包括点突变、小片段插入缺失（≦20bp）、部分基因外显子的缺失/重复（包括假肥大性肌营养不良DMD基因连续2个外显子及以上的缺失/重复，脊髓性肌萎缩症SMN1基因7号外显子缺失，地中海贫血HBA/HBB基因—SEA、-a3.7、-a4.2、Chinese、Taiwanese、SEA-HPFH、FIL、THAI大片段缺失）； 4.报告时间：25个自然日； 5.物流要求：2℃-4℃。</w:t>
            </w:r>
          </w:p>
        </w:tc>
      </w:tr>
      <w:tr>
        <w:tc>
          <w:tcPr>
            <w:tcW w:type="dxa" w:w="2076"/>
          </w:tcPr>
          <w:p/>
        </w:tc>
        <w:tc>
          <w:tcPr>
            <w:tcW w:type="dxa" w:w="415"/>
          </w:tcPr>
          <w:p>
            <w:pPr>
              <w:pStyle w:val="null3"/>
            </w:pPr>
            <w:r>
              <w:rPr/>
              <w:t>46</w:t>
            </w:r>
          </w:p>
        </w:tc>
        <w:tc>
          <w:tcPr>
            <w:tcW w:type="dxa" w:w="5814"/>
          </w:tcPr>
          <w:p>
            <w:pPr>
              <w:pStyle w:val="null3"/>
            </w:pPr>
            <w:r>
              <w:rPr/>
              <w:t>项目名称：罕见单基因病基因检测分析 收费编码：270700003 1.检测方法：DNA测序； 2.标本类型：外周全血、组织、羊水、脐带血样本等； 3.检测要求：仅针对与先证者临床表型相关的致病突变位点进行Sanger测序验证； 4.报告时间：15个自然日； 5.物流要求：2℃-4℃。</w:t>
            </w:r>
          </w:p>
        </w:tc>
      </w:tr>
      <w:tr>
        <w:tc>
          <w:tcPr>
            <w:tcW w:type="dxa" w:w="2076"/>
          </w:tcPr>
          <w:p/>
        </w:tc>
        <w:tc>
          <w:tcPr>
            <w:tcW w:type="dxa" w:w="415"/>
          </w:tcPr>
          <w:p>
            <w:pPr>
              <w:pStyle w:val="null3"/>
            </w:pPr>
            <w:r>
              <w:rPr/>
              <w:t>47</w:t>
            </w:r>
          </w:p>
        </w:tc>
        <w:tc>
          <w:tcPr>
            <w:tcW w:type="dxa" w:w="5814"/>
          </w:tcPr>
          <w:p>
            <w:pPr>
              <w:pStyle w:val="null3"/>
            </w:pPr>
            <w:r>
              <w:rPr/>
              <w:t>项目名称：血友病甲点突变 收费编码：270700003 1.检测方法：DNA测序； 2.标本类型：外周全血、组织、羊水、脐带血样本等； 3.检测要求：检测血友病甲点突变； 4.报告时间：15个自然日； 5.物流要求：2℃-4℃。</w:t>
            </w:r>
          </w:p>
        </w:tc>
      </w:tr>
      <w:tr>
        <w:tc>
          <w:tcPr>
            <w:tcW w:type="dxa" w:w="2076"/>
          </w:tcPr>
          <w:p/>
        </w:tc>
        <w:tc>
          <w:tcPr>
            <w:tcW w:type="dxa" w:w="415"/>
          </w:tcPr>
          <w:p>
            <w:pPr>
              <w:pStyle w:val="null3"/>
            </w:pPr>
            <w:r>
              <w:rPr/>
              <w:t>48</w:t>
            </w:r>
          </w:p>
        </w:tc>
        <w:tc>
          <w:tcPr>
            <w:tcW w:type="dxa" w:w="5814"/>
          </w:tcPr>
          <w:p>
            <w:pPr>
              <w:pStyle w:val="null3"/>
            </w:pPr>
            <w:r>
              <w:rPr/>
              <w:t>项目名称：血友病甲内含子1倒位突变 收费编码：250700008 1.检测方法：序列特异性PCR； 2.标本类型：外周全血、组织、羊水、脐带血样本等； 3.检测内容：血友病甲内含子1倒位突变； 4.报告时间：10个自然日； 5..物流要求：2℃-4℃。</w:t>
            </w:r>
          </w:p>
        </w:tc>
      </w:tr>
      <w:tr>
        <w:tc>
          <w:tcPr>
            <w:tcW w:type="dxa" w:w="2076"/>
          </w:tcPr>
          <w:p/>
        </w:tc>
        <w:tc>
          <w:tcPr>
            <w:tcW w:type="dxa" w:w="415"/>
          </w:tcPr>
          <w:p>
            <w:pPr>
              <w:pStyle w:val="null3"/>
            </w:pPr>
            <w:r>
              <w:rPr/>
              <w:t>49</w:t>
            </w:r>
          </w:p>
        </w:tc>
        <w:tc>
          <w:tcPr>
            <w:tcW w:type="dxa" w:w="5814"/>
          </w:tcPr>
          <w:p>
            <w:pPr>
              <w:pStyle w:val="null3"/>
            </w:pPr>
            <w:r>
              <w:rPr/>
              <w:t>项目名称：血友病甲内含子22倒位突变 收费编码：270700002 1.检测方法：反向PCR； 2.标本类型：外周全血、组织、羊水、脐带血样本等； 3.检测内容：血友病甲内含子22倒位突变； 4.报告时间：10个自然日； 5..物流要求：2℃-4℃。</w:t>
            </w:r>
          </w:p>
        </w:tc>
      </w:tr>
      <w:tr>
        <w:tc>
          <w:tcPr>
            <w:tcW w:type="dxa" w:w="2076"/>
          </w:tcPr>
          <w:p/>
        </w:tc>
        <w:tc>
          <w:tcPr>
            <w:tcW w:type="dxa" w:w="415"/>
          </w:tcPr>
          <w:p>
            <w:pPr>
              <w:pStyle w:val="null3"/>
            </w:pPr>
            <w:r>
              <w:rPr/>
              <w:t>50</w:t>
            </w:r>
          </w:p>
        </w:tc>
        <w:tc>
          <w:tcPr>
            <w:tcW w:type="dxa" w:w="5814"/>
          </w:tcPr>
          <w:p>
            <w:pPr>
              <w:pStyle w:val="null3"/>
            </w:pPr>
            <w:r>
              <w:rPr/>
              <w:t>项目名称：外显子水平缺失重复检测 收费编码：270700003 1.检测方法：探针杂交+毛细管电泳分析； 2.标本类型：外周全血、组织、羊水、脐带血样本等； 3.检测要求：检测常见微缺失/微重复综合征； 4.报告时间：15个自然日； 5.物流要求：2℃-4℃。</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梅州市人民医院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- 45%</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采购包1：保证金人民币：60,000.00元整。</w:t>
            </w:r>
          </w:p>
          <w:p>
            <w:pPr>
              <w:pStyle w:val="null3"/>
            </w:pPr>
            <w:r>
              <w:rPr/>
              <w:t xml:space="preserve">开户单位： </w:t>
            </w:r>
            <w:r>
              <w:rPr/>
              <w:t xml:space="preserve"> 国义招标股份有限公司</w:t>
            </w:r>
          </w:p>
          <w:p>
            <w:pPr>
              <w:pStyle w:val="null3"/>
            </w:pPr>
            <w:r>
              <w:rPr/>
              <w:t xml:space="preserve">开户账号： </w:t>
            </w:r>
            <w:r>
              <w:rPr/>
              <w:t>120905690610703</w:t>
            </w:r>
          </w:p>
          <w:p>
            <w:pPr>
              <w:pStyle w:val="null3"/>
            </w:pPr>
            <w:r>
              <w:rPr/>
              <w:t xml:space="preserve">开户银行： </w:t>
            </w:r>
            <w:r>
              <w:rPr/>
              <w:t>招商银行股份有限公司广州体育东路支行</w:t>
            </w:r>
          </w:p>
          <w:p>
            <w:pPr>
              <w:pStyle w:val="null3"/>
            </w:pPr>
            <w:r>
              <w:rPr/>
              <w:t xml:space="preserve">支票提交方式： </w:t>
            </w:r>
            <w:r>
              <w:rPr/>
              <w:t>线下提交</w:t>
            </w:r>
          </w:p>
          <w:p>
            <w:pPr>
              <w:pStyle w:val="null3"/>
            </w:pPr>
            <w:r>
              <w:rPr/>
              <w:t xml:space="preserve">汇票、本票提交方式： </w:t>
            </w:r>
            <w:r>
              <w:rPr/>
              <w:t>线下提交</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采购机构代理服务收费标准：以项目的采购预算作为收费的计算依据，参照国家计委颁布的（计价格【2002】1980号）及国家发改委[2011]534号文收取，按差额定率累进法服务类计算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政府采购监督管理机构名称：梅州市财政局政府采购监管科</w:t>
      </w:r>
    </w:p>
    <w:p>
      <w:pPr>
        <w:pStyle w:val="null3"/>
      </w:pPr>
      <w:r>
        <w:rPr/>
        <w:t>地 址：梅州市梅江区嘉应中路18号</w:t>
      </w:r>
    </w:p>
    <w:p>
      <w:pPr>
        <w:pStyle w:val="null3"/>
      </w:pPr>
      <w:r>
        <w:rPr/>
        <w:t>电 话：0753-2122128</w:t>
      </w:r>
    </w:p>
    <w:p>
      <w:pPr>
        <w:pStyle w:val="null3"/>
      </w:pPr>
      <w:r>
        <w:rPr/>
        <w:t>邮 编：514000</w:t>
      </w:r>
    </w:p>
    <w:p>
      <w:pPr>
        <w:pStyle w:val="null3"/>
      </w:pPr>
      <w:r>
        <w:rPr/>
        <w:t>传 真：0753-2122199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孕妇外周血胎儿游离DNA产前筛查与诊断、全外显子组核心家系测序分析等产前检测)：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采购包1（孕妇外周血胎儿游离DNA产前筛查与诊断、全外显子组核心家系测序分析等产前检测）：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6%</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采购包1（孕妇外周血胎儿游离DNA产前筛查与诊断、全外显子组核心家系测序分析等产前检测）：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单位负责人为同一人或者存在直接控股、管理关系的不同供应商，不得同时参加本采购项目同一采购包投标（响应）（提供投标（报价）函承诺相关内容）。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为本项目提供整体设计、规范编制或者项目管理、监理、检测等服务的供应商，不得再参与本项目投标（响应）（提供投标（报价）函承诺相关内容）。</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投标人具有卫生部门核发且在有效期内的《医疗机构执业许可证》，且证书的诊疗科目中要包含医学检验科或直接载明医学检验科的相关二级科目。</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投标人具备临床基因扩增检验实验室资质（以投标人提供的临床检验主管部门出具的批复文件或实验室认定证书或卫健委统一向社会公告的截图复印件为评审依据）。</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允许联合体投标，牵头方应具备《母婴保健技术服务执业许可证》(产前诊断:分子遗传、细胞遗传方向)，联合体成员应具有卫生部门核发且在有效期内的《医疗机构执业许可证》，且证书的诊疗科目中要包含医学检验科或直接载明医学检验科的相关二级科目。</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采购包1（孕妇外周血胎儿游离DNA产前筛查与诊断、全外显子组核心家系测序分析等产前检测）：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1）0＜投标折扣率≤45%；2）对本项目（所投包号内）全部招标内容进行投标报价；3）投标报价是唯一确定的。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采购包1(孕妇外周血胎儿游离DNA产前筛查与诊断、全外显子组核心家系测序分析等产前检测):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需求响应程度 (15.0分)</w:t>
            </w:r>
          </w:p>
        </w:tc>
        <w:tc>
          <w:tcPr>
            <w:tcW w:type="dxa" w:w="5076"/>
          </w:tcPr>
          <w:p>
            <w:pPr>
              <w:pStyle w:val="null3"/>
              <w:jc w:val="left"/>
            </w:pPr>
            <w:r>
              <w:rPr/>
              <w:t>完全满足第二章采购需求中本包附表一：具体技术(参数)要求的，没有负偏离得满分；有负偏离的，按如下要求计分，其得分=一般商务及技术服务要求条款响应得分+带“▲”号条款响应得分： 1.用户需求书中带“▲”的条款为重要参数条款(共14项),完全满足得7分，每有一项重要参数负偏离扣0.5分，7分扣完为止； 2.用户需求书中未标识符号的参数为一般参数(共28项),投标人完全满足得8分，有负偏离的按如下要求得分：一般参数响应得分=(供应商满足一般参数条款的数量÷一般参数总数量)×8。得分保留2位小数。 注：①一般条款指未标注“★”或“▲”的条款；②“▲”号和一般条款没有按照要求（如有）提供佐证材料的，在评审中将不予认定。 ③如有明确提供的证明资料，则以要求为准，如无则以投标人提供的《技术和服务要求响应表》的响应情况进行评审。</w:t>
            </w:r>
          </w:p>
        </w:tc>
      </w:tr>
      <w:tr>
        <w:tc>
          <w:tcPr>
            <w:tcW w:type="dxa" w:w="922"/>
            <w:gridSpan w:val="2"/>
            <w:vMerge/>
          </w:tcPr>
          <w:p/>
        </w:tc>
        <w:tc>
          <w:tcPr>
            <w:tcW w:type="dxa" w:w="2307"/>
          </w:tcPr>
          <w:p>
            <w:pPr>
              <w:pStyle w:val="null3"/>
              <w:jc w:val="left"/>
            </w:pPr>
            <w:r>
              <w:rPr/>
              <w:t>总体实施方案 (5.0分)</w:t>
            </w:r>
          </w:p>
        </w:tc>
        <w:tc>
          <w:tcPr>
            <w:tcW w:type="dxa" w:w="5076"/>
          </w:tcPr>
          <w:p>
            <w:pPr>
              <w:pStyle w:val="null3"/>
              <w:jc w:val="left"/>
            </w:pPr>
            <w:r>
              <w:rPr/>
              <w:t>针对投标人提供的实施方案进行总体评价： 1.总体实施方案专业性强、科学合理、表达清晰完整、具体、详细，可行性强；对方案实施过程中涉及时效性的各环节有明确的服务机制，工作流程和内容符合或高于行业标准且切实可行。检验方案、结果查询技术以及检测技术更新速度匹配行业领先水平，优于或完全满足采购需求得5分； 2.总体实施方案各环节服务流程完整，具有一定的可行性，但内容不够全面详细；对方案实施过程中涉及时效性的环节有服务承诺但不够全面，内容符合行业标准，基本满足采购需求，得3分； 3.有提供实施方案，但方案不够完整，内容简单，可行性一般；服务流程覆盖不全面，部分满足采购需求得1分； 4.无提供实施方案的，得0分。</w:t>
            </w:r>
          </w:p>
        </w:tc>
      </w:tr>
      <w:tr>
        <w:tc>
          <w:tcPr>
            <w:tcW w:type="dxa" w:w="922"/>
            <w:gridSpan w:val="2"/>
            <w:vMerge/>
          </w:tcPr>
          <w:p/>
        </w:tc>
        <w:tc>
          <w:tcPr>
            <w:tcW w:type="dxa" w:w="2307"/>
          </w:tcPr>
          <w:p>
            <w:pPr>
              <w:pStyle w:val="null3"/>
              <w:jc w:val="left"/>
            </w:pPr>
            <w:r>
              <w:rPr/>
              <w:t>运输方案 (10.0分)</w:t>
            </w:r>
          </w:p>
        </w:tc>
        <w:tc>
          <w:tcPr>
            <w:tcW w:type="dxa" w:w="5076"/>
          </w:tcPr>
          <w:p>
            <w:pPr>
              <w:pStyle w:val="null3"/>
              <w:jc w:val="left"/>
            </w:pPr>
            <w:r>
              <w:rPr/>
              <w:t>针对投标人提供的运输方案进行评价： 1.运输方案内容包括：①样本运输流程及注意事项、②样本周转时间保障措施、③样本保存措施、④配备冷链物流公司及物流团队。每提供上述一项内容得1分，本小项最高得4分。 2.在满足“1.”得4分的基础上（如有缺漏，本小项“2.”不得分）进行以下评审： 2.1样本运输流程及注意事项（包括但不限于样本运输安全、做到全程直立、冷藏、封闭等）： ①方案内容及佐证完整、表达清晰、科学合理，可操作性强的，完全满足或优于招标文件采购需求得2 分； ②方案内容基本完整，较合理，基本满足采购需求得1分； ③方案内容不够完整，合理程度一般，部分满足采购需求得0.5分； ④不提供，得0分； 2.2提供本包检测项目的全部样本周转时间（提供每个项目TAT清单）： ①清单内容完整，投标人所提供的样本周转时间符合采购人实验室到供应商实验室的理论物流时间得1分； ②有缺漏或不提供的得0分； 2.3标本保存措施（包括但不限于是否适用于各种常见的医院外送检标本类型、保存条件（温湿度、避光）准确性、标本的最长保存时间等）； ①方案详尽、切实可行、保存措施得当的，完全满足或优于采购需求，得1分； ②方案基本完整、具有可行性的，基本满足采购需求得0.5分； ③方案不完整、缺乏可行性，部分满足采购需求或未提供的得0分； 2.4配备冷链物流公司及物流团队：投标人具有或有合作的冷链物流公司、配备物流团队成员； ①投标人具有或有合作的冷链物流公司，提供冷链物流公司资质、自有证明或合作协议，物流团队成员列表且分工详细，得1分。扫描件加盖公章，不提供得0分； ②具备冷链运输监测系统，提供图片证明得1分，不提供得0分。</w:t>
            </w:r>
          </w:p>
        </w:tc>
      </w:tr>
      <w:tr>
        <w:tc>
          <w:tcPr>
            <w:tcW w:type="dxa" w:w="922"/>
            <w:gridSpan w:val="2"/>
            <w:vMerge/>
          </w:tcPr>
          <w:p/>
        </w:tc>
        <w:tc>
          <w:tcPr>
            <w:tcW w:type="dxa" w:w="2307"/>
          </w:tcPr>
          <w:p>
            <w:pPr>
              <w:pStyle w:val="null3"/>
              <w:jc w:val="left"/>
            </w:pPr>
            <w:r>
              <w:rPr/>
              <w:t>技术团队 (10.0分)</w:t>
            </w:r>
          </w:p>
        </w:tc>
        <w:tc>
          <w:tcPr>
            <w:tcW w:type="dxa" w:w="5076"/>
          </w:tcPr>
          <w:p>
            <w:pPr>
              <w:pStyle w:val="null3"/>
              <w:jc w:val="left"/>
            </w:pPr>
            <w:r>
              <w:rPr/>
              <w:t>针对投标人提供的技术团队人员进行评价： 1.拟投入本项目技术负责人： 具有遗传相关专业正高级职称得2分，具有遗传相关专业副高级职称得1分，本项最多得2分； 注：提供职称证书扫描件加盖公章，本项最多得2分，不提供得0分； 2.检测人员： 应具备临床检验或分子生物学或遗传学等相关专业技术职称，经NGS 技术理论和实验培训并获得考核合格证书，每提供1人得1分； 注：提供职称证书和培训证书扫描件加盖公章，本项最多得2分，不提供得0分； 3.生物信息分析能力： 拥有专业的生物信息分析团队，团队人员需要具备生物信息学专业能力，每提供1人得1分； 注：提供毕业证书扫描件加盖公章，本项最多得2分，不提供得0分； 4.报告分析人员： 具备临床医学或临床检验或分子生物学或遗传学等相关专业中级及以上职称或硕士以上学历并具有相关专业背景的执业医师，经NGS 技术理论和实验培训并获得考核合格证书；每提供1人得1分； 注：提供职称证书（或学历证书）、执业医师证和培训证书扫描件加盖公章，本项最多得2分，不提供得0分； 5.专业报告解读人员： 具有执业医师资质，接受过遗传咨询相关培训并获得合格证书，同时具备临床医学或临床检验或分子生物学或遗传学等相关专业中级及以上职称经NGS 技术理论和实验培训并获得考核合格证书，每提供1人得1分； 注：提供执业医师证、职称证书、2个培训证书扫描件加盖公章，本项最多得2分，不提供得0分； 注：上述所有人员，如同一人取得多个证书不重复计分；需提供投标截止日前6个月内任意1个月的社保证明材料扫描件，不提供则该人员不得分。</w:t>
            </w:r>
          </w:p>
        </w:tc>
      </w:tr>
      <w:tr>
        <w:tc>
          <w:tcPr>
            <w:tcW w:type="dxa" w:w="922"/>
            <w:gridSpan w:val="2"/>
            <w:vMerge/>
          </w:tcPr>
          <w:p/>
        </w:tc>
        <w:tc>
          <w:tcPr>
            <w:tcW w:type="dxa" w:w="2307"/>
          </w:tcPr>
          <w:p>
            <w:pPr>
              <w:pStyle w:val="null3"/>
              <w:jc w:val="left"/>
            </w:pPr>
            <w:r>
              <w:rPr/>
              <w:t>质量控制方案 (6.0分)</w:t>
            </w:r>
          </w:p>
        </w:tc>
        <w:tc>
          <w:tcPr>
            <w:tcW w:type="dxa" w:w="5076"/>
          </w:tcPr>
          <w:p>
            <w:pPr>
              <w:pStyle w:val="null3"/>
              <w:jc w:val="left"/>
            </w:pPr>
            <w:r>
              <w:rPr/>
              <w:t>针对投标人提供的质量控制方案进行评价： 质量控制措施： 1.1质量控制措施明确，质量措施包括样本检测前/中/后的、覆盖人/机/料/法/环/测的管理制度和操作SOP；对测序平台及方法（包括实验操作程序和生物信息分析）有验证/确认程序，检测流程变更时有重新验证/确认程序，质量控制参数内容全面；使用阴阳性质控品进行室内质控的SOP，明确阳性质控品应使用弱阳性质控品；有根据测序项目特点建立对应的数据质量控制指标等；内容完整且详尽，可行性强，，完全满足或优于采购需求得3分； 1.2有质量方案，但方案内容不够全面详细，具备一定的可行性，基本满足采购需求得2分； 1.3有质量方案，方案内容简单，可行性一般，部分满足采购需求得1分； 1.4不提供，得0分； 2.室间质评证书（实验室间比对）情况： 投标人提供2024年度省级或国家卫健委临床检验中心（或卫生部临检验中心）出具的室间质评合格证书；对于无室间质评证书的项目，提供实验室间比对报告作为补充；所提供证书或比对报告扫描件需加盖公章； 提供佐证材料覆盖率达到[90%~100%]的得3分；覆盖率达到[70%~90%)的得2分，覆盖率为[50%~70%)的得1分，其他情况不得分； 注：投标人应对覆盖率（保留小数点后两位）进行计算并写明对应的检测清单的序号。投标人对覆盖率的计算结果和真实性负责。</w:t>
            </w:r>
          </w:p>
        </w:tc>
      </w:tr>
      <w:tr>
        <w:tc>
          <w:tcPr>
            <w:tcW w:type="dxa" w:w="922"/>
            <w:gridSpan w:val="2"/>
            <w:vMerge/>
          </w:tcPr>
          <w:p/>
        </w:tc>
        <w:tc>
          <w:tcPr>
            <w:tcW w:type="dxa" w:w="2307"/>
          </w:tcPr>
          <w:p>
            <w:pPr>
              <w:pStyle w:val="null3"/>
              <w:jc w:val="left"/>
            </w:pPr>
            <w:r>
              <w:rPr/>
              <w:t>实验室能力情况 (4.0分)</w:t>
            </w:r>
          </w:p>
        </w:tc>
        <w:tc>
          <w:tcPr>
            <w:tcW w:type="dxa" w:w="5076"/>
          </w:tcPr>
          <w:p>
            <w:pPr>
              <w:pStyle w:val="null3"/>
              <w:jc w:val="left"/>
            </w:pPr>
            <w:r>
              <w:rPr/>
              <w:t>1.投标人通过ISO15189实验室认可，提供证书扫描件加盖公章，得2分；不提供，得0分； 2.投标人拟投入的承接本包检测项目的设备：包括但不限于高通量测序检测平台、一代测序仪、荧光显微镜等，得2分；不提供或提供不全，得0分； 注：需提供设备实物图片+购置（租赁）发票或实物图片+购置（租赁）合同扫描件加盖投标人公章，不提供本项得0分。</w:t>
            </w:r>
          </w:p>
        </w:tc>
      </w:tr>
      <w:tr>
        <w:tc>
          <w:tcPr>
            <w:tcW w:type="dxa" w:w="922"/>
            <w:gridSpan w:val="2"/>
            <w:vMerge/>
          </w:tcPr>
          <w:p/>
        </w:tc>
        <w:tc>
          <w:tcPr>
            <w:tcW w:type="dxa" w:w="2307"/>
          </w:tcPr>
          <w:p>
            <w:pPr>
              <w:pStyle w:val="null3"/>
              <w:jc w:val="left"/>
            </w:pPr>
            <w:r>
              <w:rPr/>
              <w:t>应急预案 (5.0分)</w:t>
            </w:r>
          </w:p>
        </w:tc>
        <w:tc>
          <w:tcPr>
            <w:tcW w:type="dxa" w:w="5076"/>
          </w:tcPr>
          <w:p>
            <w:pPr>
              <w:pStyle w:val="null3"/>
              <w:jc w:val="left"/>
            </w:pPr>
            <w:r>
              <w:rPr/>
              <w:t>针对投标人提供的应急预案进行评价。投标人根据用户需求书内容进行分析并制定应急预案（包括但不限于因自然灾害、检验检测材料厂家召回等情况引起的原材料缺乏导致现行检测系统无法运作时的应急预案、采购人发出的紧急检测项目的应急处理措施等）： 1.投标人提供的应急预案包含上述完整内容的得2分；仅提供上述其中一项的得1分； 2.在满足“1.”得2分的基础上(如有缺漏，本小项“2.”不得分)进行以下评审： 2.1应急整体预案科学合理、应急团队、软硬件设备后备充分、预案针对性强、可操作性强，完全满足或优于采购需求得3分； 2.2应急整体预案较合理、有一定的应急人员、软硬件设备储备、预案具备一定可操作性，基本满足采购需求得2分； 2.3应急整体预案不尽合理、针对性一般、可操作性 一般，部分满足采购需求得1分； 2.4不提供的得0分。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培训方案 (4.0分)</w:t>
            </w:r>
          </w:p>
        </w:tc>
        <w:tc>
          <w:tcPr>
            <w:tcW w:type="dxa" w:w="5076"/>
          </w:tcPr>
          <w:p>
            <w:pPr>
              <w:pStyle w:val="null3"/>
              <w:jc w:val="left"/>
            </w:pPr>
            <w:r>
              <w:rPr/>
              <w:t>针对投标人提供的培训方案进行评价，培训包括但不限于①临床需求项目遗传咨询服务培训（1次/年），②单基因病遗传分析培训，③疑难病例联合讨论（2次/年），④可安排高级职称专家到院授课（1次/年）： 1.投标人提供的培训方案包含上述完整内容的得 2分；提供不完整的，得1分；方案中不包含上述内容的，得0分； 2.在满足“1.”得2分的基础上(如有缺漏，本小项“2.”不得分)进行以下评审： 2.1投标人根据采购人具体情况定制切实可行的培训方案，培训方案内容丰富，培训计划详实、培训方式具备线上线下培训的，实操性强，完全满足或优于采购需求得2分； 2.2.有提供培训方案，方案针对性一般、具有可操作性，基本满足采购需求得1分； 2.3.有提供培训方案，但方案无针对性、可操作性差，部分满足采购需求得0.5分； 2.4不提供，得0分。</w:t>
            </w:r>
          </w:p>
        </w:tc>
      </w:tr>
      <w:tr>
        <w:tc>
          <w:tcPr>
            <w:tcW w:type="dxa" w:w="922"/>
            <w:gridSpan w:val="2"/>
            <w:vMerge/>
          </w:tcPr>
          <w:p/>
        </w:tc>
        <w:tc>
          <w:tcPr>
            <w:tcW w:type="dxa" w:w="2307"/>
          </w:tcPr>
          <w:p>
            <w:pPr>
              <w:pStyle w:val="null3"/>
              <w:jc w:val="left"/>
            </w:pPr>
            <w:r>
              <w:rPr/>
              <w:t>投诉响应 (3.0分)</w:t>
            </w:r>
          </w:p>
        </w:tc>
        <w:tc>
          <w:tcPr>
            <w:tcW w:type="dxa" w:w="5076"/>
          </w:tcPr>
          <w:p>
            <w:pPr>
              <w:pStyle w:val="null3"/>
              <w:jc w:val="left"/>
            </w:pPr>
            <w:r>
              <w:rPr/>
              <w:t>1.服务投诉有快速的响应机制，电话10分钟内响应、1小时内团队人员可到现场，得3分； 2.电话30分钟内响应、4小时内团队人员可到现场，得2分； 3.电话60分钟内响应、8小时内团队人员可到现场，得1分； 4.其他情况，得0分； 注：提供承诺函（格式自拟）加盖公章，不提供，得0分。</w:t>
            </w:r>
          </w:p>
        </w:tc>
      </w:tr>
      <w:tr>
        <w:tc>
          <w:tcPr>
            <w:tcW w:type="dxa" w:w="922"/>
            <w:gridSpan w:val="2"/>
            <w:vMerge/>
          </w:tcPr>
          <w:p/>
        </w:tc>
        <w:tc>
          <w:tcPr>
            <w:tcW w:type="dxa" w:w="2307"/>
          </w:tcPr>
          <w:p>
            <w:pPr>
              <w:pStyle w:val="null3"/>
              <w:jc w:val="left"/>
            </w:pPr>
            <w:r>
              <w:rPr/>
              <w:t>体系认证证书 (3.0分)</w:t>
            </w:r>
          </w:p>
        </w:tc>
        <w:tc>
          <w:tcPr>
            <w:tcW w:type="dxa" w:w="5076"/>
          </w:tcPr>
          <w:p>
            <w:pPr>
              <w:pStyle w:val="null3"/>
              <w:jc w:val="left"/>
            </w:pPr>
            <w:r>
              <w:rPr/>
              <w:t>投标人具有且在有效期内的质量管理体系认证证书、环境管理体系认证证书、职业健康安全管理体系认证证书，每具备一项认证得1分，最高得3分； 注 ：上述认证证书需提供证书扫描件，还须提供全国认证认可信息公共服务平台上http://cx.cnca.cn查询结果的截图，证书状态必须为“有效”,不在有效期内或不提的，得0分。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投标人具有2021年1月1日至今(以合同签订时间为准)的同类项目业绩，每提供一个得1分，最高得5分； 注：①需提供合同关键页(含签订合同双方的单位名称、 合同项目名称、合同标的、签订合同双方的落款盖章及签订日期)扫描件并加盖投标人公章作为项目业绩证明资料，不提供不得分； ②同一客户业绩不重复计分。同一项目的多期合同按一 项业绩计算。</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技术部分得分高低顺序排列。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技术部分得分最高的获得中标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28"/>
          <w:b/>
        </w:rPr>
        <w:t>委托检验服务合同</w:t>
      </w:r>
    </w:p>
    <w:p>
      <w:pPr>
        <w:pStyle w:val="null3"/>
        <w:jc w:val="left"/>
      </w:pPr>
      <w:r>
        <w:rPr>
          <w:sz w:val="21"/>
        </w:rPr>
        <w:t>甲方（委托方、服务采购方）：梅州市人民医院</w:t>
      </w:r>
    </w:p>
    <w:p>
      <w:pPr>
        <w:pStyle w:val="null3"/>
        <w:jc w:val="left"/>
      </w:pPr>
      <w:r>
        <w:rPr>
          <w:sz w:val="21"/>
        </w:rPr>
        <w:t>联系地址：广东省梅州市梅江区</w:t>
      </w:r>
      <w:r>
        <w:rPr>
          <w:sz w:val="21"/>
        </w:rPr>
        <w:t>新峰</w:t>
      </w:r>
      <w:r>
        <w:rPr>
          <w:sz w:val="21"/>
        </w:rPr>
        <w:t>路</w:t>
      </w:r>
      <w:r>
        <w:rPr>
          <w:sz w:val="21"/>
        </w:rPr>
        <w:t>63号</w:t>
      </w:r>
    </w:p>
    <w:p>
      <w:pPr>
        <w:pStyle w:val="null3"/>
        <w:jc w:val="left"/>
      </w:pPr>
      <w:r>
        <w:rPr>
          <w:sz w:val="21"/>
        </w:rPr>
        <w:t>联系人：</w:t>
      </w:r>
      <w:r>
        <w:rPr>
          <w:sz w:val="21"/>
        </w:rPr>
        <w:t xml:space="preserve">                           </w:t>
      </w:r>
      <w:r>
        <w:rPr>
          <w:sz w:val="21"/>
        </w:rPr>
        <w:t>联系电话：</w:t>
      </w:r>
    </w:p>
    <w:p>
      <w:pPr>
        <w:pStyle w:val="null3"/>
        <w:jc w:val="left"/>
      </w:pPr>
      <w:r>
        <w:rPr>
          <w:sz w:val="21"/>
        </w:rPr>
        <w:t>乙方（受托方、服务供应商）：</w:t>
      </w:r>
    </w:p>
    <w:p>
      <w:pPr>
        <w:pStyle w:val="null3"/>
        <w:jc w:val="left"/>
      </w:pPr>
      <w:r>
        <w:rPr>
          <w:sz w:val="21"/>
        </w:rPr>
        <w:t>联系地址</w:t>
      </w:r>
      <w:r>
        <w:rPr>
          <w:sz w:val="21"/>
        </w:rPr>
        <w:t>:</w:t>
      </w:r>
    </w:p>
    <w:p>
      <w:pPr>
        <w:pStyle w:val="null3"/>
        <w:jc w:val="left"/>
      </w:pPr>
      <w:r>
        <w:rPr>
          <w:sz w:val="21"/>
        </w:rPr>
        <w:t>联系人：</w:t>
      </w:r>
      <w:r>
        <w:rPr>
          <w:sz w:val="21"/>
        </w:rPr>
        <w:t xml:space="preserve">                           </w:t>
      </w:r>
      <w:r>
        <w:rPr>
          <w:sz w:val="21"/>
        </w:rPr>
        <w:t>联系电话：</w:t>
      </w:r>
    </w:p>
    <w:p>
      <w:pPr>
        <w:pStyle w:val="null3"/>
        <w:jc w:val="left"/>
      </w:pPr>
      <w:r>
        <w:rPr>
          <w:sz w:val="21"/>
        </w:rPr>
        <w:t>邮箱地址：</w:t>
      </w:r>
    </w:p>
    <w:p>
      <w:pPr>
        <w:pStyle w:val="null3"/>
        <w:jc w:val="left"/>
      </w:pPr>
      <w:r>
        <w:rPr>
          <w:sz w:val="21"/>
        </w:rPr>
        <w:t>根据《中华人民共和国民法典》和《中华人民共和国政府采购法》等法律法规的规定，按照检验、病理标本外送检测服务项目（采购编号：</w:t>
      </w:r>
      <w:r>
        <w:rPr>
          <w:sz w:val="21"/>
          <w:u w:val="single"/>
        </w:rPr>
        <w:t xml:space="preserve">         </w:t>
      </w:r>
      <w:r>
        <w:rPr>
          <w:sz w:val="21"/>
          <w:u w:val="single"/>
        </w:rPr>
        <w:t>包号：</w:t>
      </w:r>
      <w:r>
        <w:rPr>
          <w:sz w:val="21"/>
          <w:u w:val="single"/>
        </w:rPr>
        <w:t xml:space="preserve">      </w:t>
      </w:r>
      <w:r>
        <w:rPr>
          <w:sz w:val="21"/>
        </w:rPr>
        <w:t>）的中标结果、采购文件、乙方的响应文件及澄清文件（如有）和中标通知书的要求，经双方协商一致签订本合同。</w:t>
      </w:r>
    </w:p>
    <w:p>
      <w:pPr>
        <w:pStyle w:val="null3"/>
        <w:ind w:firstLine="482"/>
        <w:jc w:val="left"/>
      </w:pPr>
      <w:r>
        <w:rPr>
          <w:sz w:val="21"/>
        </w:rPr>
        <w:t>一、合作内容</w:t>
      </w:r>
    </w:p>
    <w:p>
      <w:pPr>
        <w:pStyle w:val="null3"/>
        <w:ind w:firstLine="480"/>
        <w:jc w:val="left"/>
      </w:pPr>
      <w:r>
        <w:rPr>
          <w:sz w:val="21"/>
        </w:rPr>
        <w:t>甲方将检验标本（详见《外送检测项目》，含项目名称、收费代码、收费标准、收费金额等信息）委托给乙方进行检验；乙方为甲方提供检验报告，并收取甲方检验服务费。</w:t>
      </w:r>
    </w:p>
    <w:p>
      <w:pPr>
        <w:pStyle w:val="null3"/>
        <w:ind w:firstLine="482"/>
        <w:jc w:val="left"/>
      </w:pPr>
      <w:r>
        <w:rPr>
          <w:sz w:val="21"/>
        </w:rPr>
        <w:t>二、合同金额和委托期限</w:t>
      </w:r>
    </w:p>
    <w:p>
      <w:pPr>
        <w:pStyle w:val="null3"/>
        <w:ind w:firstLine="480"/>
        <w:jc w:val="left"/>
      </w:pPr>
      <w:r>
        <w:rPr>
          <w:sz w:val="21"/>
        </w:rPr>
        <w:t>（一）合同金额：</w:t>
      </w:r>
      <w:r>
        <w:rPr>
          <w:sz w:val="21"/>
          <w:u w:val="single"/>
        </w:rPr>
        <w:t xml:space="preserve">       </w:t>
      </w:r>
      <w:r>
        <w:rPr>
          <w:sz w:val="21"/>
        </w:rPr>
        <w:t>元</w:t>
      </w:r>
    </w:p>
    <w:p>
      <w:pPr>
        <w:pStyle w:val="null3"/>
        <w:ind w:firstLine="480"/>
        <w:jc w:val="left"/>
      </w:pPr>
      <w:r>
        <w:rPr>
          <w:sz w:val="21"/>
        </w:rPr>
        <w:t>（二）委托期限：</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日，为期</w:t>
      </w:r>
      <w:r>
        <w:rPr>
          <w:sz w:val="21"/>
        </w:rPr>
        <w:t>24个月。服务期内如结算金额达到合同金额时即合同终止。</w:t>
      </w:r>
    </w:p>
    <w:p>
      <w:pPr>
        <w:pStyle w:val="null3"/>
        <w:ind w:firstLine="482"/>
        <w:jc w:val="left"/>
      </w:pPr>
      <w:r>
        <w:rPr>
          <w:sz w:val="21"/>
        </w:rPr>
        <w:t>三、双方的权利与义务</w:t>
      </w:r>
    </w:p>
    <w:p>
      <w:pPr>
        <w:pStyle w:val="null3"/>
        <w:ind w:firstLine="482"/>
        <w:jc w:val="left"/>
      </w:pPr>
      <w:r>
        <w:rPr>
          <w:sz w:val="21"/>
        </w:rPr>
        <w:t>（一）甲方的权利义务</w:t>
      </w:r>
    </w:p>
    <w:p>
      <w:pPr>
        <w:pStyle w:val="null3"/>
        <w:ind w:firstLine="480"/>
        <w:jc w:val="left"/>
      </w:pPr>
      <w:r>
        <w:rPr>
          <w:sz w:val="21"/>
        </w:rPr>
        <w:t>1.甲方按照乙方提供的《标本采集手册》负责标本的采集工作，对标本来源的合法性、准确性和完整性负责，确保标本信息与检验申请的信息相符。甲方未履行上述职责导致乙方出具的检验报告错误或检验报告与患者不符的责任由甲方承担。</w:t>
      </w:r>
    </w:p>
    <w:p>
      <w:pPr>
        <w:pStyle w:val="null3"/>
        <w:ind w:firstLine="480"/>
        <w:jc w:val="left"/>
      </w:pPr>
      <w:r>
        <w:rPr>
          <w:sz w:val="21"/>
        </w:rPr>
        <w:t>2.甲方应及时、足量向乙方提供检测标本，检测标本应符合乙方要求的质量标准。如不符合，甲方应重新提供，或终止本次检测服务。</w:t>
      </w:r>
    </w:p>
    <w:p>
      <w:pPr>
        <w:pStyle w:val="null3"/>
        <w:ind w:firstLine="480"/>
        <w:jc w:val="left"/>
      </w:pPr>
      <w:r>
        <w:rPr>
          <w:sz w:val="21"/>
        </w:rPr>
        <w:t>3.甲方向乙方提供检测所用的真实信息文件，包括但不限于患者信息、采样时间、标本类型、知情同意书及其它乙方要求与检测相关的资料信息。</w:t>
      </w:r>
    </w:p>
    <w:p>
      <w:pPr>
        <w:pStyle w:val="null3"/>
        <w:ind w:firstLine="480"/>
        <w:jc w:val="left"/>
      </w:pPr>
      <w:r>
        <w:rPr>
          <w:sz w:val="21"/>
        </w:rPr>
        <w:t>4.甲方工作人员有责任与乙方工作人员在以下环节进行签字确认：标本交接、耗材交接、特殊物品回执交接、其他物品交接、报告单交接、结算票据、发票签收回执的交接。</w:t>
      </w:r>
    </w:p>
    <w:p>
      <w:pPr>
        <w:pStyle w:val="null3"/>
        <w:ind w:firstLine="480"/>
        <w:jc w:val="left"/>
      </w:pPr>
      <w:r>
        <w:rPr>
          <w:sz w:val="21"/>
        </w:rPr>
        <w:t>5.甲方开具的检验申请（包括纸质版、电子版）</w:t>
      </w:r>
      <w:r>
        <w:rPr>
          <w:sz w:val="21"/>
        </w:rPr>
        <w:t>属于</w:t>
      </w:r>
      <w:r>
        <w:rPr>
          <w:sz w:val="21"/>
        </w:rPr>
        <w:t>《委托检验服务合同》范畴，接受乙方服务人员的核对。</w:t>
      </w:r>
    </w:p>
    <w:p>
      <w:pPr>
        <w:pStyle w:val="null3"/>
        <w:ind w:firstLine="480"/>
        <w:jc w:val="left"/>
      </w:pPr>
      <w:r>
        <w:rPr>
          <w:sz w:val="21"/>
        </w:rPr>
        <w:t>6.甲方有权要求并监督乙方按照</w:t>
      </w:r>
      <w:r>
        <w:rPr>
          <w:sz w:val="21"/>
        </w:rPr>
        <w:t>招标文件的</w:t>
      </w:r>
      <w:r>
        <w:rPr>
          <w:sz w:val="21"/>
        </w:rPr>
        <w:t>规定的要求和进度进行检测；有权要求乙方对检测结果提供咨询和解释。</w:t>
      </w:r>
    </w:p>
    <w:p>
      <w:pPr>
        <w:pStyle w:val="null3"/>
        <w:ind w:firstLine="480"/>
        <w:jc w:val="left"/>
      </w:pPr>
      <w:r>
        <w:rPr>
          <w:sz w:val="21"/>
        </w:rPr>
        <w:t>7.甲方有权要求乙方无条件返还剩余检测标本，但甲方应在检测标本保存期内（标本保存期限</w:t>
      </w:r>
      <w:r>
        <w:rPr>
          <w:sz w:val="21"/>
        </w:rPr>
        <w:t>按照国家相关规定执行</w:t>
      </w:r>
      <w:r>
        <w:rPr>
          <w:sz w:val="21"/>
        </w:rPr>
        <w:t>）提出，逾期未提出的，乙方有权对剩余检测标本按照有关规定进行处理。</w:t>
      </w:r>
    </w:p>
    <w:p>
      <w:pPr>
        <w:pStyle w:val="null3"/>
        <w:ind w:firstLine="480"/>
        <w:jc w:val="left"/>
      </w:pPr>
      <w:r>
        <w:rPr>
          <w:sz w:val="21"/>
        </w:rPr>
        <w:t>8.合同期内，如因</w:t>
      </w:r>
      <w:r>
        <w:rPr>
          <w:sz w:val="21"/>
        </w:rPr>
        <w:t>国家</w:t>
      </w:r>
      <w:r>
        <w:rPr>
          <w:sz w:val="21"/>
        </w:rPr>
        <w:t>收费政策改变，</w:t>
      </w:r>
      <w:r>
        <w:rPr>
          <w:sz w:val="21"/>
        </w:rPr>
        <w:t>按国家最新收费标准执行。</w:t>
      </w:r>
    </w:p>
    <w:p>
      <w:pPr>
        <w:pStyle w:val="null3"/>
        <w:ind w:firstLine="480"/>
        <w:jc w:val="left"/>
      </w:pPr>
      <w:r>
        <w:rPr>
          <w:sz w:val="21"/>
        </w:rPr>
        <w:t>9.甲方按本合同第四条约定支付检测服务费。</w:t>
      </w:r>
    </w:p>
    <w:p>
      <w:pPr>
        <w:pStyle w:val="null3"/>
        <w:ind w:firstLine="482"/>
        <w:jc w:val="left"/>
      </w:pPr>
      <w:r>
        <w:rPr>
          <w:sz w:val="21"/>
        </w:rPr>
        <w:t>（二）乙方的权利义务</w:t>
      </w:r>
    </w:p>
    <w:p>
      <w:pPr>
        <w:pStyle w:val="null3"/>
        <w:ind w:firstLine="482"/>
        <w:jc w:val="left"/>
      </w:pPr>
      <w:r>
        <w:rPr>
          <w:sz w:val="21"/>
          <w:b/>
        </w:rPr>
        <w:t>1.标本采集、收取、运送</w:t>
      </w:r>
    </w:p>
    <w:p>
      <w:pPr>
        <w:pStyle w:val="null3"/>
        <w:ind w:firstLine="480"/>
        <w:jc w:val="left"/>
      </w:pPr>
      <w:r>
        <w:rPr>
          <w:sz w:val="21"/>
        </w:rPr>
        <w:t>1.1标本采集：乙方提供《标本采集手册》，标本由甲方采集并运送至本院实验室暂存。</w:t>
      </w:r>
    </w:p>
    <w:p>
      <w:pPr>
        <w:pStyle w:val="null3"/>
        <w:ind w:firstLine="420"/>
        <w:jc w:val="left"/>
      </w:pPr>
      <w:r>
        <w:rPr>
          <w:sz w:val="21"/>
        </w:rPr>
        <w:t>乙方应按时、足量提供采集标本所需的</w:t>
      </w:r>
      <w:r>
        <w:rPr>
          <w:sz w:val="21"/>
        </w:rPr>
        <w:t>辅材</w:t>
      </w:r>
      <w:r>
        <w:rPr>
          <w:sz w:val="21"/>
        </w:rPr>
        <w:t>、申请单等，纳入甲方管理；因乙方提供的医用</w:t>
      </w:r>
      <w:r>
        <w:rPr>
          <w:sz w:val="21"/>
        </w:rPr>
        <w:t>辅材</w:t>
      </w:r>
      <w:r>
        <w:rPr>
          <w:sz w:val="21"/>
        </w:rPr>
        <w:t>产品质量问题或由乙方原因引起的不良后果，乙方应主动配合甲方处理善后工作并承担损害赔偿责任。</w:t>
      </w:r>
    </w:p>
    <w:p>
      <w:pPr>
        <w:pStyle w:val="null3"/>
        <w:ind w:firstLine="480"/>
        <w:jc w:val="left"/>
      </w:pPr>
      <w:r>
        <w:rPr>
          <w:sz w:val="21"/>
        </w:rPr>
        <w:t>1.2标本收取：乙方安排专人每周一、周四上午12时前往医院收取标本，如遇法定节假日，双方协商。如遇特殊标本，可机动收取。标本如不符合乙方质量要求，乙方有权拒收并要求甲方再次采样。</w:t>
      </w:r>
    </w:p>
    <w:p>
      <w:pPr>
        <w:pStyle w:val="null3"/>
        <w:ind w:firstLine="480"/>
        <w:jc w:val="left"/>
      </w:pPr>
      <w:r>
        <w:rPr>
          <w:sz w:val="21"/>
        </w:rPr>
        <w:t>1.3标本运送：</w:t>
      </w:r>
      <w:r>
        <w:rPr>
          <w:sz w:val="21"/>
        </w:rPr>
        <w:t>具备完善的冷链物流运输系统</w:t>
      </w:r>
      <w:r>
        <w:rPr>
          <w:sz w:val="21"/>
        </w:rPr>
        <w:t>,物流系统应符合《GB/T 42186-2022 医学检验生物标本冷链物流运作规范》</w:t>
      </w:r>
      <w:r>
        <w:rPr>
          <w:sz w:val="21"/>
        </w:rPr>
        <w:t>，保证标本接收、送检运输过程的安全与规范，保证标本的检测前质量。</w:t>
      </w:r>
    </w:p>
    <w:p>
      <w:pPr>
        <w:pStyle w:val="null3"/>
        <w:ind w:firstLine="482"/>
        <w:jc w:val="left"/>
      </w:pPr>
      <w:r>
        <w:rPr>
          <w:sz w:val="21"/>
          <w:b/>
        </w:rPr>
        <w:t>2.检测质量</w:t>
      </w:r>
    </w:p>
    <w:p>
      <w:pPr>
        <w:pStyle w:val="null3"/>
        <w:ind w:firstLine="480"/>
        <w:jc w:val="left"/>
      </w:pPr>
      <w:r>
        <w:rPr>
          <w:sz w:val="21"/>
        </w:rPr>
        <w:t>2.1乙方严格按照ISO15189要求进行实验检测管理，按国家检验规范进行操作，并对标本的检验报告承担相应的责任。因乙方检验结果出现的医疗纠纷由乙方承担相应的法律责任。</w:t>
      </w:r>
    </w:p>
    <w:p>
      <w:pPr>
        <w:pStyle w:val="null3"/>
        <w:ind w:firstLine="480"/>
        <w:jc w:val="left"/>
      </w:pPr>
      <w:r>
        <w:rPr>
          <w:sz w:val="21"/>
        </w:rPr>
        <w:t>2.2乙方有完善的设备、试剂耗材管理程序，开展项目所需的设备、试剂、耗材（不作医疗器械管理的除外）均取得国家药品监督管理局相关注册证明；</w:t>
      </w:r>
      <w:r>
        <w:rPr>
          <w:sz w:val="21"/>
        </w:rPr>
        <w:t>如发生设备、试剂、耗材严重不良事件影响检测结果准确性或报告时限时，</w:t>
      </w:r>
      <w:r>
        <w:rPr>
          <w:sz w:val="21"/>
        </w:rPr>
        <w:t>乙方</w:t>
      </w:r>
      <w:r>
        <w:rPr>
          <w:sz w:val="21"/>
        </w:rPr>
        <w:t>应</w:t>
      </w:r>
      <w:r>
        <w:rPr>
          <w:sz w:val="21"/>
        </w:rPr>
        <w:t>4小时内通知甲方并递交相应解决方案</w:t>
      </w:r>
      <w:r>
        <w:rPr>
          <w:sz w:val="21"/>
        </w:rPr>
        <w:t>。</w:t>
      </w:r>
    </w:p>
    <w:p>
      <w:pPr>
        <w:pStyle w:val="null3"/>
        <w:ind w:firstLine="480"/>
        <w:jc w:val="left"/>
      </w:pPr>
      <w:r>
        <w:rPr>
          <w:sz w:val="21"/>
        </w:rPr>
        <w:t>2.3乙方保证在收到甲方合格的检测标本后按照</w:t>
      </w:r>
      <w:r>
        <w:rPr>
          <w:sz w:val="21"/>
        </w:rPr>
        <w:t>招标文件的检测项目及技术要求规</w:t>
      </w:r>
      <w:r>
        <w:rPr>
          <w:sz w:val="21"/>
        </w:rPr>
        <w:t>定的报告</w:t>
      </w:r>
      <w:r>
        <w:rPr>
          <w:sz w:val="21"/>
        </w:rPr>
        <w:t>时间</w:t>
      </w:r>
      <w:r>
        <w:rPr>
          <w:sz w:val="21"/>
        </w:rPr>
        <w:t>完成标本检测，并向甲方出具有效的检测报告</w:t>
      </w:r>
      <w:r>
        <w:rPr>
          <w:sz w:val="21"/>
        </w:rPr>
        <w:t>（</w:t>
      </w:r>
      <w:r>
        <w:rPr>
          <w:sz w:val="21"/>
        </w:rPr>
        <w:t>适用时提供</w:t>
      </w:r>
      <w:r>
        <w:rPr>
          <w:sz w:val="21"/>
        </w:rPr>
        <w:t>检测数据</w:t>
      </w:r>
      <w:r>
        <w:rPr>
          <w:sz w:val="21"/>
        </w:rPr>
        <w:t>）</w:t>
      </w:r>
      <w:r>
        <w:rPr>
          <w:sz w:val="21"/>
        </w:rPr>
        <w:t>。如甲方对检测结果存在疑</w:t>
      </w:r>
      <w:r>
        <w:rPr>
          <w:sz w:val="21"/>
        </w:rPr>
        <w:t>议</w:t>
      </w:r>
      <w:r>
        <w:rPr>
          <w:sz w:val="21"/>
        </w:rPr>
        <w:t>，乙方应及时提供咨询、解释、验证性检测服务。</w:t>
      </w:r>
    </w:p>
    <w:p>
      <w:pPr>
        <w:pStyle w:val="null3"/>
        <w:ind w:firstLine="480"/>
        <w:jc w:val="left"/>
      </w:pPr>
      <w:r>
        <w:rPr>
          <w:sz w:val="21"/>
        </w:rPr>
        <w:t>2.4对于检验结果的任何变更，应及时通知</w:t>
      </w:r>
      <w:r>
        <w:rPr>
          <w:sz w:val="21"/>
        </w:rPr>
        <w:t>甲方</w:t>
      </w:r>
      <w:r>
        <w:rPr>
          <w:sz w:val="21"/>
        </w:rPr>
        <w:t>并征</w:t>
      </w:r>
      <w:r>
        <w:rPr>
          <w:sz w:val="21"/>
        </w:rPr>
        <w:t>得</w:t>
      </w:r>
      <w:r>
        <w:rPr>
          <w:sz w:val="21"/>
        </w:rPr>
        <w:t>甲方同意后方可变更。</w:t>
      </w:r>
    </w:p>
    <w:p>
      <w:pPr>
        <w:pStyle w:val="null3"/>
        <w:ind w:firstLine="480"/>
        <w:jc w:val="left"/>
      </w:pPr>
      <w:r>
        <w:rPr>
          <w:sz w:val="21"/>
        </w:rPr>
        <w:t>2.5乙方如需召回检验报告的，应及时通过一切形式包括电话、电子邮件、当面告知等方式通知甲方召回报告并提供新的报告</w:t>
      </w:r>
      <w:r>
        <w:rPr>
          <w:sz w:val="21"/>
        </w:rPr>
        <w:t>。</w:t>
      </w:r>
      <w:r>
        <w:rPr>
          <w:sz w:val="21"/>
        </w:rPr>
        <w:t>乙方承担因乙方召回检验报告给甲方造成的损失</w:t>
      </w:r>
      <w:r>
        <w:rPr>
          <w:sz w:val="21"/>
        </w:rPr>
        <w:t>。</w:t>
      </w:r>
      <w:r>
        <w:rPr>
          <w:sz w:val="21"/>
        </w:rPr>
        <w:t xml:space="preserve"> </w:t>
      </w:r>
    </w:p>
    <w:p>
      <w:pPr>
        <w:pStyle w:val="null3"/>
        <w:ind w:firstLine="480"/>
        <w:jc w:val="left"/>
      </w:pPr>
      <w:r>
        <w:rPr>
          <w:sz w:val="21"/>
        </w:rPr>
        <w:t>2.6每月初提供上个月的室内质量控制数据，每年年初提供去年</w:t>
      </w:r>
      <w:r>
        <w:rPr>
          <w:sz w:val="21"/>
        </w:rPr>
        <w:t>省级或以上</w:t>
      </w:r>
      <w:r>
        <w:rPr>
          <w:sz w:val="21"/>
        </w:rPr>
        <w:t>卫健委</w:t>
      </w:r>
      <w:r>
        <w:rPr>
          <w:sz w:val="21"/>
        </w:rPr>
        <w:t>出具的</w:t>
      </w:r>
      <w:r>
        <w:rPr>
          <w:sz w:val="21"/>
        </w:rPr>
        <w:t>室间质评证书</w:t>
      </w:r>
      <w:r>
        <w:rPr>
          <w:sz w:val="21"/>
        </w:rPr>
        <w:t>，</w:t>
      </w:r>
      <w:r>
        <w:rPr>
          <w:sz w:val="21"/>
        </w:rPr>
        <w:t>或省级或以上的病理质控中心出具的</w:t>
      </w:r>
      <w:r>
        <w:rPr>
          <w:sz w:val="21"/>
        </w:rPr>
        <w:t>室间质评证书</w:t>
      </w:r>
      <w:r>
        <w:rPr>
          <w:sz w:val="21"/>
        </w:rPr>
        <w:t>，</w:t>
      </w:r>
      <w:r>
        <w:rPr>
          <w:sz w:val="21"/>
        </w:rPr>
        <w:t>如无则提供</w:t>
      </w:r>
      <w:r>
        <w:rPr>
          <w:sz w:val="21"/>
        </w:rPr>
        <w:t>实验室间比对记录。</w:t>
      </w:r>
    </w:p>
    <w:p>
      <w:pPr>
        <w:pStyle w:val="null3"/>
        <w:ind w:firstLine="480"/>
        <w:jc w:val="left"/>
      </w:pPr>
      <w:r>
        <w:rPr>
          <w:sz w:val="21"/>
        </w:rPr>
        <w:t>2.7乙方应保证检验结果的公正性。乙方不应接受来自各方的诱使或压力，从而影响患者检验结果的独立性评价。</w:t>
      </w:r>
    </w:p>
    <w:p>
      <w:pPr>
        <w:pStyle w:val="null3"/>
        <w:ind w:firstLine="480"/>
        <w:jc w:val="left"/>
      </w:pPr>
      <w:r>
        <w:rPr>
          <w:sz w:val="21"/>
        </w:rPr>
        <w:t>2.8对检验出现的危急值</w:t>
      </w:r>
      <w:r>
        <w:rPr>
          <w:sz w:val="21"/>
        </w:rPr>
        <w:t>结果</w:t>
      </w:r>
      <w:r>
        <w:rPr>
          <w:sz w:val="21"/>
        </w:rPr>
        <w:t>，应</w:t>
      </w:r>
      <w:r>
        <w:rPr>
          <w:sz w:val="21"/>
        </w:rPr>
        <w:t>按照招标文件要求及时</w:t>
      </w:r>
      <w:r>
        <w:rPr>
          <w:sz w:val="21"/>
        </w:rPr>
        <w:t>报告甲方。</w:t>
      </w:r>
    </w:p>
    <w:p>
      <w:pPr>
        <w:pStyle w:val="null3"/>
        <w:ind w:firstLine="422"/>
        <w:jc w:val="left"/>
      </w:pPr>
      <w:r>
        <w:rPr>
          <w:sz w:val="21"/>
          <w:b/>
        </w:rPr>
        <w:t>3.信息管理</w:t>
      </w:r>
    </w:p>
    <w:p>
      <w:pPr>
        <w:pStyle w:val="null3"/>
        <w:ind w:firstLine="420"/>
        <w:jc w:val="left"/>
      </w:pPr>
      <w:r>
        <w:rPr>
          <w:sz w:val="21"/>
        </w:rPr>
        <w:t>3.1乙方系统必须与梅州市人民医院信息系统集成平台无缝对接，符合《梅州市人民医院集成平台标准接口技术规范》的全部要求。使医务人员可以随时调阅，可实现检验项目的多终端查询，包括网页端、手机端等，对紧急报告可提供口头报告或邮件报告等形式。</w:t>
      </w:r>
    </w:p>
    <w:p>
      <w:pPr>
        <w:pStyle w:val="null3"/>
        <w:ind w:firstLine="482"/>
        <w:jc w:val="left"/>
      </w:pPr>
      <w:r>
        <w:rPr>
          <w:sz w:val="21"/>
        </w:rPr>
        <w:t>3.2乙方有为甲方保密的义务，在未经甲方同意或授权前提下，乙方不得向甲方检验科室、医务科、临床科室工作人员以外的任何单位或个人泄露甲方委托检验的项目、检验的内容、检验的结果。</w:t>
      </w:r>
    </w:p>
    <w:p>
      <w:pPr>
        <w:pStyle w:val="null3"/>
        <w:ind w:firstLine="482"/>
        <w:jc w:val="left"/>
      </w:pPr>
      <w:r>
        <w:rPr>
          <w:sz w:val="21"/>
        </w:rPr>
        <w:t>3.3乙方需对甲方病人所有资料内容进行保密，未经甲方许可不得向任何人透露，乙方不得将甲方标本与第三方开展科研或商业合作，否则因此而所产生的各类责任由乙方承担。</w:t>
      </w:r>
    </w:p>
    <w:p>
      <w:pPr>
        <w:pStyle w:val="null3"/>
        <w:ind w:firstLine="482"/>
        <w:jc w:val="left"/>
      </w:pPr>
      <w:r>
        <w:rPr>
          <w:sz w:val="21"/>
        </w:rPr>
        <w:t>3.</w:t>
      </w:r>
      <w:r>
        <w:rPr>
          <w:sz w:val="21"/>
        </w:rPr>
        <w:t>4</w:t>
      </w:r>
      <w:r>
        <w:rPr>
          <w:sz w:val="21"/>
        </w:rPr>
        <w:t>如甲方有需</w:t>
      </w:r>
      <w:r>
        <w:rPr>
          <w:sz w:val="21"/>
        </w:rPr>
        <w:t>求</w:t>
      </w:r>
      <w:r>
        <w:rPr>
          <w:sz w:val="21"/>
        </w:rPr>
        <w:t>，乙方需要配合提供和协助整理分析甲方送检标本</w:t>
      </w:r>
      <w:r>
        <w:rPr>
          <w:sz w:val="21"/>
        </w:rPr>
        <w:t>的</w:t>
      </w:r>
      <w:r>
        <w:rPr>
          <w:sz w:val="21"/>
        </w:rPr>
        <w:t>检测信息。</w:t>
      </w:r>
    </w:p>
    <w:p>
      <w:pPr>
        <w:pStyle w:val="null3"/>
        <w:ind w:firstLine="482"/>
        <w:jc w:val="left"/>
      </w:pPr>
      <w:r>
        <w:rPr>
          <w:sz w:val="21"/>
        </w:rPr>
        <w:t>3.</w:t>
      </w:r>
      <w:r>
        <w:rPr>
          <w:sz w:val="21"/>
        </w:rPr>
        <w:t>5</w:t>
      </w:r>
      <w:r>
        <w:rPr>
          <w:sz w:val="21"/>
        </w:rPr>
        <w:t>乙方应遵守《中华人民共和国人类遗传资源管理条例》等法律法规，未经允许不得对标本进行其他检测，储存销毁按国家相关法规进行并留据备查。检测结果数据等全部归甲方所有，并定期交甲方。乙方不得用于其他事项。</w:t>
      </w:r>
    </w:p>
    <w:p>
      <w:pPr>
        <w:pStyle w:val="null3"/>
        <w:ind w:firstLine="482"/>
        <w:jc w:val="both"/>
      </w:pPr>
      <w:r>
        <w:rPr>
          <w:sz w:val="21"/>
        </w:rPr>
        <w:t>四、检验服务价格与结算方式</w:t>
      </w:r>
    </w:p>
    <w:p>
      <w:pPr>
        <w:pStyle w:val="null3"/>
        <w:ind w:firstLine="482"/>
        <w:jc w:val="both"/>
      </w:pPr>
      <w:r>
        <w:rPr>
          <w:sz w:val="21"/>
        </w:rPr>
        <w:t>（一）服务价格</w:t>
      </w:r>
    </w:p>
    <w:p>
      <w:pPr>
        <w:pStyle w:val="null3"/>
        <w:ind w:firstLine="480"/>
        <w:jc w:val="left"/>
      </w:pPr>
      <w:r>
        <w:rPr>
          <w:sz w:val="21"/>
        </w:rPr>
        <w:t>1.以《梅州市城市公立医院医疗服务项目价格》的收费标准为基准，项目价格包含成本、运输、包装、伴随服务、税费及其他一切附加费用。如服务期内有新的政策法规调整，则以最新的规定为准，结算也以最新价格标准结算。</w:t>
      </w:r>
    </w:p>
    <w:p>
      <w:pPr>
        <w:pStyle w:val="null3"/>
        <w:ind w:firstLine="480"/>
        <w:jc w:val="left"/>
      </w:pPr>
      <w:r>
        <w:rPr>
          <w:sz w:val="21"/>
        </w:rPr>
        <w:t>2.甲方向乙方支付委托检测服务费：甲方收费标准的</w:t>
      </w:r>
      <w:r>
        <w:rPr>
          <w:sz w:val="21"/>
          <w:u w:val="single"/>
        </w:rPr>
        <w:t xml:space="preserve">     </w:t>
      </w:r>
      <w:r>
        <w:rPr>
          <w:sz w:val="21"/>
        </w:rPr>
        <w:t>%。</w:t>
      </w:r>
    </w:p>
    <w:p>
      <w:pPr>
        <w:pStyle w:val="null3"/>
        <w:ind w:firstLine="482"/>
        <w:jc w:val="both"/>
      </w:pPr>
      <w:r>
        <w:rPr>
          <w:sz w:val="21"/>
        </w:rPr>
        <w:t>（二）结算方式</w:t>
      </w:r>
    </w:p>
    <w:p>
      <w:pPr>
        <w:pStyle w:val="null3"/>
        <w:ind w:firstLine="480"/>
        <w:jc w:val="left"/>
      </w:pPr>
      <w:r>
        <w:rPr>
          <w:sz w:val="21"/>
        </w:rPr>
        <w:t>每季度按实际外送检测项目和数量进行结算。双方凭信息管理系统统计的业务数据出具结算对账清单，双方须于下一季度结束前确认对账清单是否有误，对账单确认无误后双方签字；乙方向甲方提供上季度相应检测服务费用的服务发票，甲方在收到乙方发票后</w:t>
      </w:r>
      <w:r>
        <w:rPr>
          <w:sz w:val="21"/>
        </w:rPr>
        <w:t>30日内支付款项。</w:t>
      </w:r>
    </w:p>
    <w:p>
      <w:pPr>
        <w:pStyle w:val="null3"/>
        <w:ind w:firstLine="480"/>
        <w:jc w:val="left"/>
      </w:pPr>
      <w:r>
        <w:rPr>
          <w:sz w:val="21"/>
        </w:rPr>
        <w:t>乙方</w:t>
      </w:r>
      <w:r>
        <w:rPr>
          <w:sz w:val="21"/>
        </w:rPr>
        <w:t>银行账户信息如下：</w:t>
      </w:r>
    </w:p>
    <w:p>
      <w:pPr>
        <w:pStyle w:val="null3"/>
        <w:ind w:firstLine="480"/>
        <w:jc w:val="left"/>
      </w:pPr>
      <w:r>
        <w:rPr>
          <w:sz w:val="21"/>
        </w:rPr>
        <w:t>乙方：</w:t>
      </w:r>
    </w:p>
    <w:p>
      <w:pPr>
        <w:pStyle w:val="null3"/>
        <w:ind w:firstLine="480"/>
        <w:jc w:val="left"/>
      </w:pPr>
      <w:r>
        <w:rPr>
          <w:sz w:val="21"/>
        </w:rPr>
        <w:t>户名：</w:t>
      </w:r>
      <w:r>
        <w:rPr>
          <w:sz w:val="21"/>
        </w:rPr>
        <w:t xml:space="preserve">                        </w:t>
      </w:r>
    </w:p>
    <w:p>
      <w:pPr>
        <w:pStyle w:val="null3"/>
        <w:ind w:firstLine="480"/>
        <w:jc w:val="left"/>
      </w:pPr>
      <w:r>
        <w:rPr>
          <w:sz w:val="21"/>
        </w:rPr>
        <w:t>开户行：</w:t>
      </w:r>
      <w:r>
        <w:rPr>
          <w:sz w:val="21"/>
        </w:rPr>
        <w:t xml:space="preserve">                     </w:t>
      </w:r>
    </w:p>
    <w:p>
      <w:pPr>
        <w:pStyle w:val="null3"/>
        <w:ind w:firstLine="480"/>
        <w:jc w:val="left"/>
      </w:pPr>
      <w:r>
        <w:rPr>
          <w:sz w:val="21"/>
        </w:rPr>
        <w:t>账号：</w:t>
      </w:r>
      <w:r>
        <w:rPr>
          <w:sz w:val="21"/>
        </w:rPr>
        <w:t xml:space="preserve">                       </w:t>
      </w:r>
    </w:p>
    <w:p>
      <w:pPr>
        <w:pStyle w:val="null3"/>
        <w:ind w:firstLine="420"/>
        <w:jc w:val="left"/>
      </w:pPr>
      <w:r>
        <w:rPr>
          <w:sz w:val="21"/>
        </w:rPr>
        <w:t>五、考核要求</w:t>
      </w:r>
    </w:p>
    <w:p>
      <w:pPr>
        <w:pStyle w:val="null3"/>
        <w:ind w:firstLine="420"/>
        <w:jc w:val="left"/>
      </w:pPr>
      <w:r>
        <w:rPr>
          <w:sz w:val="21"/>
        </w:rPr>
        <w:t>每个季度的前</w:t>
      </w:r>
      <w:r>
        <w:rPr>
          <w:sz w:val="21"/>
        </w:rPr>
        <w:t>10个工作日内，甲方组织相关科室人员对乙方的上个季度的服务质量进行季度考核，考评内容详见附件《检验服务质量季度考核表》，具体如下：</w:t>
      </w:r>
    </w:p>
    <w:p>
      <w:pPr>
        <w:pStyle w:val="null3"/>
        <w:ind w:firstLine="420"/>
        <w:jc w:val="left"/>
      </w:pPr>
      <w:r>
        <w:rPr>
          <w:sz w:val="21"/>
        </w:rPr>
        <w:t>满分为</w:t>
      </w:r>
      <w:r>
        <w:rPr>
          <w:sz w:val="21"/>
        </w:rPr>
        <w:t>100分，考核得分≥90分的为合格，考核得分&lt;90分的为不合格。考核不合格时，每低于合格基准分（即90分）1分值，按考核季度总费用1%扣减费用，以此类推。季度服务质量连续三个月低于90分或出现季度服务质量低于80分，</w:t>
      </w:r>
      <w:r>
        <w:rPr>
          <w:sz w:val="21"/>
        </w:rPr>
        <w:t>甲方</w:t>
      </w:r>
      <w:r>
        <w:rPr>
          <w:sz w:val="21"/>
        </w:rPr>
        <w:t>并有权单方解除合同并报政府采购监管部门，造成的损失由</w:t>
      </w:r>
      <w:r>
        <w:rPr>
          <w:sz w:val="21"/>
        </w:rPr>
        <w:t>乙方</w:t>
      </w:r>
      <w:r>
        <w:rPr>
          <w:sz w:val="21"/>
        </w:rPr>
        <w:t>承担。对需整改的考评项目，甲方以书面形式向乙方发出整改通知，乙方须在接到书面通知后</w:t>
      </w:r>
      <w:r>
        <w:rPr>
          <w:sz w:val="21"/>
        </w:rPr>
        <w:t>7天内作出整改方案及承诺，并提交甲方确认。</w:t>
      </w:r>
    </w:p>
    <w:p>
      <w:pPr>
        <w:pStyle w:val="null3"/>
        <w:ind w:firstLine="482"/>
        <w:jc w:val="left"/>
      </w:pPr>
      <w:r>
        <w:rPr>
          <w:sz w:val="21"/>
        </w:rPr>
        <w:t>六、违约责任</w:t>
      </w:r>
    </w:p>
    <w:p>
      <w:pPr>
        <w:pStyle w:val="null3"/>
        <w:ind w:firstLine="420"/>
        <w:jc w:val="left"/>
      </w:pPr>
      <w:r>
        <w:rPr>
          <w:sz w:val="21"/>
        </w:rPr>
        <w:t>乙方不得分包、转包，出现以下情形之一的，甲方有权无条件终止和解除服务合同，并要求乙方支付合同金额</w:t>
      </w:r>
      <w:r>
        <w:rPr>
          <w:sz w:val="21"/>
        </w:rPr>
        <w:t>5%的违约金，由此产生的甲方经济损失和法律责任由乙方承担：</w:t>
      </w:r>
    </w:p>
    <w:p>
      <w:pPr>
        <w:pStyle w:val="null3"/>
        <w:ind w:firstLine="420"/>
        <w:jc w:val="left"/>
      </w:pPr>
      <w:r>
        <w:rPr>
          <w:sz w:val="21"/>
        </w:rPr>
        <w:t>（一）乙方未按照本协议规定履行或履行不符合本合同规定的，即为违约，违约方应承担相应的责任。</w:t>
      </w:r>
    </w:p>
    <w:p>
      <w:pPr>
        <w:pStyle w:val="null3"/>
        <w:ind w:firstLine="420"/>
        <w:jc w:val="both"/>
      </w:pPr>
      <w:r>
        <w:rPr>
          <w:sz w:val="21"/>
        </w:rPr>
        <w:t>（二）因乙方检测结果的误差导致医疗事故。</w:t>
      </w:r>
    </w:p>
    <w:p>
      <w:pPr>
        <w:pStyle w:val="null3"/>
        <w:ind w:firstLine="420"/>
        <w:jc w:val="both"/>
      </w:pPr>
      <w:r>
        <w:rPr>
          <w:sz w:val="21"/>
        </w:rPr>
        <w:t>（三）乙方对甲方送检的合格样本的检测结果负责，对于按照乙方要求取材的合格样本，若因乙方原因导致检测结果存在质量问题，由乙方承担相应责任。</w:t>
      </w:r>
    </w:p>
    <w:p>
      <w:pPr>
        <w:pStyle w:val="null3"/>
        <w:ind w:firstLine="420"/>
        <w:jc w:val="both"/>
      </w:pPr>
      <w:r>
        <w:rPr>
          <w:sz w:val="21"/>
        </w:rPr>
        <w:t>（四）乙方应保证其用到本项目的专利、技术是其合法持有，且享有处分权及使用权。若因实施本项目的专利技术产生侵权纠纷，甲方有权向乙方追究责任，由乙方承担因专利技术侵权纠纷给甲方造成的损失。</w:t>
      </w:r>
    </w:p>
    <w:p>
      <w:pPr>
        <w:pStyle w:val="null3"/>
        <w:ind w:firstLine="420"/>
        <w:jc w:val="both"/>
      </w:pPr>
      <w:r>
        <w:rPr>
          <w:sz w:val="21"/>
        </w:rPr>
        <w:t>（五）乙方开展项目所需的设备、试剂、耗材（不作医疗器械管理的除外）均取得国家药品监督管理局相关注册证明，如因此造成的不良后果由乙方承担相应责任。</w:t>
      </w:r>
    </w:p>
    <w:p>
      <w:pPr>
        <w:pStyle w:val="null3"/>
      </w:pPr>
      <w:r>
        <w:rPr>
          <w:sz w:val="21"/>
        </w:rPr>
        <w:t xml:space="preserve">   </w:t>
      </w:r>
      <w:r>
        <w:rPr>
          <w:sz w:val="21"/>
        </w:rPr>
        <w:t>（六）如因乙方提供的试剂、耗材质量不合格造成不良事件的，乙方应</w:t>
      </w:r>
      <w:r>
        <w:rPr>
          <w:sz w:val="21"/>
        </w:rPr>
        <w:t>4</w:t>
      </w:r>
      <w:r>
        <w:rPr>
          <w:sz w:val="21"/>
        </w:rPr>
        <w:t>小时内通知甲方实验室并递交相应解决方案，同时乙方承担因不良事件给甲方造成的一切损失后果。</w:t>
      </w:r>
    </w:p>
    <w:p>
      <w:pPr>
        <w:pStyle w:val="null3"/>
        <w:ind w:firstLine="420"/>
        <w:jc w:val="both"/>
      </w:pPr>
      <w:r>
        <w:rPr>
          <w:sz w:val="21"/>
        </w:rPr>
        <w:t>（七）乙方提供的检测服务应与项目收费标准内涵要求一致，如因此造成的不良后果由乙方承担相应责任。</w:t>
      </w:r>
    </w:p>
    <w:p>
      <w:pPr>
        <w:pStyle w:val="null3"/>
        <w:ind w:firstLine="420"/>
        <w:jc w:val="left"/>
      </w:pPr>
      <w:r>
        <w:rPr>
          <w:sz w:val="21"/>
        </w:rPr>
        <w:t>（八）乙方在采购期内出现一次国家卫生健康委临床检验中心室间质评不及格。</w:t>
      </w:r>
    </w:p>
    <w:p>
      <w:pPr>
        <w:pStyle w:val="null3"/>
        <w:ind w:firstLine="420"/>
        <w:jc w:val="left"/>
      </w:pPr>
      <w:r>
        <w:rPr>
          <w:sz w:val="21"/>
        </w:rPr>
        <w:t>（九）在合作期间，如因被委托实验室的检测项目违反了国家的医保收费政策导致甲方被扣罚。</w:t>
      </w:r>
    </w:p>
    <w:p>
      <w:pPr>
        <w:pStyle w:val="null3"/>
        <w:ind w:firstLine="420"/>
        <w:jc w:val="left"/>
      </w:pPr>
      <w:r>
        <w:rPr>
          <w:sz w:val="21"/>
        </w:rPr>
        <w:t>（十）乙方私下接收甲方临床科室的检验检查标本。</w:t>
      </w:r>
    </w:p>
    <w:p>
      <w:pPr>
        <w:pStyle w:val="null3"/>
        <w:ind w:firstLine="482"/>
        <w:jc w:val="left"/>
      </w:pPr>
      <w:r>
        <w:rPr>
          <w:sz w:val="21"/>
        </w:rPr>
        <w:t>六、纠纷的解决</w:t>
      </w:r>
    </w:p>
    <w:p>
      <w:pPr>
        <w:pStyle w:val="null3"/>
        <w:ind w:firstLine="480"/>
        <w:jc w:val="left"/>
      </w:pPr>
      <w:r>
        <w:rPr>
          <w:sz w:val="21"/>
        </w:rPr>
        <w:t>本协议未尽事宜及在本协议履行过程中出现的争议，由双方友好协商解决，双方签署书面文件对本合同作修改、补充、变更。若双方无法协商，</w:t>
      </w:r>
      <w:r>
        <w:rPr>
          <w:sz w:val="21"/>
        </w:rPr>
        <w:t>由</w:t>
      </w:r>
      <w:r>
        <w:rPr>
          <w:sz w:val="21"/>
        </w:rPr>
        <w:t>甲方</w:t>
      </w:r>
      <w:r>
        <w:rPr>
          <w:sz w:val="21"/>
        </w:rPr>
        <w:t>住</w:t>
      </w:r>
      <w:r>
        <w:rPr>
          <w:sz w:val="21"/>
        </w:rPr>
        <w:t>所地人民法院</w:t>
      </w:r>
      <w:r>
        <w:rPr>
          <w:sz w:val="21"/>
        </w:rPr>
        <w:t>管辖</w:t>
      </w:r>
      <w:r>
        <w:rPr>
          <w:sz w:val="21"/>
        </w:rPr>
        <w:t>。</w:t>
      </w:r>
    </w:p>
    <w:p>
      <w:pPr>
        <w:pStyle w:val="null3"/>
        <w:ind w:firstLine="482"/>
        <w:jc w:val="left"/>
      </w:pPr>
      <w:r>
        <w:rPr>
          <w:sz w:val="21"/>
        </w:rPr>
        <w:t>七、协议的效力</w:t>
      </w:r>
    </w:p>
    <w:p>
      <w:pPr>
        <w:pStyle w:val="null3"/>
        <w:ind w:firstLine="496"/>
        <w:jc w:val="left"/>
      </w:pPr>
      <w:r>
        <w:rPr>
          <w:sz w:val="21"/>
        </w:rPr>
        <w:t>本协议一式肆份，双方各执贰份，自双方签字并加盖公章之日起生效。</w:t>
      </w:r>
    </w:p>
    <w:p>
      <w:pPr>
        <w:pStyle w:val="null3"/>
        <w:jc w:val="left"/>
      </w:pPr>
      <w:r>
        <w:rPr>
          <w:sz w:val="21"/>
        </w:rPr>
        <w:t xml:space="preserve">    </w:t>
      </w:r>
      <w:r>
        <w:rPr>
          <w:sz w:val="21"/>
        </w:rPr>
        <w:t>甲方（盖章）：</w:t>
      </w:r>
      <w:r>
        <w:rPr>
          <w:sz w:val="21"/>
        </w:rPr>
        <w:t xml:space="preserve">                 </w:t>
      </w:r>
      <w:r>
        <w:rPr>
          <w:sz w:val="21"/>
        </w:rPr>
        <w:t>乙方（盖章）：</w:t>
      </w:r>
    </w:p>
    <w:p>
      <w:pPr>
        <w:pStyle w:val="null3"/>
        <w:jc w:val="both"/>
      </w:pPr>
      <w:r>
        <w:rPr>
          <w:sz w:val="21"/>
        </w:rPr>
        <w:t xml:space="preserve">    </w:t>
      </w:r>
      <w:r>
        <w:rPr>
          <w:sz w:val="21"/>
        </w:rPr>
        <w:t>代表（签章）：</w:t>
      </w:r>
      <w:r>
        <w:rPr>
          <w:sz w:val="21"/>
        </w:rPr>
        <w:t xml:space="preserve">                  </w:t>
      </w:r>
      <w:r>
        <w:rPr>
          <w:sz w:val="21"/>
        </w:rPr>
        <w:t>代表（签章）：</w:t>
      </w:r>
    </w:p>
    <w:p>
      <w:pPr>
        <w:pStyle w:val="null3"/>
        <w:jc w:val="both"/>
      </w:pPr>
      <w:r>
        <w:rPr>
          <w:sz w:val="21"/>
        </w:rPr>
        <w:t xml:space="preserve"> </w:t>
      </w:r>
    </w:p>
    <w:p>
      <w:pPr>
        <w:pStyle w:val="null3"/>
        <w:jc w:val="left"/>
      </w:pP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附件</w:t>
      </w:r>
    </w:p>
    <w:p>
      <w:pPr>
        <w:pStyle w:val="null3"/>
        <w:jc w:val="center"/>
      </w:pPr>
      <w:r>
        <w:rPr>
          <w:sz w:val="21"/>
        </w:rPr>
        <w:t>检验服务质量季度考核表</w:t>
      </w:r>
    </w:p>
    <w:tbl>
      <w:tblPr>
        <w:tblW w:w="0" w:type="auto"/>
        <w:tblBorders>
          <w:top w:val="none" w:color="000000" w:sz="4"/>
          <w:left w:val="none" w:color="000000" w:sz="4"/>
          <w:bottom w:val="none" w:color="000000" w:sz="4"/>
          <w:right w:val="none" w:color="000000" w:sz="4"/>
          <w:insideH w:val="none"/>
          <w:insideV w:val="none"/>
        </w:tblBorders>
      </w:tblPr>
      <w:tblGrid>
        <w:gridCol w:w="547"/>
        <w:gridCol w:w="1153"/>
        <w:gridCol w:w="3057"/>
        <w:gridCol w:w="908"/>
        <w:gridCol w:w="2595"/>
      </w:tblGrid>
      <w:tr>
        <w:tc>
          <w:tcPr>
            <w:tcW w:type="dxa" w:w="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3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9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满分值</w:t>
            </w:r>
          </w:p>
        </w:tc>
        <w:tc>
          <w:tcPr>
            <w:tcW w:type="dxa" w:w="2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扣分原则（不设上限）</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5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标本接收</w:t>
            </w:r>
            <w:r>
              <w:br/>
            </w:r>
            <w:r>
              <w:rPr>
                <w:sz w:val="21"/>
              </w:rPr>
              <w:t>（</w:t>
            </w:r>
            <w:r>
              <w:rPr>
                <w:sz w:val="21"/>
              </w:rPr>
              <w:t>20分）</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标本接收是否及时、遗漏、丢失。</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标本未及时接收，每例扣</w:t>
            </w:r>
            <w:r>
              <w:rPr>
                <w:sz w:val="21"/>
              </w:rPr>
              <w:t>2分；标本遗失、标本丢失每例扣5分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是否按规范流程进行标本接收、登记和包装。</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未按规范进行标本登记每出现</w:t>
            </w:r>
            <w:r>
              <w:rPr>
                <w:sz w:val="21"/>
              </w:rPr>
              <w:t>1例扣1分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标本初检发现不合格标本是否及时通知医院。</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未及时报告医院每出现</w:t>
            </w:r>
            <w:r>
              <w:rPr>
                <w:sz w:val="21"/>
              </w:rPr>
              <w:t>1例扣1分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53"/>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标本检验及结果报告（</w:t>
            </w:r>
            <w:r>
              <w:rPr>
                <w:sz w:val="21"/>
              </w:rPr>
              <w:t>40分）</w:t>
            </w:r>
          </w:p>
          <w:p>
            <w:pPr>
              <w:pStyle w:val="null3"/>
              <w:jc w:val="both"/>
            </w:p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标本送检过程中是否及时、遗漏、丢失。</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未按规定时间进行标本送检，每出现一例扣</w:t>
            </w:r>
            <w:r>
              <w:rPr>
                <w:sz w:val="21"/>
              </w:rPr>
              <w:t>2分；标本遗失、丢失每出现一例扣5分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报告单是否书写整洁、无错项、无漏项、签名易辨认、信息完整。</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报告单书写潦草、签名无法辨认、漏项、信息不完整每例扣</w:t>
            </w:r>
            <w:r>
              <w:rPr>
                <w:sz w:val="21"/>
              </w:rPr>
              <w:t>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发生设备、试剂耗材严重不良事件及其他特殊情况影响检测结果准确性或报告时限时，是否</w:t>
            </w:r>
            <w:r>
              <w:rPr>
                <w:sz w:val="21"/>
              </w:rPr>
              <w:t>4小时内通知采购人实验室并递交相应解决方案。</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未及时告知每例扣</w:t>
            </w:r>
            <w:r>
              <w:rPr>
                <w:sz w:val="21"/>
              </w:rPr>
              <w:t>2分，有告知但无解决方案每例扣2分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检验结果无差错</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检验结果出现</w:t>
            </w:r>
            <w:r>
              <w:rPr>
                <w:sz w:val="21"/>
              </w:rPr>
              <w:t>1例差错每例扣10分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检测结果存在疑</w:t>
            </w:r>
            <w:r>
              <w:rPr>
                <w:sz w:val="21"/>
              </w:rPr>
              <w:t>议</w:t>
            </w:r>
            <w:r>
              <w:rPr>
                <w:sz w:val="21"/>
              </w:rPr>
              <w:t>时，</w:t>
            </w:r>
            <w:r>
              <w:rPr>
                <w:sz w:val="21"/>
              </w:rPr>
              <w:t>是否</w:t>
            </w:r>
            <w:r>
              <w:rPr>
                <w:sz w:val="21"/>
              </w:rPr>
              <w:t>及时提供验证性检测服务</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未及时提供验证性检测服务每例扣</w:t>
            </w:r>
            <w:r>
              <w:rPr>
                <w:sz w:val="21"/>
              </w:rPr>
              <w:t>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检验结果是否及时报告、上传（含病理扫描切片链接），以供医院随时查询及调阅。</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检验结果未及时上传每例扣</w:t>
            </w:r>
            <w:r>
              <w:rPr>
                <w:sz w:val="21"/>
              </w:rPr>
              <w:t>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危急值处理</w:t>
            </w:r>
            <w:r>
              <w:br/>
            </w:r>
            <w:r>
              <w:rPr>
                <w:sz w:val="21"/>
              </w:rPr>
              <w:t>（</w:t>
            </w:r>
            <w:r>
              <w:rPr>
                <w:sz w:val="21"/>
              </w:rPr>
              <w:t>10分）</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出现危急值结果时，检查标本是否合格情况，质控达标情况运行是否正常，并对结果进行复查后登记。是否按危急值报告流程通知医院及</w:t>
            </w:r>
            <w:r>
              <w:rPr>
                <w:sz w:val="21"/>
              </w:rPr>
              <w:t>主管</w:t>
            </w:r>
            <w:r>
              <w:rPr>
                <w:sz w:val="21"/>
              </w:rPr>
              <w:t>医师。</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危急值迟报、漏报每例扣</w:t>
            </w:r>
            <w:r>
              <w:rPr>
                <w:sz w:val="21"/>
              </w:rPr>
              <w:t>5分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15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服务响应</w:t>
            </w:r>
            <w:r>
              <w:rPr>
                <w:sz w:val="21"/>
              </w:rPr>
              <w:t>（</w:t>
            </w:r>
            <w:r>
              <w:rPr>
                <w:sz w:val="21"/>
              </w:rPr>
              <w:t>30分）</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w:t>
            </w:r>
            <w:r>
              <w:rPr>
                <w:sz w:val="21"/>
              </w:rPr>
              <w:t>甲方</w:t>
            </w:r>
            <w:r>
              <w:rPr>
                <w:sz w:val="21"/>
              </w:rPr>
              <w:t>需求提供检验后样本（含病理玻片、核酸等）、原始数据等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未提供每例扣</w:t>
            </w:r>
            <w:r>
              <w:rPr>
                <w:sz w:val="21"/>
              </w:rPr>
              <w:t>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是否按采购需求定期提供室间质评证书、实验室间比对结果、室内质量控制数据</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未按时提供每项目扣</w:t>
            </w:r>
            <w:r>
              <w:rPr>
                <w:sz w:val="21"/>
              </w:rPr>
              <w:t>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是否及时响应针对检测项目产生的投诉或其他需处理的情况</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无响应每次扣</w:t>
            </w:r>
            <w:r>
              <w:rPr>
                <w:sz w:val="21"/>
              </w:rPr>
              <w:t>5分，有响应但处理不及时导致不良后果每次扣2分</w:t>
            </w:r>
          </w:p>
        </w:tc>
      </w:tr>
      <w:tr>
        <w:tc>
          <w:tcPr>
            <w:tcW w:type="dxa" w:w="47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441401-2025-00385</w:t>
      </w:r>
    </w:p>
    <w:p>
      <w:pPr>
        <w:pStyle w:val="null3"/>
        <w:jc w:val="center"/>
        <w:outlineLvl w:val="3"/>
      </w:pPr>
      <w:r>
        <w:rPr>
          <w:sz w:val="24"/>
          <w:b/>
        </w:rPr>
        <w:t>采购项目编号：</w:t>
      </w:r>
      <w:r>
        <w:rPr>
          <w:sz w:val="24"/>
          <w:b/>
        </w:rPr>
        <w:t>0724-2531MZ271769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梅州市人民医院检验、病理标本外送检测服务项目(二次)</w:t>
      </w:r>
      <w:r>
        <w:rPr>
          <w:u w:val="single"/>
        </w:rPr>
        <w:t>”</w:t>
      </w:r>
      <w:r>
        <w:rPr/>
        <w:t>项目的招标[采购项目编号为：</w:t>
      </w:r>
      <w:r>
        <w:rPr>
          <w:u w:val="single"/>
        </w:rPr>
        <w:t>0724-2531MZ271769</w:t>
      </w:r>
      <w:r>
        <w:rPr/>
        <w:t>]，我方愿参与投标。</w:t>
      </w:r>
    </w:p>
    <w:p>
      <w:pPr>
        <w:pStyle w:val="null3"/>
        <w:ind w:firstLine="480"/>
      </w:pPr>
      <w:r>
        <w:rPr/>
        <w:t>我方确认收到贵方提供的</w:t>
      </w:r>
      <w:r>
        <w:rPr>
          <w:u w:val="single"/>
        </w:rPr>
        <w:t>“</w:t>
      </w:r>
      <w:r>
        <w:rPr>
          <w:u w:val="single"/>
        </w:rPr>
        <w:t>梅州市人民医院检验、病理标本外送检测服务项目(二次)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梅州市人民医院检验、病理标本外送检测服务项目(二次)</w:t>
      </w:r>
      <w:r>
        <w:rPr/>
        <w:t>”项目采购[采购项目编号为</w:t>
      </w:r>
      <w:r>
        <w:rPr/>
        <w:t>0724-2531MZ271769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梅州市人民医院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梅州市人民医院检验、病理标本外送检测服务项目(二次)</w:t>
      </w:r>
      <w:r>
        <w:rPr/>
        <w:t>招标中获中标（采购项目编号：</w:t>
      </w:r>
      <w:r>
        <w:rPr/>
        <w:t>0724-2531MZ271769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梅州市人民医院检验、病理标本外送检测服务项目(二次)</w:t>
      </w:r>
      <w:r>
        <w:rPr/>
        <w:t>”项目（采购项目编号：</w:t>
      </w:r>
      <w:r>
        <w:rPr/>
        <w:t>0724-2531MZ271769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