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440513-2025-03803</w:t>
      </w:r>
    </w:p>
    <w:p>
      <w:pPr>
        <w:pStyle w:val="null3"/>
        <w:jc w:val="center"/>
        <w:outlineLvl w:val="3"/>
      </w:pPr>
      <w:r>
        <w:rPr>
          <w:sz w:val="24"/>
          <w:b/>
        </w:rPr>
        <w:t>采购项目编号：</w:t>
      </w:r>
      <w:r>
        <w:rPr>
          <w:sz w:val="24"/>
          <w:b/>
        </w:rPr>
        <w:t>0724-2531Z1438864</w:t>
      </w:r>
    </w:p>
    <w:p>
      <w:pPr>
        <w:pStyle w:val="null3"/>
        <w:jc w:val="center"/>
        <w:outlineLvl w:val="3"/>
      </w:pPr>
      <w:r>
        <w:rPr>
          <w:sz w:val="24"/>
          <w:b/>
        </w:rPr>
        <w:t>项目名称：</w:t>
      </w:r>
      <w:r>
        <w:rPr>
          <w:sz w:val="24"/>
          <w:b/>
        </w:rPr>
        <w:t>汕头市潮阳区大峰医院信息管理系统及配套设备运维项目</w:t>
      </w:r>
    </w:p>
    <w:p>
      <w:pPr>
        <w:pStyle w:val="null3"/>
        <w:jc w:val="center"/>
        <w:outlineLvl w:val="3"/>
      </w:pPr>
      <w:r>
        <w:rPr>
          <w:sz w:val="24"/>
          <w:b/>
        </w:rPr>
        <w:t>采购人：</w:t>
      </w:r>
      <w:r>
        <w:rPr>
          <w:sz w:val="24"/>
          <w:b/>
        </w:rPr>
        <w:t>汕头市潮阳区大峰医院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 xml:space="preserve">国义招标股份有限公司 </w:t>
      </w:r>
      <w:r>
        <w:rPr/>
        <w:t>受</w:t>
      </w:r>
      <w:r>
        <w:rPr/>
        <w:t>汕头市潮阳区大峰医院</w:t>
      </w:r>
      <w:r>
        <w:rPr/>
        <w:t>的委托，采用</w:t>
      </w:r>
      <w:r>
        <w:rPr/>
        <w:t>公开招标</w:t>
      </w:r>
      <w:r>
        <w:rPr/>
        <w:t>方式组织采购</w:t>
      </w:r>
      <w:r>
        <w:rPr/>
        <w:t>汕头市潮阳区大峰医院信息管理系统及配套设备运维项目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汕头市潮阳区大峰医院信息管理系统及配套设备运维项目</w:t>
      </w:r>
    </w:p>
    <w:p>
      <w:pPr>
        <w:pStyle w:val="null3"/>
        <w:ind w:firstLine="480"/>
      </w:pPr>
      <w:r>
        <w:rPr/>
        <w:t>采购计划编号：</w:t>
      </w:r>
      <w:r>
        <w:rPr/>
        <w:t>440513-2025-03803</w:t>
      </w:r>
    </w:p>
    <w:p>
      <w:pPr>
        <w:pStyle w:val="null3"/>
        <w:ind w:firstLine="480"/>
      </w:pPr>
      <w:r>
        <w:rPr/>
        <w:t>采购项目编号：</w:t>
      </w:r>
      <w:r>
        <w:rPr/>
        <w:t>0724-2531Z1438864</w:t>
      </w:r>
    </w:p>
    <w:p>
      <w:pPr>
        <w:pStyle w:val="null3"/>
        <w:ind w:firstLine="480"/>
      </w:pPr>
      <w:r>
        <w:rPr/>
        <w:t>采购方式：</w:t>
      </w:r>
      <w:r>
        <w:rPr/>
        <w:t>公开招标</w:t>
      </w:r>
    </w:p>
    <w:p>
      <w:pPr>
        <w:pStyle w:val="null3"/>
        <w:ind w:firstLine="480"/>
      </w:pPr>
      <w:r>
        <w:rPr/>
        <w:t>预算金额：</w:t>
      </w:r>
      <w:r>
        <w:rPr/>
        <w:t>2,082,300.00</w:t>
      </w:r>
      <w:r>
        <w:rPr/>
        <w:t>元</w:t>
      </w:r>
    </w:p>
    <w:p>
      <w:pPr>
        <w:pStyle w:val="null3"/>
        <w:outlineLvl w:val="3"/>
      </w:pPr>
      <w:r>
        <w:rPr>
          <w:sz w:val="24"/>
          <w:b/>
        </w:rPr>
        <w:t>2.项目内容及需求情况（采购项目技术规格、参数及要求）</w:t>
      </w:r>
    </w:p>
    <w:p>
      <w:pPr>
        <w:pStyle w:val="null3"/>
      </w:pPr>
      <w:r>
        <w:rPr/>
        <w:t>采购包1(汕头市潮阳区大峰医院信息管理系统及配套设备运维项目):</w:t>
      </w:r>
    </w:p>
    <w:p>
      <w:pPr>
        <w:pStyle w:val="null3"/>
      </w:pPr>
      <w:r>
        <w:rPr/>
        <w:t>采购包预算金额：2,082,300.00元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硬件运维服务</w:t>
            </w:r>
          </w:p>
        </w:tc>
        <w:tc>
          <w:tcPr>
            <w:tcW w:type="dxa" w:w="2136"/>
          </w:tcPr>
          <w:p>
            <w:pPr>
              <w:pStyle w:val="null3"/>
            </w:pPr>
            <w:r>
              <w:rPr/>
              <w:t>信息管理系统及配套设备运维项目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合同履行期限：自合同生效之日起至合同全部权利义务履行完毕之日止。</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p>
      <w:pPr>
        <w:pStyle w:val="null3"/>
      </w:pPr>
      <w:r>
        <w:rPr/>
        <w:t>3）具有良好的商业信誉和健全的财务会计制度：提供《汕头市政府采购供应商信用承诺函》（或者提供2023年度或2024年度财务状况报告（新成立公司提供成立至今的月或季度财务报表） 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采购包1（汕头市潮阳区大峰医院信息管理系统及配套设备运维项目）：</w:t>
      </w:r>
      <w:r>
        <w:rPr/>
        <w:t>采购包为专门面向中小企业采购的项目，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p>
      <w:pPr>
        <w:pStyle w:val="null3"/>
        <w:outlineLvl w:val="3"/>
      </w:pPr>
      <w:r>
        <w:rPr>
          <w:sz w:val="24"/>
          <w:b/>
        </w:rPr>
        <w:t>3.本项目特定的资格要求：</w:t>
      </w:r>
    </w:p>
    <w:p>
      <w:pPr>
        <w:pStyle w:val="null3"/>
      </w:pPr>
      <w:r>
        <w:rPr/>
        <w:t>采购包1（汕头市潮阳区大峰医院信息管理系统及配套设备运维项目）：</w:t>
      </w:r>
    </w:p>
    <w:p>
      <w:pPr>
        <w:pStyle w:val="null3"/>
      </w:pPr>
      <w:r>
        <w:rPr/>
        <w:t>1)没有被列入失信被执行人、严重失信主体名单、重大税收违法失信主体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 查询结果为准，如相关失信记录已失效，供应商需提供相关证明资料]。</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p>
      <w:pPr>
        <w:pStyle w:val="null3"/>
      </w:pPr>
      <w:r>
        <w:rPr/>
        <w:t>3)已登记获取本次采购文件。(具体方式详见本项目公告)。</w:t>
      </w:r>
    </w:p>
    <w:p>
      <w:pPr>
        <w:pStyle w:val="null3"/>
      </w:pPr>
      <w:r>
        <w:rPr/>
        <w:t>4)本项目不接受联合体投标。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广东省公共资源交易平台（https://ygp.gdzwfw.gov.cn/）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汕头市潮阳区大峰医院</w:t>
      </w:r>
    </w:p>
    <w:p>
      <w:pPr>
        <w:pStyle w:val="null3"/>
        <w:ind w:firstLine="480"/>
      </w:pPr>
      <w:r>
        <w:rPr/>
        <w:t xml:space="preserve"> 地址：</w:t>
      </w:r>
      <w:r>
        <w:rPr/>
        <w:t>汕头市潮阳区和平镇大峰风景区东侧</w:t>
      </w:r>
    </w:p>
    <w:p>
      <w:pPr>
        <w:pStyle w:val="null3"/>
        <w:ind w:firstLine="480"/>
      </w:pPr>
      <w:r>
        <w:rPr/>
        <w:t xml:space="preserve"> 联系方式：</w:t>
      </w:r>
      <w:r>
        <w:rPr/>
        <w:t>0754-82278058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020-37860569/37860567</w:t>
      </w:r>
    </w:p>
    <w:p>
      <w:pPr>
        <w:pStyle w:val="null3"/>
        <w:outlineLvl w:val="3"/>
      </w:pPr>
      <w:r>
        <w:rPr>
          <w:sz w:val="24"/>
          <w:b/>
        </w:rPr>
        <w:t xml:space="preserve"> 3.项目联系方式</w:t>
      </w:r>
    </w:p>
    <w:p>
      <w:pPr>
        <w:pStyle w:val="null3"/>
        <w:ind w:firstLine="480"/>
      </w:pPr>
      <w:r>
        <w:rPr/>
        <w:t xml:space="preserve"> 项目联系人：</w:t>
      </w:r>
      <w:r>
        <w:rPr/>
        <w:t>章工、伍工</w:t>
      </w:r>
    </w:p>
    <w:p>
      <w:pPr>
        <w:pStyle w:val="null3"/>
        <w:ind w:firstLine="480"/>
      </w:pPr>
      <w:r>
        <w:rPr/>
        <w:t xml:space="preserve"> 电话：</w:t>
      </w:r>
      <w:r>
        <w:rPr/>
        <w:t>020-37860569/37860567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1．项目标的及最高采购限价</w:t>
      </w:r>
    </w:p>
    <w:tbl>
      <w:tblPr>
        <w:tblW w:w="0" w:type="auto"/>
        <w:tblBorders>
          <w:top w:val="none" w:color="000000" w:sz="4"/>
          <w:left w:val="none" w:color="000000" w:sz="4"/>
          <w:bottom w:val="none" w:color="000000" w:sz="4"/>
          <w:right w:val="none" w:color="000000" w:sz="4"/>
          <w:insideH w:val="none"/>
          <w:insideV w:val="none"/>
        </w:tblBorders>
      </w:tblPr>
      <w:tblGrid>
        <w:gridCol w:w="4716"/>
        <w:gridCol w:w="828"/>
        <w:gridCol w:w="2752"/>
      </w:tblGrid>
      <w:tr>
        <w:tc>
          <w:tcPr>
            <w:tcW w:type="dxa" w:w="4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采购标的</w:t>
            </w:r>
          </w:p>
        </w:tc>
        <w:tc>
          <w:tcPr>
            <w:tcW w:type="dxa" w:w="8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27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r>
      <w:tr>
        <w:tc>
          <w:tcPr>
            <w:tcW w:type="dxa" w:w="4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信息管理系统及配套设备运维项目</w:t>
            </w:r>
          </w:p>
        </w:tc>
        <w:tc>
          <w:tcPr>
            <w:tcW w:type="dxa" w:w="8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1项</w:t>
            </w:r>
          </w:p>
        </w:tc>
        <w:tc>
          <w:tcPr>
            <w:tcW w:type="dxa" w:w="27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2,082,300.00元</w:t>
            </w:r>
          </w:p>
        </w:tc>
      </w:tr>
    </w:tbl>
    <w:p>
      <w:pPr>
        <w:pStyle w:val="null3"/>
        <w:ind w:firstLine="420"/>
        <w:jc w:val="both"/>
      </w:pPr>
      <w:r>
        <w:rPr>
          <w:sz w:val="21"/>
        </w:rPr>
        <w:t>详细技术规范请参阅招标文件中的用户需求书。投标人必须对本项目（所投采购包号内）全部内容进行投标报价，如有缺漏，将导致投标无效。如所投包号投标报价超出对应采购包的最高限价，将导致投标无效。</w:t>
      </w:r>
    </w:p>
    <w:p>
      <w:pPr>
        <w:pStyle w:val="null3"/>
        <w:spacing w:before="30"/>
        <w:ind w:right="105"/>
        <w:jc w:val="both"/>
      </w:pPr>
      <w:r>
        <w:rPr>
          <w:sz w:val="21"/>
        </w:rPr>
        <w:t>二、总体要求：</w:t>
      </w:r>
    </w:p>
    <w:p>
      <w:pPr>
        <w:pStyle w:val="null3"/>
        <w:spacing w:before="30"/>
        <w:ind w:right="105" w:firstLine="444"/>
        <w:jc w:val="both"/>
      </w:pPr>
      <w:r>
        <w:rPr>
          <w:sz w:val="21"/>
        </w:rPr>
        <w:t>1.投标人必须对本项目（所投采购包号内）的所有内容进行投标。</w:t>
      </w:r>
    </w:p>
    <w:p>
      <w:pPr>
        <w:pStyle w:val="null3"/>
        <w:spacing w:before="30"/>
        <w:ind w:right="105" w:firstLine="444"/>
        <w:jc w:val="both"/>
      </w:pPr>
      <w:r>
        <w:rPr>
          <w:sz w:val="21"/>
        </w:rPr>
        <w:t>2.投标人漏报的单价或每单价投标中漏报、少报的费用，视为此项费用已包含在投标中，中标后不得再向采购人收取任何费用。</w:t>
      </w:r>
    </w:p>
    <w:p>
      <w:pPr>
        <w:pStyle w:val="null3"/>
        <w:jc w:val="both"/>
      </w:pPr>
      <w:r>
        <w:rPr>
          <w:sz w:val="21"/>
        </w:rPr>
        <w:t>注：</w:t>
      </w:r>
    </w:p>
    <w:p>
      <w:pPr>
        <w:pStyle w:val="null3"/>
        <w:ind w:firstLine="424"/>
        <w:jc w:val="both"/>
      </w:pPr>
      <w:r>
        <w:rPr>
          <w:sz w:val="21"/>
        </w:rPr>
        <w:t>以下需求仅作为</w:t>
      </w:r>
      <w:r>
        <w:rPr>
          <w:sz w:val="21"/>
        </w:rPr>
        <w:t>技术</w:t>
      </w:r>
      <w:r>
        <w:rPr>
          <w:sz w:val="21"/>
        </w:rPr>
        <w:t>/服务的客观描述，无限制性或指向性，投标人按自身情况编制投标方案。</w:t>
      </w:r>
    </w:p>
    <w:p>
      <w:pPr>
        <w:pStyle w:val="null3"/>
        <w:ind w:firstLine="424"/>
        <w:jc w:val="both"/>
      </w:pPr>
      <w:r>
        <w:rPr>
          <w:sz w:val="21"/>
        </w:rPr>
        <w:t>除另有说明外，以下需求所述的</w:t>
      </w:r>
      <w:r>
        <w:rPr>
          <w:sz w:val="21"/>
        </w:rPr>
        <w:t>“大于”“小于”“以上”“以下”等描述或符号均包含本数</w:t>
      </w:r>
    </w:p>
    <w:p>
      <w:pPr>
        <w:pStyle w:val="null3"/>
        <w:ind w:firstLine="424"/>
        <w:jc w:val="both"/>
      </w:pPr>
      <w:r>
        <w:rPr>
          <w:sz w:val="21"/>
        </w:rPr>
        <w:t>除另有说明外，以下需求所述区间范围的是指：响应数值在该区间范围内，或响应区间能涵盖该范围的，均为符合要求；响应数值不在该范围内，或响应区间不能涵盖该范围的，均为负偏离。所述固定数值的可以完整、明确地描述采购标的需</w:t>
      </w:r>
      <w:r>
        <w:rPr>
          <w:sz w:val="21"/>
          <w:color w:val="000000"/>
          <w:shd w:fill="FFFFFF" w:val="clear"/>
        </w:rPr>
        <w:t>实现的目标</w:t>
      </w:r>
      <w:r>
        <w:rPr>
          <w:sz w:val="21"/>
          <w:color w:val="000000"/>
          <w:shd w:fill="FFFFFF" w:val="clear"/>
        </w:rPr>
        <w:t>、</w:t>
      </w:r>
      <w:r>
        <w:rPr>
          <w:sz w:val="21"/>
          <w:color w:val="000000"/>
          <w:shd w:fill="FFFFFF" w:val="clear"/>
        </w:rPr>
        <w:t>实施的时间和地点</w:t>
      </w:r>
      <w:r>
        <w:rPr>
          <w:sz w:val="21"/>
          <w:color w:val="000000"/>
          <w:shd w:fill="FFFFFF" w:val="clear"/>
        </w:rPr>
        <w:t>、需满足的服务标准、期限、效率等</w:t>
      </w:r>
      <w:r>
        <w:rPr>
          <w:sz w:val="21"/>
        </w:rPr>
        <w:t>等服务要求，是指：响应数值满足或优于该固定数值的，均为符合要求；响应数值劣于该固定数值的，均为负偏离。</w:t>
      </w:r>
    </w:p>
    <w:p>
      <w:pPr>
        <w:pStyle w:val="null3"/>
        <w:ind w:firstLine="424"/>
        <w:jc w:val="both"/>
      </w:pPr>
      <w:r>
        <w:rPr>
          <w:sz w:val="21"/>
        </w:rPr>
        <w:t>以下仅从需求的角度列出</w:t>
      </w:r>
      <w:r>
        <w:rPr>
          <w:sz w:val="21"/>
          <w:color w:val="000000"/>
          <w:shd w:fill="FFFFFF" w:val="clear"/>
        </w:rPr>
        <w:t>需实现的目标</w:t>
      </w:r>
      <w:r>
        <w:rPr>
          <w:sz w:val="21"/>
          <w:color w:val="000000"/>
          <w:shd w:fill="FFFFFF" w:val="clear"/>
        </w:rPr>
        <w:t>、</w:t>
      </w:r>
      <w:r>
        <w:rPr>
          <w:sz w:val="21"/>
          <w:color w:val="000000"/>
          <w:shd w:fill="FFFFFF" w:val="clear"/>
        </w:rPr>
        <w:t>需执行标准</w:t>
      </w:r>
      <w:r>
        <w:rPr>
          <w:sz w:val="21"/>
          <w:color w:val="000000"/>
          <w:shd w:fill="FFFFFF" w:val="clear"/>
        </w:rPr>
        <w:t>/</w:t>
      </w:r>
      <w:r>
        <w:rPr>
          <w:sz w:val="21"/>
          <w:color w:val="000000"/>
          <w:shd w:fill="FFFFFF" w:val="clear"/>
        </w:rPr>
        <w:t>规范</w:t>
      </w:r>
      <w:r>
        <w:rPr>
          <w:sz w:val="21"/>
          <w:color w:val="000000"/>
          <w:shd w:fill="FFFFFF" w:val="clear"/>
        </w:rPr>
        <w:t>、</w:t>
      </w:r>
      <w:r>
        <w:rPr>
          <w:sz w:val="21"/>
          <w:color w:val="000000"/>
          <w:shd w:fill="FFFFFF" w:val="clear"/>
        </w:rPr>
        <w:t>需满足的质量</w:t>
      </w:r>
      <w:r>
        <w:rPr>
          <w:sz w:val="21"/>
          <w:color w:val="000000"/>
          <w:shd w:fill="FFFFFF" w:val="clear"/>
        </w:rPr>
        <w:t>等主要要求</w:t>
      </w:r>
      <w:r>
        <w:rPr>
          <w:sz w:val="21"/>
        </w:rPr>
        <w:t>，对于招标文件没有列出，而对服务满足采购需求以及确保服务的质量和效率所必不可少的相应配套措施，供应商有责任给予补充，且均已包含在报价内。有关服务配套产品配置的要求仅列出主要设备</w:t>
      </w:r>
      <w:r>
        <w:rPr>
          <w:sz w:val="21"/>
        </w:rPr>
        <w:t>/部件需求，投标人必须确保产品及所有部件的完整性和可靠性，对于招标文件没有列出，而对该产品/部件满足采购需求、正常运行和维护必不可少的部件、配件等，投标人有责任给予补充，且均已包含在总价内。</w:t>
      </w:r>
    </w:p>
    <w:p>
      <w:pPr>
        <w:pStyle w:val="null3"/>
        <w:ind w:firstLine="424"/>
        <w:jc w:val="both"/>
      </w:pPr>
      <w:r>
        <w:rPr>
          <w:sz w:val="21"/>
          <w:color w:val="000000"/>
          <w:shd w:fill="FFFFFF" w:val="clear"/>
        </w:rPr>
        <w:t>以下有关政策、标准、规范等，如有更新的，以最新现行版本为准。</w:t>
      </w:r>
    </w:p>
    <w:p>
      <w:pPr>
        <w:pStyle w:val="null3"/>
        <w:jc w:val="center"/>
      </w:pPr>
      <w:r>
        <w:rPr>
          <w:sz w:val="21"/>
          <w:b/>
        </w:rPr>
        <w:t>用户需求书</w:t>
      </w:r>
    </w:p>
    <w:p>
      <w:pPr>
        <w:pStyle w:val="null3"/>
        <w:jc w:val="both"/>
      </w:pPr>
      <w:r>
        <w:rPr>
          <w:sz w:val="21"/>
        </w:rPr>
        <w:t>1.1.</w:t>
      </w:r>
      <w:r>
        <w:rPr>
          <w:sz w:val="21"/>
        </w:rPr>
        <w:t>项目名称</w:t>
      </w:r>
    </w:p>
    <w:p>
      <w:pPr>
        <w:pStyle w:val="null3"/>
        <w:jc w:val="both"/>
      </w:pPr>
      <w:r>
        <w:rPr>
          <w:sz w:val="21"/>
        </w:rPr>
        <w:t>汕头市潮阳区大峰医院信息管理系统及配套设备运维项目。</w:t>
      </w:r>
    </w:p>
    <w:p>
      <w:pPr>
        <w:pStyle w:val="null3"/>
        <w:jc w:val="both"/>
      </w:pPr>
      <w:r>
        <w:rPr>
          <w:sz w:val="21"/>
        </w:rPr>
        <w:t>1.2.</w:t>
      </w:r>
      <w:r>
        <w:rPr>
          <w:sz w:val="21"/>
        </w:rPr>
        <w:t>项目背景</w:t>
      </w:r>
    </w:p>
    <w:p>
      <w:pPr>
        <w:pStyle w:val="null3"/>
        <w:jc w:val="both"/>
      </w:pPr>
      <w:r>
        <w:rPr>
          <w:sz w:val="21"/>
        </w:rPr>
        <w:t>医院信息化建设项目立足于本院发展实际需求，在</w:t>
      </w:r>
      <w:r>
        <w:rPr>
          <w:sz w:val="21"/>
        </w:rPr>
        <w:t>“数字信息化”的支撑下，通过整合信息资源，依托信息安全与共享技术支撑环境，促进跨部门互联互通和业务协同</w:t>
      </w:r>
      <w:r>
        <w:rPr>
          <w:sz w:val="21"/>
        </w:rPr>
        <w:t>,</w:t>
      </w:r>
      <w:r>
        <w:rPr>
          <w:sz w:val="21"/>
        </w:rPr>
        <w:t>推动信息服务系统、医院管理信息系统的深层次应用与发展，提高管理工作效率和决策水平，提高对深化医药卫生体制改革各项任务实施情况动态监测、宏观调控和科学管理能力，支撑新医改的顺利推进，为群众提供高科技的数字卫生服务。近年来汕头市潮阳区大峰医院持续推进信息化建设，软硬件系统日益丰富且复杂，对系统运维提出了更高要求：</w:t>
      </w:r>
    </w:p>
    <w:p>
      <w:pPr>
        <w:pStyle w:val="null3"/>
        <w:jc w:val="both"/>
      </w:pPr>
      <w:r>
        <w:rPr>
          <w:sz w:val="21"/>
        </w:rPr>
        <w:t>医疗设备持续投入与升级：医院引进了多台高端医疗设备，如</w:t>
      </w:r>
      <w:r>
        <w:rPr>
          <w:sz w:val="21"/>
        </w:rPr>
        <w:t>3.0T</w:t>
      </w:r>
      <w:r>
        <w:rPr>
          <w:sz w:val="21"/>
        </w:rPr>
        <w:t>磁共振成像系统（</w:t>
      </w:r>
      <w:r>
        <w:rPr>
          <w:sz w:val="21"/>
        </w:rPr>
        <w:t>GE SIGNA Pioneer</w:t>
      </w:r>
      <w:r>
        <w:rPr>
          <w:sz w:val="21"/>
        </w:rPr>
        <w:t>）、瑞典金宝血液透析装置和水处理系统、德国贝朗血液透析机等，这些高价值精密设备能充分发挥作用并为医院提升效益离不开院内软硬件配套设施的维护保养以保障其正常稳定运行。</w:t>
      </w:r>
    </w:p>
    <w:p>
      <w:pPr>
        <w:pStyle w:val="null3"/>
        <w:jc w:val="both"/>
      </w:pPr>
      <w:r>
        <w:rPr>
          <w:sz w:val="21"/>
        </w:rPr>
        <w:t>信息系统扩展与升级：医院积极推进</w:t>
      </w:r>
      <w:r>
        <w:rPr>
          <w:sz w:val="21"/>
        </w:rPr>
        <w:t>“互联网医院建设”项目，并计划进行“部分信息业务系统迁移及配套设备扩容升级”，这标志着医院信息系统正从传统内部业务系统向集成化、平台化、云端化方向发展。这些系统的复杂性增加了运维难度。</w:t>
      </w:r>
    </w:p>
    <w:p>
      <w:pPr>
        <w:pStyle w:val="null3"/>
        <w:jc w:val="both"/>
      </w:pPr>
      <w:r>
        <w:rPr>
          <w:sz w:val="21"/>
        </w:rPr>
        <w:t>运维压力显著增大：随着医院信息化程度的不断提高，医院信息化相关硬件不断增多，传统运维模式维护效率极低且需要专人进行维护，无法满足业务要求，导致信息科室人员力不从心。</w:t>
      </w:r>
    </w:p>
    <w:p>
      <w:pPr>
        <w:pStyle w:val="null3"/>
        <w:jc w:val="both"/>
      </w:pPr>
      <w:r>
        <w:rPr>
          <w:sz w:val="21"/>
        </w:rPr>
        <w:t>经医院多年推进信息化建设，卫生信息系统建设工作达一定规模，现各项目质保期已过，为了保障系统稳健运行，亟需推进软硬件系统运行维护工作。</w:t>
      </w:r>
    </w:p>
    <w:p>
      <w:pPr>
        <w:pStyle w:val="null3"/>
        <w:jc w:val="both"/>
      </w:pPr>
      <w:r>
        <w:rPr>
          <w:sz w:val="21"/>
        </w:rPr>
        <w:t>1.3.</w:t>
      </w:r>
      <w:r>
        <w:rPr>
          <w:sz w:val="21"/>
        </w:rPr>
        <w:t>项目目标</w:t>
      </w:r>
    </w:p>
    <w:p>
      <w:pPr>
        <w:pStyle w:val="null3"/>
        <w:jc w:val="both"/>
      </w:pPr>
      <w:r>
        <w:rPr>
          <w:sz w:val="21"/>
        </w:rPr>
        <w:t>项目的总体目标是保证医院几十套医疗软件系统正常运行及升级，以及确保全院的网络、服务器和安全设备等硬件设备正常运行，为医院的医疗服务业务正常进行提供</w:t>
      </w:r>
      <w:r>
        <w:rPr>
          <w:sz w:val="21"/>
        </w:rPr>
        <w:t>IT</w:t>
      </w:r>
      <w:r>
        <w:rPr>
          <w:sz w:val="21"/>
        </w:rPr>
        <w:t>保障。通过提供物理主机、网络和安全设备、存储设备、光纤交换机的运行维护服务，及时掌握网络与设备资源现状和配置信息，及时反映硬件设备资源的可用性情况和健康状况，创建一个可知可控的</w:t>
      </w:r>
      <w:r>
        <w:rPr>
          <w:sz w:val="21"/>
        </w:rPr>
        <w:t xml:space="preserve">IT </w:t>
      </w:r>
      <w:r>
        <w:rPr>
          <w:sz w:val="21"/>
        </w:rPr>
        <w:t>环境，从而保证医院信息系统的各类业务应用系统的可靠、高效、持续、安全运行。</w:t>
      </w:r>
    </w:p>
    <w:p>
      <w:pPr>
        <w:pStyle w:val="null3"/>
        <w:jc w:val="both"/>
      </w:pPr>
      <w:r>
        <w:rPr>
          <w:sz w:val="21"/>
        </w:rPr>
        <w:t>1.4.</w:t>
      </w:r>
      <w:r>
        <w:rPr>
          <w:sz w:val="21"/>
        </w:rPr>
        <w:t>服务期限</w:t>
      </w:r>
    </w:p>
    <w:p>
      <w:pPr>
        <w:pStyle w:val="null3"/>
        <w:jc w:val="both"/>
      </w:pPr>
      <w:r>
        <w:rPr>
          <w:sz w:val="21"/>
        </w:rPr>
        <w:t>本项目服务期限为</w:t>
      </w:r>
      <w:r>
        <w:rPr>
          <w:sz w:val="21"/>
        </w:rPr>
        <w:t>12</w:t>
      </w:r>
      <w:r>
        <w:rPr>
          <w:sz w:val="21"/>
        </w:rPr>
        <w:t>个月，自签订合同之日起计算，具体时间以项目合同为准。</w:t>
      </w:r>
    </w:p>
    <w:p>
      <w:pPr>
        <w:pStyle w:val="null3"/>
        <w:jc w:val="both"/>
      </w:pPr>
      <w:r>
        <w:rPr>
          <w:sz w:val="21"/>
        </w:rPr>
        <w:t>1.5.</w:t>
      </w:r>
      <w:r>
        <w:rPr>
          <w:sz w:val="21"/>
        </w:rPr>
        <w:t>项目维护范围及内容</w:t>
      </w:r>
    </w:p>
    <w:p>
      <w:pPr>
        <w:pStyle w:val="null3"/>
        <w:jc w:val="both"/>
      </w:pPr>
      <w:r>
        <w:rPr>
          <w:sz w:val="21"/>
        </w:rPr>
        <w:t>1.5.1.</w:t>
      </w:r>
      <w:r>
        <w:rPr>
          <w:sz w:val="21"/>
        </w:rPr>
        <w:t>项目维护范围</w:t>
      </w:r>
    </w:p>
    <w:p>
      <w:pPr>
        <w:pStyle w:val="null3"/>
        <w:jc w:val="both"/>
      </w:pPr>
      <w:r>
        <w:rPr>
          <w:sz w:val="21"/>
        </w:rPr>
        <w:t>（</w:t>
      </w:r>
      <w:r>
        <w:rPr>
          <w:sz w:val="21"/>
        </w:rPr>
        <w:t>1</w:t>
      </w:r>
      <w:r>
        <w:rPr>
          <w:sz w:val="21"/>
        </w:rPr>
        <w:t>）信息系统运行维护服务，包括但不限于日常维护服务、巡检服务、故障处理服务、操作指导服务、突发应急处理服务、技术咨询服务、报告服务、数据库运维及优化服务等。</w:t>
      </w:r>
    </w:p>
    <w:tbl>
      <w:tblPr>
        <w:tblW w:w="0" w:type="auto"/>
        <w:tblInd w:type="dxa" w:w="285"/>
        <w:tblBorders>
          <w:top w:val="none" w:color="000000" w:sz="4"/>
          <w:left w:val="none" w:color="000000" w:sz="4"/>
          <w:bottom w:val="none" w:color="000000" w:sz="4"/>
          <w:right w:val="none" w:color="000000" w:sz="4"/>
          <w:insideH w:val="none"/>
          <w:insideV w:val="none"/>
        </w:tblBorders>
      </w:tblPr>
      <w:tblGrid>
        <w:gridCol w:w="705"/>
        <w:gridCol w:w="1125"/>
        <w:gridCol w:w="1275"/>
        <w:gridCol w:w="4815"/>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运维内容</w:t>
            </w:r>
          </w:p>
        </w:tc>
        <w:tc>
          <w:tcPr>
            <w:tcW w:type="dxa" w:w="4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服务内容</w:t>
            </w:r>
          </w:p>
        </w:tc>
      </w:tr>
      <w:tr>
        <w:tc>
          <w:tcPr>
            <w:tcW w:type="dxa" w:w="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信息系统运维服务</w:t>
            </w:r>
          </w:p>
        </w:tc>
        <w:tc>
          <w:tcPr>
            <w:tcW w:type="dxa" w:w="1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日常运维</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系统应用功能的日常维护。</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系统参数及权限的配置及修改。</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系统与数据问题的排查及修正。</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数据报表等业务需求分析及处理。</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定期巡检</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软件配置及存储空间的定期巡检。</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系统运行环境的定期评估。</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使用状况的现场访谈。</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故障处理</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软件缺陷维护升级。</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软件故障诊断及维护。</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软件运行性能提升。</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操作指导</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▲为各类系统提供不同类型的操作指导服务，包括但不限于：软件系统使用操作指导等基础的操作指导咨询服务活动（投标文件提供</w:t>
            </w:r>
            <w:r>
              <w:rPr>
                <w:sz w:val="21"/>
              </w:rPr>
              <w:t>信息管理系统</w:t>
            </w:r>
            <w:r>
              <w:rPr>
                <w:sz w:val="21"/>
                <w:color w:val="000000"/>
              </w:rPr>
              <w:t>相关证明材料）。</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突发应急处理</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针对系统各类突发事件，设计相应的预防与解决措施，同时提供完整的应急处理流程。</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技术咨询服务</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为采购人提供各类管理咨询、技术咨询、运维咨询等全方位</w:t>
            </w:r>
            <w:r>
              <w:rPr>
                <w:sz w:val="21"/>
                <w:color w:val="000000"/>
              </w:rPr>
              <w:t>“贴身”咨询服务。</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报告服务</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包括故障报告、巡检报告、维护</w:t>
            </w:r>
            <w:r>
              <w:rPr>
                <w:sz w:val="21"/>
                <w:color w:val="000000"/>
              </w:rPr>
              <w:t>/故障恢复计划及相关报告、突发应急事件处理报告等。</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接口对接服务</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对上级主管部门发布的政策性接口、医院业务发展需求接口及医院仪器设备与医院现有系统实现对接，费用包含在投标总价内。</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政策性功能优化服务</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按需提供政策性接口优化管理服务，满足相关业务系统数据上传下达要求。</w:t>
            </w:r>
          </w:p>
        </w:tc>
      </w:tr>
      <w:tr>
        <w:tc>
          <w:tcPr>
            <w:tcW w:type="dxa" w:w="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数据库运维及优化</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数据库日常维护</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▲检查数据库服务器是否可用，检查磁盘空间/表空间，检查RAC运行状态，数据库异常或故障处理等（投标文件提供基于大数据的智能安防报警方法相关证明材料）。</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数据库检查</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▲提供数据中心环境定期检查管理，包括主数据库系统、灾备管理系统（投标文件提供医疗机构数据监管相关证明材料）。</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日志审查</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▲提供对数据中心数据库日志审查服务，对数据中心的日常运营提供环境预警管理（投标文件提供数据库行为监控相关证明材料）。</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数据库优化</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提供数据库管理优化，提高系统整体运行效率。</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备份管理</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▲提供备份管理检查，根据备份方案定期检查实现情况，并对存在问题进行分析、排除（投标文件提供基于大数据的快速重复数据删除方法相关证明材料）。</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培训服务</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提供数据中心管理、数据库知识等专业知识培训服务。</w:t>
            </w:r>
          </w:p>
        </w:tc>
      </w:tr>
    </w:tbl>
    <w:p>
      <w:pPr>
        <w:pStyle w:val="null3"/>
        <w:ind w:firstLine="420"/>
        <w:jc w:val="both"/>
      </w:pPr>
      <w:r>
        <w:rPr>
          <w:sz w:val="21"/>
        </w:rPr>
        <w:t>（</w:t>
      </w:r>
      <w:r>
        <w:rPr>
          <w:sz w:val="21"/>
        </w:rPr>
        <w:t>2）硬件设备运行维护服务，包括但不限于医院机房设备巡检服务工作，以及服务器、存储设备和光纤交换机、安全设备巡检服务，及时掌握网络、物理主机资源现状和配置信息，及时反映硬件资源的可用性情况和健康状况，从而保证硬件设备的可靠、高效、持续、安全运行，并提供日常巡检记录。</w:t>
      </w:r>
    </w:p>
    <w:tbl>
      <w:tblPr>
        <w:tblW w:w="0" w:type="auto"/>
        <w:tblBorders>
          <w:top w:val="none" w:color="000000" w:sz="4"/>
          <w:left w:val="none" w:color="000000" w:sz="4"/>
          <w:bottom w:val="none" w:color="000000" w:sz="4"/>
          <w:right w:val="none" w:color="000000" w:sz="4"/>
          <w:insideH w:val="none"/>
          <w:insideV w:val="none"/>
        </w:tblBorders>
      </w:tblPr>
      <w:tblGrid>
        <w:gridCol w:w="750"/>
        <w:gridCol w:w="2070"/>
        <w:gridCol w:w="5385"/>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序号</w:t>
            </w:r>
          </w:p>
        </w:tc>
        <w:tc>
          <w:tcPr>
            <w:tcW w:type="dxa" w:w="2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5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服务内容</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信息资产统计服务</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color w:val="000000"/>
              </w:rPr>
              <w:t>硬件设备型号、数量、版本等信息统计记录，网络结构、网络路由、网络</w:t>
            </w:r>
            <w:r>
              <w:rPr>
                <w:sz w:val="21"/>
                <w:color w:val="000000"/>
              </w:rPr>
              <w:t>IP地址统计记录等管理服务（投标文件提供设备管理相关证明材料）。</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2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设备运维服务</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w:t>
            </w:r>
            <w:r>
              <w:rPr>
                <w:sz w:val="21"/>
                <w:color w:val="000000"/>
              </w:rPr>
              <w:t>设备日常巡检：</w:t>
            </w:r>
            <w:r>
              <w:rPr>
                <w:sz w:val="21"/>
                <w:color w:val="000000"/>
              </w:rPr>
              <w:t>VMWARE平台、RAC运行、数据泵备份、虚拟机硬盘、存储设备、光交换机、数据库异地备服务器等状态检查（投标文件提供设备动态监测相关证明材料）。</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2070"/>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数据中心环境巡检：机房环境日常监控及巡检、故障排查。</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2070"/>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日志清理：各种表空间、系统日志清理。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2070"/>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存储空间扩容：计算机、服务器、存储设备等存储空间扩容。</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2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网络及安全运维服务</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日常网络运行状态检查。</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2070"/>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院内网络故障排查及处理。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2070"/>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▲网络安全巡检、漏洞扫描、网络攻击处理等安全运维服务（投标文件提供安全运维相关证明材料）。</w:t>
            </w:r>
          </w:p>
        </w:tc>
      </w:tr>
    </w:tbl>
    <w:p>
      <w:pPr>
        <w:pStyle w:val="null3"/>
        <w:ind w:firstLine="420"/>
        <w:jc w:val="both"/>
      </w:pPr>
      <w:r>
        <w:rPr>
          <w:sz w:val="21"/>
        </w:rPr>
        <w:t>（</w:t>
      </w:r>
      <w:r>
        <w:rPr>
          <w:sz w:val="21"/>
        </w:rPr>
        <w:t>3）安全加固服务</w:t>
      </w:r>
    </w:p>
    <w:p>
      <w:pPr>
        <w:pStyle w:val="null3"/>
        <w:jc w:val="both"/>
      </w:pPr>
      <w:r>
        <w:rPr>
          <w:sz w:val="21"/>
        </w:rPr>
        <w:t>▲对项目范围内的软件系统、服务器操作系统、数据库、应用中间件、网络设备、安全设备的脆弱性进行分析并修补，使之能够满足三级等保要求（投标文件提供安全加固相关证明材料）。</w:t>
      </w:r>
    </w:p>
    <w:p>
      <w:pPr>
        <w:pStyle w:val="null3"/>
        <w:jc w:val="both"/>
      </w:pPr>
      <w:r>
        <w:rPr>
          <w:sz w:val="21"/>
        </w:rPr>
        <w:t>1.5.2.</w:t>
      </w:r>
      <w:r>
        <w:rPr>
          <w:sz w:val="21"/>
        </w:rPr>
        <w:t>硬件运维设备清单</w:t>
      </w:r>
    </w:p>
    <w:tbl>
      <w:tblPr>
        <w:tblW w:w="0" w:type="auto"/>
        <w:tblBorders>
          <w:top w:val="none" w:color="000000" w:sz="4"/>
          <w:left w:val="none" w:color="000000" w:sz="4"/>
          <w:bottom w:val="none" w:color="000000" w:sz="4"/>
          <w:right w:val="none" w:color="000000" w:sz="4"/>
          <w:insideH w:val="none"/>
          <w:insideV w:val="none"/>
        </w:tblBorders>
      </w:tblPr>
      <w:tblGrid>
        <w:gridCol w:w="699"/>
        <w:gridCol w:w="2986"/>
        <w:gridCol w:w="2555"/>
        <w:gridCol w:w="994"/>
        <w:gridCol w:w="992"/>
      </w:tblGrid>
      <w:tr>
        <w:tc>
          <w:tcPr>
            <w:tcW w:type="dxa" w:w="69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编号</w:t>
            </w:r>
          </w:p>
        </w:tc>
        <w:tc>
          <w:tcPr>
            <w:tcW w:type="dxa" w:w="29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名称</w:t>
            </w:r>
          </w:p>
        </w:tc>
        <w:tc>
          <w:tcPr>
            <w:tcW w:type="dxa" w:w="25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型号</w:t>
            </w:r>
          </w:p>
        </w:tc>
        <w:tc>
          <w:tcPr>
            <w:tcW w:type="dxa" w:w="9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单位</w:t>
            </w:r>
          </w:p>
        </w:tc>
        <w:tc>
          <w:tcPr>
            <w:tcW w:type="dxa" w:w="9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rPr>
              <w:t>数量</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服务器</w:t>
            </w:r>
            <w:r>
              <w:rPr>
                <w:sz w:val="21"/>
              </w:rPr>
              <w:t>esxi238</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服务器</w:t>
            </w:r>
            <w:r>
              <w:rPr>
                <w:sz w:val="21"/>
              </w:rPr>
              <w:t>esxi237</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服务器</w:t>
            </w:r>
            <w:r>
              <w:rPr>
                <w:sz w:val="21"/>
              </w:rPr>
              <w:t>esxi249</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服务器</w:t>
            </w:r>
            <w:r>
              <w:rPr>
                <w:sz w:val="21"/>
              </w:rPr>
              <w:t>esxi248</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服务器</w:t>
            </w:r>
            <w:r>
              <w:rPr>
                <w:sz w:val="21"/>
              </w:rPr>
              <w:t>esxi252</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服务器</w:t>
            </w:r>
            <w:r>
              <w:rPr>
                <w:sz w:val="21"/>
              </w:rPr>
              <w:t>esxi229</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服务器</w:t>
            </w:r>
            <w:r>
              <w:rPr>
                <w:sz w:val="21"/>
              </w:rPr>
              <w:t>esxi254</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8</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服务器</w:t>
            </w:r>
            <w:r>
              <w:rPr>
                <w:sz w:val="21"/>
              </w:rPr>
              <w:t>esxi250</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9</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服务器</w:t>
            </w:r>
            <w:r>
              <w:rPr>
                <w:sz w:val="21"/>
              </w:rPr>
              <w:t>esxi251</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10</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服务器</w:t>
            </w:r>
            <w:r>
              <w:rPr>
                <w:sz w:val="21"/>
              </w:rPr>
              <w:t>esxi253</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11</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备份一体机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DL4000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12</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oracle服务器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920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13</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oracle服务器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920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14</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oracle备份服务器2</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920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15</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oracle备份服务器1</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Dell 920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16</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华为存储</w:t>
            </w:r>
            <w:r>
              <w:rPr>
                <w:sz w:val="21"/>
              </w:rPr>
              <w:t>sotrage</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ocean storage 5110V5</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17</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存储</w:t>
            </w:r>
            <w:r>
              <w:rPr>
                <w:sz w:val="21"/>
              </w:rPr>
              <w:t>Storage01</w:t>
            </w:r>
            <w:r>
              <w:br/>
            </w:r>
            <w:r>
              <w:rPr>
                <w:sz w:val="21"/>
              </w:rPr>
              <w:t>（</w:t>
            </w:r>
            <w:r>
              <w:rPr>
                <w:sz w:val="21"/>
              </w:rPr>
              <w:t>dell_3820f）</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MD3820F</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18</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扩展柜</w:t>
            </w:r>
            <w:r>
              <w:rPr>
                <w:sz w:val="21"/>
              </w:rPr>
              <w:t>1（接104存储）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DM1200F</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19</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存储</w:t>
            </w:r>
            <w:r>
              <w:rPr>
                <w:sz w:val="21"/>
              </w:rPr>
              <w:t>Storage02</w:t>
            </w:r>
            <w:r>
              <w:br/>
            </w:r>
            <w:r>
              <w:rPr>
                <w:sz w:val="21"/>
              </w:rPr>
              <w:t>(storage_bak)</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MD3820F</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20</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扩展柜</w:t>
            </w:r>
            <w:r>
              <w:rPr>
                <w:sz w:val="21"/>
              </w:rPr>
              <w:t>2（接101存储）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DM1200F</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21</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光交</w:t>
            </w:r>
            <w:r>
              <w:rPr>
                <w:sz w:val="21"/>
              </w:rPr>
              <w:t>001</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博科</w:t>
            </w:r>
            <w:r>
              <w:rPr>
                <w:sz w:val="21"/>
              </w:rPr>
              <w:t>BR-360-0008</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22</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光交</w:t>
            </w:r>
            <w:r>
              <w:rPr>
                <w:sz w:val="21"/>
              </w:rPr>
              <w:t>002</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rPr>
              <w:t>博科</w:t>
            </w:r>
            <w:r>
              <w:rPr>
                <w:sz w:val="21"/>
              </w:rPr>
              <w:t>BR-360-0008</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23</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医疗网防火墙</w:t>
            </w:r>
            <w:r>
              <w:rPr>
                <w:sz w:val="21"/>
              </w:rPr>
              <w:t>01</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启明</w:t>
            </w:r>
            <w:r>
              <w:rPr>
                <w:sz w:val="21"/>
              </w:rPr>
              <w:t>USG-FW-4000-T-NF3220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24</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医疗网防火墙</w:t>
            </w:r>
            <w:r>
              <w:rPr>
                <w:sz w:val="21"/>
              </w:rPr>
              <w:t>02</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启明</w:t>
            </w:r>
            <w:r>
              <w:rPr>
                <w:sz w:val="21"/>
              </w:rPr>
              <w:t>USG-FW-4000-T-NF3220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25</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入侵防御系统</w:t>
            </w:r>
            <w:r>
              <w:rPr>
                <w:sz w:val="21"/>
              </w:rPr>
              <w:t>01</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NGIPS5000-C-S</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26</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入侵防御系统</w:t>
            </w:r>
            <w:r>
              <w:rPr>
                <w:sz w:val="21"/>
              </w:rPr>
              <w:t>02</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NGIPS5000-C-S</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27</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数据库审计系统</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DA-1500-UR</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28</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终端准入系统（内网）</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NAC6000-2200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29</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运维审计系统（堡垒机）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OSM-4600-S</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30</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漏洞扫描系统</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TJCS-NS-E1010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31</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流量态势感知系统</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TAR-AIO-3</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32</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备份一体机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浪潮</w:t>
            </w:r>
            <w:r>
              <w:rPr>
                <w:sz w:val="21"/>
              </w:rPr>
              <w:t>DP1000G5</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33</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互联网防火墙</w:t>
            </w:r>
            <w:r>
              <w:rPr>
                <w:sz w:val="21"/>
              </w:rPr>
              <w:t>01</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USG-FW-310-T-NF1800R</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34</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互联网防火墙</w:t>
            </w:r>
            <w:r>
              <w:rPr>
                <w:sz w:val="21"/>
              </w:rPr>
              <w:t>02</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USG-FW-310-T-NF1800R</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35</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WEB应用防护系统</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WAF6000-C-T</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36</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终端准入系统（外网）</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NAC6000-1100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37</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日志审计系统</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TSOC-SA</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38</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数据脱敏软件</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MaskServer服务器</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套</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39</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网阐</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天融信</w:t>
            </w:r>
            <w:r>
              <w:rPr>
                <w:sz w:val="21"/>
              </w:rPr>
              <w:t>toprules TR-72104</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40</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蓝盾入侵检测</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DF_BDPS-M2000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41</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深信服上网行为管理</w:t>
            </w:r>
            <w:r>
              <w:rPr>
                <w:sz w:val="21"/>
                <w:color w:val="000000"/>
              </w:rPr>
              <w:t>1台</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AC-1000-C600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42</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蓝盾安全硬件防火墙</w:t>
            </w:r>
            <w:r>
              <w:rPr>
                <w:sz w:val="21"/>
                <w:color w:val="000000"/>
              </w:rPr>
              <w:t>1台</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BDFW-M4000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43</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核心交换机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华为</w:t>
            </w:r>
            <w:r>
              <w:rPr>
                <w:sz w:val="21"/>
                <w:color w:val="000000"/>
              </w:rPr>
              <w:t>S9306</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44</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汇聚交换机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华为</w:t>
            </w:r>
            <w:r>
              <w:rPr>
                <w:sz w:val="21"/>
                <w:color w:val="000000"/>
              </w:rPr>
              <w:t>S6700系列</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45</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接入交换机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华为</w:t>
            </w:r>
            <w:r>
              <w:rPr>
                <w:sz w:val="21"/>
                <w:color w:val="000000"/>
              </w:rPr>
              <w:t>s5700系列</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46</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接入交换机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华为</w:t>
            </w:r>
            <w:r>
              <w:rPr>
                <w:sz w:val="21"/>
                <w:color w:val="000000"/>
              </w:rPr>
              <w:t>s1700系列</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7</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47</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全光网络多业务网关</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ZH-H500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48</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全光网络核心交换机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S5500V3-24P-SI</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49</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全光网络</w:t>
            </w:r>
            <w:r>
              <w:rPr>
                <w:sz w:val="21"/>
                <w:color w:val="000000"/>
              </w:rPr>
              <w:t>OLT</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ZH-8GS</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50</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以太网交换机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华为</w:t>
            </w:r>
            <w:r>
              <w:rPr>
                <w:sz w:val="21"/>
                <w:color w:val="000000"/>
              </w:rPr>
              <w:t>SNS2624光纤交换机（32Gb 24端口）</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51</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路由器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华为</w:t>
            </w:r>
            <w:r>
              <w:rPr>
                <w:sz w:val="21"/>
                <w:color w:val="000000"/>
              </w:rPr>
              <w:t>AR2200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52</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超聚变服务器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超聚变</w:t>
            </w:r>
            <w:r>
              <w:rPr>
                <w:sz w:val="21"/>
              </w:rPr>
              <w:t>2288HV6</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6</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53</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华为全闪存储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全闪存储</w:t>
            </w:r>
            <w:r>
              <w:rPr>
                <w:sz w:val="21"/>
              </w:rPr>
              <w:t>dorado 2000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2</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54</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光纤交换机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华为</w:t>
            </w:r>
            <w:r>
              <w:rPr>
                <w:sz w:val="21"/>
              </w:rPr>
              <w:t>SNS2624</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4</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55</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S6730系列</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r>
    </w:tbl>
    <w:p>
      <w:pPr>
        <w:pStyle w:val="null3"/>
        <w:ind w:firstLine="480"/>
        <w:jc w:val="both"/>
      </w:pPr>
      <w:r>
        <w:rPr>
          <w:sz w:val="21"/>
        </w:rPr>
        <w:t>1.5.3.</w:t>
      </w:r>
      <w:r>
        <w:rPr>
          <w:sz w:val="21"/>
        </w:rPr>
        <w:t>软件系统运维清单</w:t>
      </w:r>
    </w:p>
    <w:p>
      <w:pPr>
        <w:pStyle w:val="null3"/>
        <w:jc w:val="both"/>
      </w:pPr>
      <w:r>
        <w:rPr>
          <w:sz w:val="21"/>
        </w:rPr>
        <w:t>软件系统运维涉及的系统清单如下表：</w:t>
      </w:r>
    </w:p>
    <w:p>
      <w:pPr>
        <w:pStyle w:val="null3"/>
        <w:jc w:val="both"/>
      </w:pPr>
      <w:r>
        <w:rPr/>
        <w:t xml:space="preserve"> </w:t>
      </w:r>
    </w:p>
    <w:tbl>
      <w:tblPr>
        <w:tblW w:w="0" w:type="auto"/>
        <w:tblBorders>
          <w:top w:val="none" w:color="000000" w:sz="4"/>
          <w:left w:val="none" w:color="000000" w:sz="4"/>
          <w:bottom w:val="none" w:color="000000" w:sz="4"/>
          <w:right w:val="none" w:color="000000" w:sz="4"/>
          <w:insideH w:val="none"/>
          <w:insideV w:val="none"/>
        </w:tblBorders>
      </w:tblPr>
      <w:tblGrid>
        <w:gridCol w:w="1020"/>
        <w:gridCol w:w="2807"/>
        <w:gridCol w:w="4399"/>
      </w:tblGrid>
      <w:tr>
        <w:tc>
          <w:tcPr>
            <w:tcW w:type="dxa" w:w="10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序号</w:t>
            </w:r>
          </w:p>
        </w:tc>
        <w:tc>
          <w:tcPr>
            <w:tcW w:type="dxa" w:w="28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系统名称</w:t>
            </w:r>
          </w:p>
        </w:tc>
        <w:tc>
          <w:tcPr>
            <w:tcW w:type="dxa" w:w="43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b/>
                <w:color w:val="000000"/>
              </w:rPr>
              <w:t>系统模块</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门诊系统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医院一卡通系统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挂号系统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分诊系统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门（急）医生工作站系统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门（急）护士工作站系统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6</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门诊配发药系统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7</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门诊注射室系统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8</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门诊电子病历</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9</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体检系统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10</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预约系统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11</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住院系统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住院病人入出转管理系统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12</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住院医生工作站</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13</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住院护士工作站</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14</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住院配发药系统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15</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临床路径系统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16</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住院电子病历系统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17</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手术麻醉管理系统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18</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医技管理系统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临床检验系统（</w:t>
            </w:r>
            <w:r>
              <w:rPr>
                <w:sz w:val="21"/>
                <w:color w:val="000000"/>
              </w:rPr>
              <w:t>LIS）</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19</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医学影像系统（</w:t>
            </w:r>
            <w:r>
              <w:rPr>
                <w:sz w:val="21"/>
                <w:color w:val="000000"/>
              </w:rPr>
              <w:t>PACS）</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20</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医技分诊叫号系统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21</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血库管理系统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22</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医技预约系统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23</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医疗管理信息系统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门诊收费系统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24</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住院收费系统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25</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医务管理系统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26</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传染病管理系统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27</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病案管理系统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28</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合理用药系统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29</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护理管理系统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30</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医疗质控系统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31</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手术麻醉信息管理系统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32</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运营管理信息系统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药库管理系统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33</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门诊药房管理系统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34</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中心药房管理系统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35</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医院药品控制管理系统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36</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物资材料管理系统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37</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物价管理系统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38</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经济核算管理系统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39</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决策支持系统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医疗统计系统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40</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综合查询与分析系统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41</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信息接口系统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医保接口</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42</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微信公众号自助开单功能</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43</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急诊系统接口</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44</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公立绩效考核接口</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45</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医检费用管理系统接口</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46</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血液净化中心智能管理系统接口</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47</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区域协同</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远程会诊</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48</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双向转诊</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49</w:t>
            </w:r>
          </w:p>
        </w:tc>
        <w:tc>
          <w:tcPr>
            <w:tcW w:type="dxa" w:w="280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各业务小系统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不良事件管理系统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50</w:t>
            </w:r>
          </w:p>
        </w:tc>
        <w:tc>
          <w:tcPr>
            <w:tcW w:type="dxa" w:w="280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血液透析质量管理系统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51</w:t>
            </w:r>
          </w:p>
        </w:tc>
        <w:tc>
          <w:tcPr>
            <w:tcW w:type="dxa" w:w="2807"/>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急诊信息管理系统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1"/>
                <w:color w:val="000000"/>
              </w:rPr>
              <w:t>52</w:t>
            </w:r>
          </w:p>
        </w:tc>
        <w:tc>
          <w:tcPr>
            <w:tcW w:type="dxa" w:w="28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1"/>
                <w:color w:val="000000"/>
              </w:rPr>
              <w:t>公立医院绩效考核系统</w:t>
            </w:r>
          </w:p>
        </w:tc>
      </w:tr>
    </w:tbl>
    <w:p>
      <w:pPr>
        <w:pStyle w:val="null3"/>
      </w:pPr>
      <w:r>
        <w:rPr/>
        <w:t xml:space="preserve"> </w:t>
      </w:r>
    </w:p>
    <w:p>
      <w:pPr>
        <w:pStyle w:val="null3"/>
        <w:jc w:val="both"/>
      </w:pPr>
      <w:r>
        <w:rPr>
          <w:sz w:val="21"/>
        </w:rPr>
        <w:t>1.6.</w:t>
      </w:r>
      <w:r>
        <w:rPr>
          <w:sz w:val="21"/>
        </w:rPr>
        <w:t>服务要求</w:t>
      </w:r>
    </w:p>
    <w:p>
      <w:pPr>
        <w:pStyle w:val="null3"/>
        <w:jc w:val="both"/>
      </w:pPr>
      <w:r>
        <w:rPr>
          <w:sz w:val="21"/>
        </w:rPr>
        <w:t>1.6.1.</w:t>
      </w:r>
      <w:r>
        <w:rPr>
          <w:sz w:val="21"/>
        </w:rPr>
        <w:t>运维服务要求</w:t>
      </w:r>
    </w:p>
    <w:p>
      <w:pPr>
        <w:pStyle w:val="null3"/>
        <w:jc w:val="both"/>
      </w:pPr>
      <w:r>
        <w:rPr>
          <w:sz w:val="21"/>
        </w:rPr>
        <w:t>1.6.1.1.</w:t>
      </w:r>
      <w:r>
        <w:rPr>
          <w:sz w:val="21"/>
        </w:rPr>
        <w:t>服务范围</w:t>
      </w:r>
    </w:p>
    <w:p>
      <w:pPr>
        <w:pStyle w:val="null3"/>
        <w:jc w:val="both"/>
      </w:pPr>
      <w:r>
        <w:rPr>
          <w:sz w:val="21"/>
        </w:rPr>
        <w:t>运维服务范围包括：日常巡检和维护、业务咨询、操作指导、故障问题处理、月度巡检、建议及技术咨询等。</w:t>
      </w:r>
    </w:p>
    <w:p>
      <w:pPr>
        <w:pStyle w:val="null3"/>
        <w:jc w:val="both"/>
      </w:pPr>
      <w:r>
        <w:rPr>
          <w:sz w:val="21"/>
        </w:rPr>
        <w:t>1.6.1.2.</w:t>
      </w:r>
      <w:r>
        <w:rPr>
          <w:sz w:val="21"/>
        </w:rPr>
        <w:t>服务响应</w:t>
      </w:r>
    </w:p>
    <w:p>
      <w:pPr>
        <w:pStyle w:val="null3"/>
        <w:jc w:val="both"/>
      </w:pPr>
      <w:r>
        <w:rPr>
          <w:sz w:val="21"/>
        </w:rPr>
        <w:t>（</w:t>
      </w:r>
      <w:r>
        <w:rPr>
          <w:sz w:val="21"/>
        </w:rPr>
        <w:t>1</w:t>
      </w:r>
      <w:r>
        <w:rPr>
          <w:sz w:val="21"/>
        </w:rPr>
        <w:t>）中标人须派驻不少于</w:t>
      </w:r>
      <w:r>
        <w:rPr>
          <w:sz w:val="21"/>
        </w:rPr>
        <w:t>2</w:t>
      </w:r>
      <w:r>
        <w:rPr>
          <w:sz w:val="21"/>
        </w:rPr>
        <w:t>名专业人员常驻采购人现场。在</w:t>
      </w:r>
      <w:r>
        <w:rPr>
          <w:sz w:val="21"/>
        </w:rPr>
        <w:t>5*8</w:t>
      </w:r>
      <w:r>
        <w:rPr>
          <w:sz w:val="21"/>
        </w:rPr>
        <w:t>小时工作时间内处理采购人内部的服务请求，并记录事件处理结果。正常工作时间外，有专人职守的热线电话，接听、处理采购人的服务请求。</w:t>
      </w:r>
    </w:p>
    <w:p>
      <w:pPr>
        <w:pStyle w:val="null3"/>
        <w:jc w:val="both"/>
      </w:pPr>
      <w:r>
        <w:rPr>
          <w:sz w:val="21"/>
        </w:rPr>
        <w:t>（</w:t>
      </w:r>
      <w:r>
        <w:rPr>
          <w:sz w:val="21"/>
        </w:rPr>
        <w:t>2</w:t>
      </w:r>
      <w:r>
        <w:rPr>
          <w:sz w:val="21"/>
        </w:rPr>
        <w:t>）系统故障的响应时间：</w:t>
      </w:r>
    </w:p>
    <w:tbl>
      <w:tblPr>
        <w:tblW w:w="0" w:type="auto"/>
        <w:tblBorders>
          <w:top w:val="none" w:color="000000" w:sz="4"/>
          <w:left w:val="none" w:color="000000" w:sz="4"/>
          <w:bottom w:val="none" w:color="000000" w:sz="4"/>
          <w:right w:val="none" w:color="000000" w:sz="4"/>
          <w:insideH w:val="none"/>
          <w:insideV w:val="none"/>
        </w:tblBorders>
      </w:tblPr>
      <w:tblGrid>
        <w:gridCol w:w="3970"/>
        <w:gridCol w:w="2681"/>
        <w:gridCol w:w="1655"/>
      </w:tblGrid>
      <w:tr>
        <w:tc>
          <w:tcPr>
            <w:tcW w:type="dxa" w:w="3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故障级别</w:t>
            </w:r>
          </w:p>
        </w:tc>
        <w:tc>
          <w:tcPr>
            <w:tcW w:type="dxa" w:w="268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rPr>
              <w:t>响应时间</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1"/>
              </w:rPr>
              <w:t>故障解决时间</w:t>
            </w:r>
          </w:p>
        </w:tc>
      </w:tr>
      <w:tr>
        <w:tc>
          <w:tcPr>
            <w:tcW w:type="dxa" w:w="3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I 级： 属于紧急问题；其具体现象为：系统崩溃导致业务停止、数据丢失。</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7×24小时应急响应，远程15分钟响应，现场30 分钟响应，1小时内提交故障处理方案</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2小时以内</w:t>
            </w:r>
          </w:p>
        </w:tc>
      </w:tr>
      <w:tr>
        <w:tc>
          <w:tcPr>
            <w:tcW w:type="dxa" w:w="3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II 级：属于严重问题；其具体现象为：出现部分部件失效、系统性能下降但能正常运行，不影响正常业务运作。</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7×24小时应急响应，远程15分钟响应，现场30 分钟响应，1小时内提交故障处理方案</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4小时以内</w:t>
            </w:r>
          </w:p>
        </w:tc>
      </w:tr>
      <w:tr>
        <w:tc>
          <w:tcPr>
            <w:tcW w:type="dxa" w:w="3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III 级：属于较严重问题；其具体现象为：出现系统报错或警告，但业务系统能继续运行且性能不受影响。</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7×8小时服务响应，远程15分钟响应，现场60 分钟响应，1小时内提交故障处理方案</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8小时以内</w:t>
            </w:r>
          </w:p>
        </w:tc>
      </w:tr>
      <w:tr>
        <w:tc>
          <w:tcPr>
            <w:tcW w:type="dxa" w:w="3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IV 级： 属于普通问题；其具体现象为：系统技术功能、安装或配置咨询，或其他不影响业务系统正常运行的问题。</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7×8小时服务响应，远程15分钟响应，现场60 分钟响应，1小时内提交故障处理方案</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12小时以内</w:t>
            </w:r>
          </w:p>
        </w:tc>
      </w:tr>
    </w:tbl>
    <w:p>
      <w:pPr>
        <w:pStyle w:val="null3"/>
        <w:jc w:val="both"/>
      </w:pPr>
      <w:r>
        <w:rPr>
          <w:sz w:val="21"/>
        </w:rPr>
        <w:t>（</w:t>
      </w:r>
      <w:r>
        <w:rPr>
          <w:sz w:val="21"/>
        </w:rPr>
        <w:t>3）中标人在解决故障时，应最大限度保护好数据，做好故障恢复的文档，力争恢复到故障点前的业务状态。对于较高级别的故障，如果不能于8小时内解决故障，需在12小时内提出应急方案，确保业务系统的运行。并于故障解决后24小时内，提交故障处理报告，说明故障种类、故障原因、故障解决中使用的方法及故障损失等情况。</w:t>
      </w:r>
    </w:p>
    <w:p>
      <w:pPr>
        <w:pStyle w:val="null3"/>
        <w:jc w:val="both"/>
      </w:pPr>
      <w:r>
        <w:rPr>
          <w:sz w:val="21"/>
        </w:rPr>
        <w:t>1.6.1.3.</w:t>
      </w:r>
      <w:r>
        <w:rPr>
          <w:sz w:val="21"/>
        </w:rPr>
        <w:t>服务方式</w:t>
      </w:r>
    </w:p>
    <w:p>
      <w:pPr>
        <w:pStyle w:val="null3"/>
        <w:jc w:val="both"/>
      </w:pPr>
      <w:r>
        <w:rPr>
          <w:sz w:val="21"/>
        </w:rPr>
        <w:t>▲（</w:t>
      </w:r>
      <w:r>
        <w:rPr>
          <w:sz w:val="21"/>
        </w:rPr>
        <w:t>1</w:t>
      </w:r>
      <w:r>
        <w:rPr>
          <w:sz w:val="21"/>
        </w:rPr>
        <w:t>）投标人应为采购人提供多种服务方式，包括但不限于远程支持、现场支持服务。在远程服务时能应提供线上专业服务工具和标准远程服务方法。投标人需具备线上专业服务工具提供快速响应、快速定位故障和诊断能力（投标文件提供基于广域网实现的远程服务方法相关证明材料）</w:t>
      </w:r>
    </w:p>
    <w:p>
      <w:pPr>
        <w:pStyle w:val="null3"/>
        <w:jc w:val="both"/>
      </w:pPr>
      <w:r>
        <w:rPr>
          <w:sz w:val="21"/>
        </w:rPr>
        <w:t>（</w:t>
      </w:r>
      <w:r>
        <w:rPr>
          <w:sz w:val="21"/>
        </w:rPr>
        <w:t>2</w:t>
      </w:r>
      <w:r>
        <w:rPr>
          <w:sz w:val="21"/>
        </w:rPr>
        <w:t>）针对系统运维服务需求，中标人需组建专门的服务队伍并以现场服务为主，同时也接收传真、邮件等其他方式的服务请求。运维工程师常驻现场，工作时间是</w:t>
      </w:r>
      <w:r>
        <w:rPr>
          <w:sz w:val="21"/>
        </w:rPr>
        <w:t>7</w:t>
      </w:r>
      <w:r>
        <w:rPr>
          <w:sz w:val="21"/>
        </w:rPr>
        <w:t>天×</w:t>
      </w:r>
      <w:r>
        <w:rPr>
          <w:sz w:val="21"/>
        </w:rPr>
        <w:t>8</w:t>
      </w:r>
      <w:r>
        <w:rPr>
          <w:sz w:val="21"/>
        </w:rPr>
        <w:t>小时；对于不得间断运行的各类信息系统的维护和管理工作，提供</w:t>
      </w:r>
      <w:r>
        <w:rPr>
          <w:sz w:val="21"/>
        </w:rPr>
        <w:t>7</w:t>
      </w:r>
      <w:r>
        <w:rPr>
          <w:sz w:val="21"/>
        </w:rPr>
        <w:t>天×</w:t>
      </w:r>
      <w:r>
        <w:rPr>
          <w:sz w:val="21"/>
        </w:rPr>
        <w:t>24</w:t>
      </w:r>
      <w:r>
        <w:rPr>
          <w:sz w:val="21"/>
        </w:rPr>
        <w:t>小时的移动电话值守技术服务支持。</w:t>
      </w:r>
    </w:p>
    <w:p>
      <w:pPr>
        <w:pStyle w:val="null3"/>
        <w:jc w:val="both"/>
      </w:pPr>
      <w:r>
        <w:rPr>
          <w:sz w:val="21"/>
        </w:rPr>
        <w:t>（</w:t>
      </w:r>
      <w:r>
        <w:rPr>
          <w:sz w:val="21"/>
        </w:rPr>
        <w:t>3</w:t>
      </w:r>
      <w:r>
        <w:rPr>
          <w:sz w:val="21"/>
        </w:rPr>
        <w:t>）通过远程支持的方式利用远程工具，如</w:t>
      </w:r>
      <w:r>
        <w:rPr>
          <w:sz w:val="21"/>
        </w:rPr>
        <w:t>QQ</w:t>
      </w:r>
      <w:r>
        <w:rPr>
          <w:sz w:val="21"/>
        </w:rPr>
        <w:t>等，为采购人提供技术支持，远程对采购人问题进行检查、诊断和分析。</w:t>
      </w:r>
    </w:p>
    <w:p>
      <w:pPr>
        <w:pStyle w:val="null3"/>
        <w:jc w:val="both"/>
      </w:pPr>
      <w:r>
        <w:rPr>
          <w:sz w:val="21"/>
        </w:rPr>
        <w:t>1.6.2.</w:t>
      </w:r>
      <w:r>
        <w:rPr>
          <w:sz w:val="21"/>
        </w:rPr>
        <w:t>运维管理要求</w:t>
      </w:r>
    </w:p>
    <w:p>
      <w:pPr>
        <w:pStyle w:val="null3"/>
        <w:jc w:val="both"/>
      </w:pPr>
      <w:r>
        <w:rPr>
          <w:sz w:val="21"/>
        </w:rPr>
        <w:t>1.6.2.1.</w:t>
      </w:r>
      <w:r>
        <w:rPr>
          <w:sz w:val="21"/>
        </w:rPr>
        <w:t>服务响应要求</w:t>
      </w:r>
    </w:p>
    <w:p>
      <w:pPr>
        <w:pStyle w:val="null3"/>
        <w:jc w:val="both"/>
      </w:pPr>
      <w:r>
        <w:rPr>
          <w:sz w:val="21"/>
        </w:rPr>
        <w:t>采购人提出运维技术支持服务，中标人应按响应要求予以解答和处理，对于未及时解决的问题，应做好解释工作。</w:t>
      </w:r>
    </w:p>
    <w:p>
      <w:pPr>
        <w:pStyle w:val="null3"/>
        <w:jc w:val="both"/>
      </w:pPr>
      <w:r>
        <w:rPr>
          <w:sz w:val="21"/>
        </w:rPr>
        <w:t>中标人须承诺服务响应可通过现场、远程等方式提供（由此产生的一切费用均由中标人承担）。</w:t>
      </w:r>
    </w:p>
    <w:p>
      <w:pPr>
        <w:pStyle w:val="null3"/>
        <w:jc w:val="both"/>
      </w:pPr>
      <w:r>
        <w:rPr>
          <w:sz w:val="21"/>
        </w:rPr>
        <w:t>1.6.2.2.</w:t>
      </w:r>
      <w:r>
        <w:rPr>
          <w:sz w:val="21"/>
        </w:rPr>
        <w:t>文档管理要求</w:t>
      </w:r>
    </w:p>
    <w:p>
      <w:pPr>
        <w:pStyle w:val="null3"/>
        <w:jc w:val="both"/>
      </w:pPr>
      <w:r>
        <w:rPr>
          <w:sz w:val="21"/>
        </w:rPr>
        <w:t>中标人须负责记录并定期整理归档运维服务有关的记录，相关要求如下：</w:t>
      </w:r>
    </w:p>
    <w:p>
      <w:pPr>
        <w:pStyle w:val="null3"/>
        <w:jc w:val="both"/>
      </w:pPr>
      <w:r>
        <w:rPr>
          <w:sz w:val="21"/>
        </w:rPr>
        <w:t>（</w:t>
      </w:r>
      <w:r>
        <w:rPr>
          <w:sz w:val="21"/>
        </w:rPr>
        <w:t>1</w:t>
      </w:r>
      <w:r>
        <w:rPr>
          <w:sz w:val="21"/>
        </w:rPr>
        <w:t>）运维与运维记录同步进行，并按日常维护、巡检、备份等相关运维事件即时记录整理。</w:t>
      </w:r>
    </w:p>
    <w:p>
      <w:pPr>
        <w:pStyle w:val="null3"/>
        <w:jc w:val="both"/>
      </w:pPr>
      <w:r>
        <w:rPr>
          <w:sz w:val="21"/>
        </w:rPr>
        <w:t>（</w:t>
      </w:r>
      <w:r>
        <w:rPr>
          <w:sz w:val="21"/>
        </w:rPr>
        <w:t>2</w:t>
      </w:r>
      <w:r>
        <w:rPr>
          <w:sz w:val="21"/>
        </w:rPr>
        <w:t>）定期提交维护报告至采购人</w:t>
      </w:r>
      <w:r>
        <w:rPr>
          <w:sz w:val="21"/>
        </w:rPr>
        <w:t>,</w:t>
      </w:r>
      <w:r>
        <w:rPr>
          <w:sz w:val="21"/>
        </w:rPr>
        <w:t>包含各类软件、系统等维护、检测、维修报告。作为有效的项目验收依据。</w:t>
      </w:r>
    </w:p>
    <w:p>
      <w:pPr>
        <w:pStyle w:val="null3"/>
        <w:jc w:val="both"/>
      </w:pPr>
      <w:r>
        <w:rPr>
          <w:sz w:val="21"/>
        </w:rPr>
        <w:t>（</w:t>
      </w:r>
      <w:r>
        <w:rPr>
          <w:sz w:val="21"/>
        </w:rPr>
        <w:t>3</w:t>
      </w:r>
      <w:r>
        <w:rPr>
          <w:sz w:val="21"/>
        </w:rPr>
        <w:t>）中标人的运维人员不得泄露运维服务所产生的文档、资料等所有的运维记录</w:t>
      </w:r>
      <w:r>
        <w:rPr>
          <w:sz w:val="21"/>
        </w:rPr>
        <w:t xml:space="preserve">, </w:t>
      </w:r>
      <w:r>
        <w:rPr>
          <w:sz w:val="21"/>
        </w:rPr>
        <w:t>涉及秘密的文档资料</w:t>
      </w:r>
      <w:r>
        <w:rPr>
          <w:sz w:val="21"/>
        </w:rPr>
        <w:t>,</w:t>
      </w:r>
      <w:r>
        <w:rPr>
          <w:sz w:val="21"/>
        </w:rPr>
        <w:t>中标人需采取适当有效的方式保护所获取的秘密。</w:t>
      </w:r>
    </w:p>
    <w:p>
      <w:pPr>
        <w:pStyle w:val="null3"/>
        <w:jc w:val="both"/>
      </w:pPr>
      <w:r>
        <w:rPr>
          <w:sz w:val="21"/>
        </w:rPr>
        <w:t>（</w:t>
      </w:r>
      <w:r>
        <w:rPr>
          <w:sz w:val="21"/>
        </w:rPr>
        <w:t>4</w:t>
      </w:r>
      <w:r>
        <w:rPr>
          <w:sz w:val="21"/>
        </w:rPr>
        <w:t>）中标人应每季度提交巡检报告、更新说明文档、故障总结文档，每季度向采购人通报上季度的服务完成情况及存在的问题。</w:t>
      </w:r>
    </w:p>
    <w:p>
      <w:pPr>
        <w:pStyle w:val="null3"/>
        <w:jc w:val="both"/>
      </w:pPr>
      <w:r>
        <w:rPr>
          <w:sz w:val="21"/>
        </w:rPr>
        <w:t>1.6.2.3.</w:t>
      </w:r>
      <w:r>
        <w:rPr>
          <w:sz w:val="21"/>
        </w:rPr>
        <w:t>维护团队管理要求</w:t>
      </w:r>
    </w:p>
    <w:p>
      <w:pPr>
        <w:pStyle w:val="null3"/>
        <w:jc w:val="both"/>
      </w:pPr>
      <w:r>
        <w:rPr>
          <w:sz w:val="21"/>
        </w:rPr>
        <w:t>（</w:t>
      </w:r>
      <w:r>
        <w:rPr>
          <w:sz w:val="21"/>
        </w:rPr>
        <w:t>1</w:t>
      </w:r>
      <w:r>
        <w:rPr>
          <w:sz w:val="21"/>
        </w:rPr>
        <w:t>）中标人应甄选人品端正、作风正派、技术合格的人员承担本项目的建设、维护工作，并保持这些人员的相对稳定，签订合同时需同时提供有关服务人员的名单、相关证书、职责安排等资料。如果需要变更项目参加人员，需及时书面通知采购人，并提供变更人员名单附件。</w:t>
      </w:r>
    </w:p>
    <w:p>
      <w:pPr>
        <w:pStyle w:val="null3"/>
        <w:jc w:val="both"/>
      </w:pPr>
      <w:r>
        <w:rPr>
          <w:sz w:val="21"/>
        </w:rPr>
        <w:t>（</w:t>
      </w:r>
      <w:r>
        <w:rPr>
          <w:sz w:val="21"/>
        </w:rPr>
        <w:t>2</w:t>
      </w:r>
      <w:r>
        <w:rPr>
          <w:sz w:val="21"/>
        </w:rPr>
        <w:t>）中标人提供统一的公司服务热线号码，并提供投诉电话，指定项目负责人。</w:t>
      </w:r>
    </w:p>
    <w:p>
      <w:pPr>
        <w:pStyle w:val="null3"/>
        <w:jc w:val="both"/>
      </w:pPr>
      <w:r>
        <w:rPr>
          <w:sz w:val="21"/>
        </w:rPr>
        <w:t>（</w:t>
      </w:r>
      <w:r>
        <w:rPr>
          <w:sz w:val="21"/>
        </w:rPr>
        <w:t>3</w:t>
      </w:r>
      <w:r>
        <w:rPr>
          <w:sz w:val="21"/>
        </w:rPr>
        <w:t>）中标人的服务人员需自备服务维护工具。</w:t>
      </w:r>
    </w:p>
    <w:p>
      <w:pPr>
        <w:pStyle w:val="null3"/>
        <w:jc w:val="both"/>
      </w:pPr>
      <w:r>
        <w:rPr>
          <w:sz w:val="21"/>
        </w:rPr>
        <w:t>（</w:t>
      </w:r>
      <w:r>
        <w:rPr>
          <w:sz w:val="21"/>
        </w:rPr>
        <w:t>4</w:t>
      </w:r>
      <w:r>
        <w:rPr>
          <w:sz w:val="21"/>
        </w:rPr>
        <w:t>）中标人的服务人员应严格遵守有关法律法规和内部规章制度，不得擅自翻阅、复制、传播所接触的资料或数据。</w:t>
      </w:r>
    </w:p>
    <w:p>
      <w:pPr>
        <w:pStyle w:val="null3"/>
        <w:jc w:val="both"/>
      </w:pPr>
      <w:r>
        <w:rPr>
          <w:sz w:val="21"/>
        </w:rPr>
        <w:t>（</w:t>
      </w:r>
      <w:r>
        <w:rPr>
          <w:sz w:val="21"/>
        </w:rPr>
        <w:t>5</w:t>
      </w:r>
      <w:r>
        <w:rPr>
          <w:sz w:val="21"/>
        </w:rPr>
        <w:t>）中标人应和维护人员在上岗前签署保密协议书，负责约束有关员工的保密工作。</w:t>
      </w:r>
    </w:p>
    <w:p>
      <w:pPr>
        <w:pStyle w:val="null3"/>
        <w:jc w:val="both"/>
      </w:pPr>
      <w:r>
        <w:rPr>
          <w:sz w:val="21"/>
        </w:rPr>
        <w:t>说明：</w:t>
      </w:r>
    </w:p>
    <w:p>
      <w:pPr>
        <w:pStyle w:val="null3"/>
        <w:jc w:val="both"/>
      </w:pPr>
      <w:r>
        <w:rPr>
          <w:sz w:val="21"/>
        </w:rPr>
        <w:t>打</w:t>
      </w:r>
      <w:r>
        <w:rPr>
          <w:sz w:val="21"/>
        </w:rPr>
        <w:t>“★”号条款为实质性条款，若有任何一条负偏离或不满足则导致投标无效。</w:t>
      </w:r>
    </w:p>
    <w:p>
      <w:pPr>
        <w:pStyle w:val="null3"/>
        <w:jc w:val="both"/>
      </w:pPr>
      <w:r>
        <w:rPr>
          <w:sz w:val="21"/>
        </w:rPr>
        <w:t>打</w:t>
      </w:r>
      <w:r>
        <w:rPr>
          <w:sz w:val="21"/>
        </w:rPr>
        <w:t>“▲”号条款为重要技术参数（如有），若有部分“▲”条款未响应或不满足，将根据评审要求影响其得分，但不作为无效投标（响应）条款。</w:t>
      </w:r>
    </w:p>
    <w:p>
      <w:pPr>
        <w:pStyle w:val="null3"/>
        <w:jc w:val="both"/>
      </w:pPr>
      <w:r>
        <w:rPr>
          <w:sz w:val="21"/>
        </w:rPr>
        <w:t>除另有说明外，有要求证明材料的，提供复印件</w:t>
      </w:r>
      <w:r>
        <w:rPr>
          <w:sz w:val="21"/>
        </w:rPr>
        <w:t>/</w:t>
      </w:r>
      <w:r>
        <w:rPr>
          <w:sz w:val="21"/>
        </w:rPr>
        <w:t>扫描件即可；清晰可辨，否则不予认可；供应商提供虚假材料谋取中标、成交的，属于违法行为，将报监管部门依法处理。</w:t>
      </w:r>
    </w:p>
    <w:p>
      <w:pPr>
        <w:pStyle w:val="null3"/>
        <w:jc w:val="both"/>
      </w:pPr>
      <w:r>
        <w:rPr>
          <w:sz w:val="21"/>
        </w:rPr>
        <w:t>本项目有要求有关证明材料的，如无法及时取得并在投标文件中提供的，投标人可以在投标文件中书面承诺相应符合情况；承诺如中标，将在项目实施前提供原件核对，且符合或优于投标文件承诺。</w:t>
      </w:r>
    </w:p>
    <w:p>
      <w:pPr>
        <w:pStyle w:val="null3"/>
        <w:jc w:val="both"/>
      </w:pPr>
      <w:r>
        <w:rPr>
          <w:sz w:val="21"/>
        </w:rPr>
        <w:t>虚假承诺的视为以虚假材料谋取中标，将依法向监管部门报告后严肃处理并追究相应责任，其中标无效，导致采购人蒙受损失的，必须对采购人给予赔偿。</w:t>
      </w:r>
    </w:p>
    <w:p>
      <w:pPr>
        <w:pStyle w:val="null3"/>
      </w:pPr>
      <w:r>
        <w:rPr/>
        <w:t>采购包1（汕头市潮阳区大峰医院信息管理系统及配套设备运维项目）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本项目服务期限为12个月，自签订合同之日起计算，具体时间以项目合同为准。</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1期：支付比例30%,1.签订合同后五个工作日内采购人支付中标人合同金额的30%；</w:t>
            </w:r>
          </w:p>
          <w:p>
            <w:pPr>
              <w:pStyle w:val="null3"/>
            </w:pPr>
            <w:r>
              <w:rPr/>
              <w:t>2期：支付比例70%,项目完成且经采购人验收合格后10个工作日内支付剩余合同金额的70%。 注：中标人在每次请款时提供等额发票，采购人收到发票审核无误后支付相应款项。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1期：双方确定，按以下标准和方式对中标人提交的技术服务（维保）工作成果进行验收： （1）中标人完成技术服务（维保）工作的形式及交付物：《采购项目履约验收书(服务类)》。 （2）技术服务（维保）工作成果的验收方法：由采购人组织技术服务评估。 （3）验收的时间和地点：中标人按质按量完成技术（维保）服务后提出验收申请，采购人收到申请后7日内组织技术（维保）服务评估，验收地点为汕头市潮阳区大峰医院。 （4）中标人向采购人提交的工作成果不得侵害第三方的知识产权。</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1.真实性和有效性，同意采购人以任何形式对投标文件内容及采购方认为有必要的相关资料的真实性和有效性进行审查、验证。</w:t>
            </w:r>
          </w:p>
          <w:p>
            <w:pPr>
              <w:pStyle w:val="null3"/>
            </w:pPr>
            <w:r>
              <w:rPr/>
              <w:t>2.投标人必须完全理解并接受合同实质性条款要求，合同实质性条款包括：合同标的、数量、质量、价款或者报酬、履行期限、履行地点和方式、违约责任和解决争议方法等，详见第五章 合同文本。</w:t>
            </w:r>
          </w:p>
          <w:p>
            <w:pPr>
              <w:pStyle w:val="null3"/>
            </w:pPr>
            <w:r>
              <w:rPr/>
              <w:t>3.投标要求，（1）投标人需对本项目技术参数指标一一响应。（2）投标人需针对本项目制订运维服务方案，包含但不限于以下各项：①运维团队组织（包括组织架构、角色与职责、人员配置与技能要求、沟通协调机制）、运维方法、运维服务计划（包括年度/季度运维目标、资源计划、改进计划）；②运维流程（包括事件管理流程、问题管理流程）、运维管理制度（包括值班制度、权限管理制度、文档管理制度、安全管理制度、机房管理制度）、运维质量管理（包括关键绩效指标、监控与度量、持续改进机制）；③应急响应措施（包括快速响应通道、初步处置步骤、恢复与验证、事后跟进）；④服务时间（服务响应时间、响应承诺、维护窗口）、现场服务支持（支持范围、响应级别、远程协作支持）。（3）投标人需针对本项目制订应急处理方案，包含但不限于以下各项：①提供事件分级与响应机制（包括分级标准、响应机制）、预案流程（包括通用流程、专项预案流程）；②演练计划（包括演练目标、演练类型、演练内容、总结与改进）；③关键技术保障（包括容灾能力、备份与恢复）、改进机制。（4）投标人需针对本项目制订风险管控方案，包含以下各项：①提供风险识别机制（包括定期风险评估、事件/问题驱动）；②防控措施（包括技术措施、管理措施）、持续改进建议。（5）投标人具备质量管理体系认证证书。（6）投标人针对本项目“第二章 采购需求”提供团队人员配置方案，对主要内容进行分析，包括但不限于：主要负责人简历；服务人员数量及配置；人员资质、经验等。（7）投标人2022年1月1日（以合同签订时间为准）至今有相关项目经验。</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硬件运维服务</w:t>
            </w:r>
          </w:p>
        </w:tc>
        <w:tc>
          <w:tcPr>
            <w:tcW w:type="dxa" w:w="933"/>
          </w:tcPr>
          <w:p>
            <w:pPr>
              <w:pStyle w:val="null3"/>
              <w:jc w:val="left"/>
            </w:pPr>
            <w:r>
              <w:rPr/>
              <w:t>信息管理系统及配套设备运维项目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2,082,300.00</w:t>
            </w:r>
          </w:p>
        </w:tc>
        <w:tc>
          <w:tcPr>
            <w:tcW w:type="dxa" w:w="933"/>
          </w:tcPr>
          <w:p>
            <w:pPr>
              <w:pStyle w:val="null3"/>
              <w:jc w:val="right"/>
            </w:pPr>
            <w:r>
              <w:rPr/>
              <w:t>2,082,300.00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信息管理系统及配套设备运维项目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w:t>
            </w:r>
            <w:r>
              <w:rPr>
                <w:sz w:val="21"/>
              </w:rPr>
              <w:t>“</w:t>
            </w:r>
            <w:r>
              <w:rPr>
                <w:sz w:val="21"/>
              </w:rPr>
              <w:t>第二章 采购需求</w:t>
            </w:r>
            <w:r>
              <w:rPr>
                <w:sz w:val="21"/>
              </w:rPr>
              <w:t>”-“</w:t>
            </w:r>
            <w:r>
              <w:rPr>
                <w:sz w:val="21"/>
              </w:rPr>
              <w:t>一、项目概况</w:t>
            </w:r>
            <w:r>
              <w:rPr>
                <w:sz w:val="21"/>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汕头市潮阳区大峰医院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1家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采购机构代理服务收费标准：本次招标向中标人收取中标服务费，按差额定率累进法计算，以中标通知书中确定的中标金额作为收费的计算依据收取。中标金额的各部分费率如下：中标金额（万元） 100以下的，费率1.5%；100-500的，费率0.8%。本项目类型为服务招标。</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政府采购合同融资，是指供应商凭借中标（成交）通知书或政府采购合同向金融机构申请融资，金融机构以供应商信用审查和政府采购信誉为基础，按便捷贷款程序和优惠利率，为其发放无财产抵押贷款的一种融资模式。如供应商需要申请政府采购合同融资的，可查阅政府采购相关政策文件。</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 xml:space="preserve">国义招标股份有限公司 </w:t>
      </w:r>
      <w:r>
        <w:rPr/>
        <w:t>代收。具体操作要求详见</w:t>
      </w:r>
      <w:r>
        <w:rPr/>
        <w:t xml:space="preserve">国义招标股份有限公司 </w:t>
      </w:r>
      <w:r>
        <w:rPr/>
        <w:t>有关指引，递交事宜请自行咨询</w:t>
      </w:r>
      <w:r>
        <w:rPr/>
        <w:t xml:space="preserve">国义招标股份有限公司 </w:t>
      </w:r>
      <w:r>
        <w:rPr/>
        <w:t>；请各投标人在投标文件递交截止时间前按须知前附表规定的金额递交至</w:t>
      </w:r>
      <w:r>
        <w:rPr/>
        <w:t xml:space="preserve">国义招标股份有限公司 </w:t>
      </w:r>
      <w:r>
        <w:rPr/>
        <w:t>，到账情况以开标时</w:t>
      </w:r>
      <w:r>
        <w:rPr/>
        <w:t xml:space="preserve">国义招标股份有限公司 </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广东省公共资源交易平台（https://ygp.gdzwfw.gov.cn/）</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郭小姐、李小姐</w:t>
      </w:r>
    </w:p>
    <w:p>
      <w:pPr>
        <w:pStyle w:val="null3"/>
        <w:ind w:firstLine="480"/>
      </w:pPr>
      <w:r>
        <w:rPr/>
        <w:t>电话：</w:t>
      </w:r>
      <w:r>
        <w:rPr/>
        <w:t>020-37860713/715（工作/接收时间：8：30-17：00）</w:t>
      </w:r>
    </w:p>
    <w:p>
      <w:pPr>
        <w:pStyle w:val="null3"/>
        <w:ind w:firstLine="480"/>
      </w:pPr>
      <w:r>
        <w:rPr/>
        <w:t>传真：</w:t>
      </w:r>
      <w:r>
        <w:rPr/>
        <w:t>/</w:t>
      </w:r>
    </w:p>
    <w:p>
      <w:pPr>
        <w:pStyle w:val="null3"/>
        <w:ind w:firstLine="480"/>
      </w:pPr>
      <w:r>
        <w:rPr/>
        <w:t>邮箱：</w:t>
      </w:r>
      <w:r>
        <w:rPr/>
        <w:t>guochunxi@ebidding.com</w:t>
      </w:r>
    </w:p>
    <w:p>
      <w:pPr>
        <w:pStyle w:val="null3"/>
        <w:ind w:firstLine="480"/>
      </w:pPr>
      <w:r>
        <w:rPr/>
        <w:t>地址：</w:t>
      </w:r>
      <w:r>
        <w:rPr/>
        <w:t>广州市东风东路726号9楼903室</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政府采购监督管理机构名称：汕头市潮阳区政府采购管理办公室</w:t>
      </w:r>
    </w:p>
    <w:p>
      <w:pPr>
        <w:pStyle w:val="null3"/>
      </w:pPr>
      <w:r>
        <w:rPr/>
        <w:t>地 址：汕头市潮阳区棉北柳园路33号</w:t>
      </w:r>
    </w:p>
    <w:p>
      <w:pPr>
        <w:pStyle w:val="null3"/>
      </w:pPr>
      <w:r>
        <w:rPr/>
        <w:t>电 话：0754-88713294</w:t>
      </w:r>
    </w:p>
    <w:p>
      <w:pPr>
        <w:pStyle w:val="null3"/>
      </w:pPr>
      <w:r>
        <w:rPr/>
        <w:t>邮 编：515100</w:t>
      </w:r>
    </w:p>
    <w:p>
      <w:pPr>
        <w:pStyle w:val="null3"/>
      </w:pPr>
      <w:r>
        <w:rPr/>
        <w:t>传 真：0754-88713294</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汕头市潮阳区大峰医院信息管理系统及配套设备运维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采购包1（汕头市潮阳区大峰医院信息管理系统及配套设备运维项目）：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采购包1（汕头市潮阳区大峰医院信息管理系统及配套设备运维项目）：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提供《汕头市政府采购供应商信用承诺函》（或者提供投标截止日前6个月内任意1个月依法缴纳税收的相关材料，并提供投标截止日前6个月内任意1个月依法缴纳社会保障资金的相关材料 。如依法免税或不需要缴纳社会保障资金的，提供相应证明材料）。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提供《汕头市政府采购供应商信用承诺函》（或者提供2023年度或2024年度财务状况报告（新成立公司提供成立至今的月或季度财务报表） 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汕头市政府采购供应商信用承诺函》（或者参照投标（报价）函相关承诺格式内容）。重大违法记录，是指供应商因违法经营受到刑事处罚或者责令停产停业、吊销许可证或者执照、较大数额罚款等行政处罚。（依据财库〔2022〕3号文规定，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没有被列入失信被执行人、严重失信主体名单、重大税收违法失信主体名单、政府采购严重违法失信行为记录名单及其他不符合规定条件的供应商。[以采购代理机构于投标（响应）截止时间当天在“信用中国”网站（www.creditchina.gov.cn）、中国政府采购网（www.ccgp.gov.cn）及广东省政府采购网“政府采购违法失信行为清单”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的其他采购活动。(提供书面声明)。</w:t>
            </w:r>
          </w:p>
        </w:tc>
      </w:tr>
      <w:tr>
        <w:tc>
          <w:tcPr>
            <w:tcW w:type="dxa" w:w="890"/>
          </w:tcPr>
          <w:p>
            <w:pPr>
              <w:pStyle w:val="null3"/>
            </w:pPr>
            <w:r>
              <w:rPr/>
              <w:t>8</w:t>
            </w:r>
          </w:p>
        </w:tc>
        <w:tc>
          <w:tcPr>
            <w:tcW w:type="dxa" w:w="3178"/>
          </w:tcPr>
          <w:p>
            <w:pPr>
              <w:pStyle w:val="null3"/>
            </w:pPr>
            <w:r>
              <w:rPr/>
              <w:t>已登记获取本次采购文件。(具体方式详见本项目公告)。</w:t>
            </w:r>
          </w:p>
        </w:tc>
        <w:tc>
          <w:tcPr>
            <w:tcW w:type="dxa" w:w="4238"/>
          </w:tcPr>
          <w:p>
            <w:pPr>
              <w:pStyle w:val="null3"/>
            </w:pPr>
            <w:r>
              <w:rPr/>
              <w:t>已登记获取本次采购文件。(具体方式详见本项目公告)。</w:t>
            </w:r>
          </w:p>
        </w:tc>
      </w:tr>
      <w:tr>
        <w:tc>
          <w:tcPr>
            <w:tcW w:type="dxa" w:w="890"/>
          </w:tcPr>
          <w:p>
            <w:pPr>
              <w:pStyle w:val="null3"/>
            </w:pPr>
            <w:r>
              <w:rPr/>
              <w:t>9</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采购包为专门面向中小企业采购的项目，即服务商须为符合本项目采购标的对应行业政策划分标准的中小企业。投标人提供《中小企业声明函》，属于中型企业、小型企业或微型企业。监狱企业视同小型、微型企业，监狱企业参加政府采购活动时，应当提供由省级以上监狱管理局、戒毒管理局(含新疆生产建设兵团)出具的属于监狱企业的证明文件；符合《三部门联合发布关于促进残疾人就业政府采购政策的通知》规定条件的残疾人福利性单位在参加政府采购活动时视同小型、微型企业，应当提供该通知规定的《残疾人福利性单位声明函》，并对声明的真实性负责。</w:t>
            </w:r>
          </w:p>
        </w:tc>
      </w:tr>
    </w:tbl>
    <w:p>
      <w:pPr>
        <w:pStyle w:val="null3"/>
        <w:ind w:firstLine="480"/>
      </w:pPr>
      <w:r>
        <w:rPr/>
        <w:t>表二符合性审查表：</w:t>
      </w:r>
    </w:p>
    <w:p>
      <w:pPr>
        <w:pStyle w:val="null3"/>
      </w:pPr>
      <w:r>
        <w:rPr/>
        <w:t>采购包1（汕头市潮阳区大峰医院信息管理系统及配套设备运维项目）：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1）投标报价未超过本项目内最高限价 2）对本项目（所投包号内）全部招标内容进行投标报价 3）投标报价是唯一确定的。</w:t>
            </w:r>
          </w:p>
        </w:tc>
      </w:tr>
      <w:tr>
        <w:tc>
          <w:tcPr>
            <w:tcW w:type="dxa" w:w="890"/>
          </w:tcPr>
          <w:p>
            <w:pPr>
              <w:pStyle w:val="null3"/>
            </w:pPr>
            <w:r>
              <w:rPr/>
              <w:t>2</w:t>
            </w:r>
          </w:p>
        </w:tc>
        <w:tc>
          <w:tcPr>
            <w:tcW w:type="dxa" w:w="3178"/>
          </w:tcPr>
          <w:p>
            <w:pPr>
              <w:pStyle w:val="null3"/>
            </w:pPr>
            <w:r>
              <w:rPr/>
              <w:t>签署及盖章</w:t>
            </w:r>
          </w:p>
        </w:tc>
        <w:tc>
          <w:tcPr>
            <w:tcW w:type="dxa" w:w="4238"/>
          </w:tcPr>
          <w:p>
            <w:pPr>
              <w:pStyle w:val="null3"/>
            </w:pPr>
            <w:r>
              <w:rPr/>
              <w:t>投标文件按照招标文件规定要求签署、盖章</w:t>
            </w:r>
          </w:p>
        </w:tc>
      </w:tr>
      <w:tr>
        <w:tc>
          <w:tcPr>
            <w:tcW w:type="dxa" w:w="890"/>
          </w:tcPr>
          <w:p>
            <w:pPr>
              <w:pStyle w:val="null3"/>
            </w:pPr>
            <w:r>
              <w:rPr/>
              <w:t>3</w:t>
            </w:r>
          </w:p>
        </w:tc>
        <w:tc>
          <w:tcPr>
            <w:tcW w:type="dxa" w:w="3178"/>
          </w:tcPr>
          <w:p>
            <w:pPr>
              <w:pStyle w:val="null3"/>
            </w:pPr>
            <w:r>
              <w:rPr/>
              <w:t>法定代表人证明书及授权委托书</w:t>
            </w:r>
          </w:p>
        </w:tc>
        <w:tc>
          <w:tcPr>
            <w:tcW w:type="dxa" w:w="4238"/>
          </w:tcPr>
          <w:p>
            <w:pPr>
              <w:pStyle w:val="null3"/>
            </w:pPr>
            <w:r>
              <w:rPr/>
              <w:t>法定代表人证明书及授权委托书：按对应格式文件签署、盖章(原件)</w:t>
            </w:r>
          </w:p>
        </w:tc>
      </w:tr>
      <w:tr>
        <w:tc>
          <w:tcPr>
            <w:tcW w:type="dxa" w:w="890"/>
          </w:tcPr>
          <w:p>
            <w:pPr>
              <w:pStyle w:val="null3"/>
            </w:pPr>
            <w:r>
              <w:rPr/>
              <w:t>4</w:t>
            </w:r>
          </w:p>
        </w:tc>
        <w:tc>
          <w:tcPr>
            <w:tcW w:type="dxa" w:w="3178"/>
          </w:tcPr>
          <w:p>
            <w:pPr>
              <w:pStyle w:val="null3"/>
            </w:pPr>
            <w:r>
              <w:rPr/>
              <w:t>投标有效期</w:t>
            </w:r>
          </w:p>
        </w:tc>
        <w:tc>
          <w:tcPr>
            <w:tcW w:type="dxa" w:w="4238"/>
          </w:tcPr>
          <w:p>
            <w:pPr>
              <w:pStyle w:val="null3"/>
            </w:pPr>
            <w:r>
              <w:rPr/>
              <w:t>提供《投标函》，投标有效期满足招标文件要求</w:t>
            </w:r>
          </w:p>
        </w:tc>
      </w:tr>
      <w:tr>
        <w:tc>
          <w:tcPr>
            <w:tcW w:type="dxa" w:w="890"/>
          </w:tcPr>
          <w:p>
            <w:pPr>
              <w:pStyle w:val="null3"/>
            </w:pPr>
            <w:r>
              <w:rPr/>
              <w:t>5</w:t>
            </w:r>
          </w:p>
        </w:tc>
        <w:tc>
          <w:tcPr>
            <w:tcW w:type="dxa" w:w="3178"/>
          </w:tcPr>
          <w:p>
            <w:pPr>
              <w:pStyle w:val="null3"/>
            </w:pPr>
            <w:r>
              <w:rPr/>
              <w:t>“★”号条款响应</w:t>
            </w:r>
          </w:p>
        </w:tc>
        <w:tc>
          <w:tcPr>
            <w:tcW w:type="dxa" w:w="4238"/>
          </w:tcPr>
          <w:p>
            <w:pPr>
              <w:pStyle w:val="null3"/>
            </w:pPr>
            <w:r>
              <w:rPr/>
              <w:t>实质性响应招标文件中“★”号条款的技术、商务要求：投标方案不得对实质性技术与商务的（即标注★号条款）条款产生偏离</w:t>
            </w:r>
          </w:p>
        </w:tc>
      </w:tr>
      <w:tr>
        <w:tc>
          <w:tcPr>
            <w:tcW w:type="dxa" w:w="890"/>
          </w:tcPr>
          <w:p>
            <w:pPr>
              <w:pStyle w:val="null3"/>
            </w:pPr>
            <w:r>
              <w:rPr/>
              <w:t>6</w:t>
            </w:r>
          </w:p>
        </w:tc>
        <w:tc>
          <w:tcPr>
            <w:tcW w:type="dxa" w:w="3178"/>
          </w:tcPr>
          <w:p>
            <w:pPr>
              <w:pStyle w:val="null3"/>
            </w:pPr>
            <w:r>
              <w:rPr/>
              <w:t>产地来源</w:t>
            </w:r>
          </w:p>
        </w:tc>
        <w:tc>
          <w:tcPr>
            <w:tcW w:type="dxa" w:w="4238"/>
          </w:tcPr>
          <w:p>
            <w:pPr>
              <w:pStyle w:val="null3"/>
            </w:pPr>
            <w:r>
              <w:rPr/>
              <w:t>招标文件不允许采购进口产品时，不得以进口产品投标。进口产品是指通过中国海关报关验放进入中国境内且产自关境外的产品。其中，凡在海关特殊监管区域内企业生产或加工(包括从境外进口料件)销往境内其他地区的产品，不作为政府采购项下进口产品。</w:t>
            </w:r>
          </w:p>
        </w:tc>
      </w:tr>
      <w:tr>
        <w:tc>
          <w:tcPr>
            <w:tcW w:type="dxa" w:w="890"/>
          </w:tcPr>
          <w:p>
            <w:pPr>
              <w:pStyle w:val="null3"/>
            </w:pPr>
            <w:r>
              <w:rPr/>
              <w:t>7</w:t>
            </w:r>
          </w:p>
        </w:tc>
        <w:tc>
          <w:tcPr>
            <w:tcW w:type="dxa" w:w="3178"/>
          </w:tcPr>
          <w:p>
            <w:pPr>
              <w:pStyle w:val="null3"/>
            </w:pPr>
            <w:r>
              <w:rPr/>
              <w:t>其他情形</w:t>
            </w:r>
          </w:p>
        </w:tc>
        <w:tc>
          <w:tcPr>
            <w:tcW w:type="dxa" w:w="4238"/>
          </w:tcPr>
          <w:p>
            <w:pPr>
              <w:pStyle w:val="null3"/>
            </w:pPr>
            <w:r>
              <w:rPr/>
              <w:t>不属于法律、法规、规章规定无效投标的其他情形。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采购包1(汕头市潮阳区大峰医院信息管理系统及配套设备运维项目):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商务部分10.0分</w:t>
            </w:r>
          </w:p>
          <w:p>
            <w:pPr>
              <w:pStyle w:val="null3"/>
            </w:pPr>
            <w:r>
              <w:rPr/>
              <w:t>技术部分80.0分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技术响应情况 (36.3分)</w:t>
            </w:r>
          </w:p>
        </w:tc>
        <w:tc>
          <w:tcPr>
            <w:tcW w:type="dxa" w:w="5076"/>
          </w:tcPr>
          <w:p>
            <w:pPr>
              <w:pStyle w:val="null3"/>
              <w:jc w:val="left"/>
            </w:pPr>
            <w:r>
              <w:rPr/>
              <w:t>依据投标人对本项目技术参数指标（“1.5.项目维护范围及内容”至“1.6.服务要求”）响应情况评分，完全响应得满分36.3分。 （1）未标注“★”或“▲”的一般技术参数共计42项，优于或完全满足采购需求的，得6.3分；每有一项负偏离的扣0.15分。 （2）标注“▲”项共计10个，优于或完全满足采购需求的，得30分；“▲”项每有一项不满足扣3分。 注：如用户需求书中有明确提供的证明资料，则以用户需求书中要求的为准，无或未按要求提供证明材料的不得分；如用户需求书中无明确证明材料的，以投标人投标文件中的《技术和服务要求响应表》中的投标实际参数填写内容为准。</w:t>
            </w:r>
          </w:p>
        </w:tc>
      </w:tr>
      <w:tr>
        <w:tc>
          <w:tcPr>
            <w:tcW w:type="dxa" w:w="922"/>
            <w:gridSpan w:val="2"/>
            <w:vMerge/>
          </w:tcPr>
          <w:p/>
        </w:tc>
        <w:tc>
          <w:tcPr>
            <w:tcW w:type="dxa" w:w="2307"/>
          </w:tcPr>
          <w:p>
            <w:pPr>
              <w:pStyle w:val="null3"/>
              <w:jc w:val="left"/>
            </w:pPr>
            <w:r>
              <w:rPr/>
              <w:t>运维服务方案 (20.0分)</w:t>
            </w:r>
          </w:p>
        </w:tc>
        <w:tc>
          <w:tcPr>
            <w:tcW w:type="dxa" w:w="5076"/>
          </w:tcPr>
          <w:p>
            <w:pPr>
              <w:pStyle w:val="null3"/>
              <w:jc w:val="left"/>
            </w:pPr>
            <w:r>
              <w:rPr/>
              <w:t>（一）评分内容：投标人需针对本项目制订运维服务方案，包含但不限于以下各项：①运维团队组织（包括组织架构、角色与职责、人员配置与技能要求、沟通协调机制）、运维方法、运维服务计划（包括年度/季度运维目标、资源计划、改进计划）；②运维流程（包括事件管理流程、问题管理流程）、运维管理制度（包括值班制度、权限管理制度、文档管理制度、安全管理制度、机房管理制度）、运维质量管理（包括关键绩效指标、监控与度量、持续改进机制）；③应急响应措施（包括快速响应通道、初步处置步骤、恢复与验证、事后跟进）；④服务时间（服务响应时间、响应承诺、维护窗口）、现场服务支持（支持范围、响应级别、远程协作支持）。 （二）评分依据：1.每包含1项得1分，最高得4分。2.在此基础上，按照下列要求进行加分：1）运维服务方案总体科学合理、准确、满足业务多样性等方面；流程清晰、切实可行、完整，项目的实施周期可以在规定时间内完成，完全满足或优于采购需求，得16分；2）运维服务方案内容完整、详细、表述清晰、合理、有可行性，部分满足采购需求，得9分；3）运维服务方案主体内容缺失，无法满足采购需求得3分；4）未提供，得0分。</w:t>
            </w:r>
          </w:p>
        </w:tc>
      </w:tr>
      <w:tr>
        <w:tc>
          <w:tcPr>
            <w:tcW w:type="dxa" w:w="922"/>
            <w:gridSpan w:val="2"/>
            <w:vMerge/>
          </w:tcPr>
          <w:p/>
        </w:tc>
        <w:tc>
          <w:tcPr>
            <w:tcW w:type="dxa" w:w="2307"/>
          </w:tcPr>
          <w:p>
            <w:pPr>
              <w:pStyle w:val="null3"/>
              <w:jc w:val="left"/>
            </w:pPr>
            <w:r>
              <w:rPr/>
              <w:t>应急预案 (12.0分)</w:t>
            </w:r>
          </w:p>
        </w:tc>
        <w:tc>
          <w:tcPr>
            <w:tcW w:type="dxa" w:w="5076"/>
          </w:tcPr>
          <w:p>
            <w:pPr>
              <w:pStyle w:val="null3"/>
              <w:jc w:val="left"/>
            </w:pPr>
            <w:r>
              <w:rPr/>
              <w:t>（一）评分内容：投标人需针对本项目制订应急处理方案，包含但不限于以下各项：①提供事件分级与响应机制（包括分级标准、响应机制）、预案流程（包括通用流程、专项预案流程）；②演练计划（包括演练目标、演练类型、演练内容、总结与改进）；③关键技术保障（包括容灾能力、备份与恢复）、改进机制。 （二）评分依据：1.每包含1项得1分，最高得3分。2.在此基础上，按照下列要求进行加分：1）应急预案内容全面具体、有针对性和可操作性，全阶段覆盖项目周期，得9分； 2）应急预案内容可应对主要风险，具备一定的针对性和可操作性；得5分；3）应急预案内容有缺漏，无法有效保障项目实施；得2分；4）未提供得0分。</w:t>
            </w:r>
          </w:p>
        </w:tc>
      </w:tr>
      <w:tr>
        <w:tc>
          <w:tcPr>
            <w:tcW w:type="dxa" w:w="922"/>
            <w:gridSpan w:val="2"/>
            <w:vMerge/>
          </w:tcPr>
          <w:p/>
        </w:tc>
        <w:tc>
          <w:tcPr>
            <w:tcW w:type="dxa" w:w="2307"/>
          </w:tcPr>
          <w:p>
            <w:pPr>
              <w:pStyle w:val="null3"/>
              <w:jc w:val="left"/>
            </w:pPr>
            <w:r>
              <w:rPr/>
              <w:t>风险管控方案 (11.7分)</w:t>
            </w:r>
          </w:p>
        </w:tc>
        <w:tc>
          <w:tcPr>
            <w:tcW w:type="dxa" w:w="5076"/>
          </w:tcPr>
          <w:p>
            <w:pPr>
              <w:pStyle w:val="null3"/>
              <w:jc w:val="left"/>
            </w:pPr>
            <w:r>
              <w:rPr/>
              <w:t>（一）评分内容：投标人需针对本项目制订风险管控方案，包含以下各项：①提供风险识别机制（包括定期风险评估、事件/问题驱动）；②防控措施（包括技术措施、管理措施）、持续改进建议。 （二）评分依据：1.每包含1项得1分，最高得2分。2.在此基础上，按照下列要求进行加分：1）风险管控方案内容覆盖全场景，保密体系严密，措施完备，得9.7分； 2）风险管控方案覆盖核心内容，部分措施不具体，方案存在一定偏差；得5分；3）风险管控方案内容有缺漏，无有效措施；得2分；4）未提供得0分。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投标人综合实力 (2.0分)</w:t>
            </w:r>
          </w:p>
        </w:tc>
        <w:tc>
          <w:tcPr>
            <w:tcW w:type="dxa" w:w="5076"/>
          </w:tcPr>
          <w:p>
            <w:pPr>
              <w:pStyle w:val="null3"/>
              <w:jc w:val="left"/>
            </w:pPr>
            <w:r>
              <w:rPr/>
              <w:t>投标人具备质量管理体系认证证书；得2分； 注：投标人需提供相关证明文件加盖公章。</w:t>
            </w:r>
          </w:p>
        </w:tc>
      </w:tr>
      <w:tr>
        <w:tc>
          <w:tcPr>
            <w:tcW w:type="dxa" w:w="922"/>
            <w:gridSpan w:val="2"/>
            <w:vMerge/>
          </w:tcPr>
          <w:p/>
        </w:tc>
        <w:tc>
          <w:tcPr>
            <w:tcW w:type="dxa" w:w="2307"/>
          </w:tcPr>
          <w:p>
            <w:pPr>
              <w:pStyle w:val="null3"/>
              <w:jc w:val="left"/>
            </w:pPr>
            <w:r>
              <w:rPr/>
              <w:t>团队人员配置方案 (2.0分)</w:t>
            </w:r>
          </w:p>
        </w:tc>
        <w:tc>
          <w:tcPr>
            <w:tcW w:type="dxa" w:w="5076"/>
          </w:tcPr>
          <w:p>
            <w:pPr>
              <w:pStyle w:val="null3"/>
              <w:jc w:val="left"/>
            </w:pPr>
            <w:r>
              <w:rPr/>
              <w:t>投标人针对本项目“第二章 采购需求”提供团队人员配置方案，对主要内容进行分析，包括但不限于：主要负责人简历；服务人员数量及配置；人员资质、经验等。 2分：方案完整详尽，针对性强，人员配置科学合理，主要负责人资历深、经验完全匹配，服务团队结构完整、专业资质齐全，并建立了明确的人员管理、培训考核与应急替补机制，能完全保障医院系统长期稳定运维的特殊需求。 1分：方案内容基本完整，人员配置与资质基本满足项目要求，主要负责人有一定相关经验，服务团队职责划分基本清晰，但方案在针对医疗行业特性、深度经验或精细化管理机制方面的阐述有所欠缺。 0.5分：方案内容粗略，仅简单罗列人员信息，未提供详尽简历，人员配置、分工或资质描述模糊，与医院信息系统运维项目的实际需求关联性不强，缺乏有效的管理和保障措施说明。 0分：未提供团队人员配置方案，或方案内容完全未涉及评分要点中的任何核心要求。</w:t>
            </w:r>
          </w:p>
        </w:tc>
      </w:tr>
      <w:tr>
        <w:tc>
          <w:tcPr>
            <w:tcW w:type="dxa" w:w="922"/>
            <w:gridSpan w:val="2"/>
            <w:vMerge/>
          </w:tcPr>
          <w:p/>
        </w:tc>
        <w:tc>
          <w:tcPr>
            <w:tcW w:type="dxa" w:w="2307"/>
          </w:tcPr>
          <w:p>
            <w:pPr>
              <w:pStyle w:val="null3"/>
              <w:jc w:val="left"/>
            </w:pPr>
            <w:r>
              <w:rPr/>
              <w:t>项目经验 (6.0分)</w:t>
            </w:r>
          </w:p>
        </w:tc>
        <w:tc>
          <w:tcPr>
            <w:tcW w:type="dxa" w:w="5076"/>
          </w:tcPr>
          <w:p>
            <w:pPr>
              <w:pStyle w:val="null3"/>
              <w:jc w:val="left"/>
            </w:pPr>
            <w:r>
              <w:rPr/>
              <w:t>投标人2022年1月1日（以合同签订时间为准）至今有相关项目经验的，每一份得1.5分，最高6分。 注：投标人需提供合同关键页作为证明文件加盖公章。</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1、评标委员会根据最终评审的结果，推荐综合得分最高的投标人为第一中标候选人。得分相同的，按投标报价由低到高顺序排列。综合得分且投标报价相同的并列。中标候选人并列的，采购人可委托评标委员会按下列顺序比较确定中标人：（1）技术评分（由高到低）；(2)商务评分“同类项目经验”得分（由高到低）。如以上都相同的，名次由采购人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广东省政府采购</w:t>
      </w:r>
    </w:p>
    <w:p>
      <w:pPr>
        <w:pStyle w:val="null3"/>
        <w:spacing w:before="150" w:after="150"/>
        <w:jc w:val="center"/>
      </w:pPr>
      <w:r>
        <w:rPr>
          <w:sz w:val="44"/>
          <w:b/>
        </w:rPr>
        <w:t>合　同　书</w:t>
      </w:r>
    </w:p>
    <w:p>
      <w:pPr>
        <w:pStyle w:val="null3"/>
      </w:pPr>
      <w:r>
        <w:br/>
      </w:r>
      <w:r>
        <w:br/>
      </w:r>
    </w:p>
    <w:p>
      <w:pPr>
        <w:pStyle w:val="null3"/>
      </w:pPr>
      <w:r>
        <w:rPr>
          <w:sz w:val="28"/>
          <w:color w:val="222222"/>
        </w:rPr>
        <w:t>采购计划编号：</w:t>
      </w:r>
    </w:p>
    <w:p>
      <w:pPr>
        <w:pStyle w:val="null3"/>
        <w:spacing w:before="150" w:after="150"/>
      </w:pPr>
      <w:r>
        <w:rPr>
          <w:sz w:val="28"/>
          <w:color w:val="222222"/>
        </w:rPr>
        <w:t>项目编号：</w:t>
      </w:r>
    </w:p>
    <w:p>
      <w:pPr>
        <w:pStyle w:val="null3"/>
        <w:spacing w:before="150" w:after="150"/>
      </w:pPr>
      <w:r>
        <w:rPr>
          <w:sz w:val="28"/>
          <w:color w:val="222222"/>
        </w:rPr>
        <w:t>项目名称：</w:t>
      </w:r>
    </w:p>
    <w:p>
      <w:pPr>
        <w:pStyle w:val="null3"/>
      </w:pPr>
      <w:r>
        <w:br/>
      </w:r>
    </w:p>
    <w:p>
      <w:pPr>
        <w:pStyle w:val="null3"/>
        <w:jc w:val="both"/>
      </w:pPr>
      <w:r>
        <w:rPr>
          <w:sz w:val="24"/>
          <w:b/>
        </w:rPr>
        <w:t>注：本合同仅为合同的参考文本，合同签订双方可根据项目的具体要求进行修订，但不得偏离实质性条款。</w:t>
      </w:r>
    </w:p>
    <w:p>
      <w:pPr>
        <w:pStyle w:val="null3"/>
        <w:jc w:val="both"/>
      </w:pPr>
      <w:r>
        <w:rPr/>
        <w:t xml:space="preserve"> </w:t>
      </w:r>
    </w:p>
    <w:p>
      <w:pPr>
        <w:pStyle w:val="null3"/>
        <w:jc w:val="both"/>
      </w:pPr>
      <w:r>
        <w:rPr>
          <w:sz w:val="24"/>
        </w:rPr>
        <w:t>甲方：</w:t>
      </w:r>
      <w:r>
        <w:rPr>
          <w:sz w:val="24"/>
          <w:u w:val="single"/>
        </w:rPr>
        <w:t>汕头市潮阳区大峰医院</w:t>
      </w:r>
    </w:p>
    <w:p>
      <w:pPr>
        <w:pStyle w:val="null3"/>
        <w:jc w:val="both"/>
      </w:pPr>
      <w:r>
        <w:rPr>
          <w:sz w:val="24"/>
        </w:rPr>
        <w:t>乙方：</w:t>
      </w:r>
    </w:p>
    <w:p>
      <w:pPr>
        <w:pStyle w:val="null3"/>
        <w:ind w:firstLine="480"/>
        <w:jc w:val="both"/>
      </w:pPr>
      <w:r>
        <w:rPr>
          <w:sz w:val="24"/>
        </w:rPr>
        <w:t>根据</w:t>
      </w:r>
      <w:r>
        <w:rPr>
          <w:sz w:val="24"/>
          <w:b/>
          <w:u w:val="single"/>
        </w:rPr>
        <w:t>汕头市潮阳区大峰医院信息管理系统及配套设备运维项目</w:t>
      </w:r>
      <w:r>
        <w:rPr>
          <w:sz w:val="24"/>
        </w:rPr>
        <w:t>的招标结果，按照《中华人民共和国政府采购法》《中华人民共和国民法典》的规定，经双方协商，本着平等互利和诚实信用的原则，一致同意签订本合同，本合同条款如下。</w:t>
      </w:r>
    </w:p>
    <w:p>
      <w:pPr>
        <w:pStyle w:val="null3"/>
        <w:ind w:firstLine="482"/>
        <w:jc w:val="both"/>
      </w:pPr>
      <w:r>
        <w:rPr>
          <w:sz w:val="24"/>
          <w:b/>
        </w:rPr>
        <w:t>一、合同金额</w:t>
      </w:r>
    </w:p>
    <w:p>
      <w:pPr>
        <w:pStyle w:val="null3"/>
        <w:ind w:firstLine="480"/>
        <w:jc w:val="both"/>
      </w:pPr>
      <w:r>
        <w:rPr>
          <w:sz w:val="24"/>
        </w:rPr>
        <w:t>本合同总价为：人民币元整（大写</w:t>
      </w:r>
      <w:r>
        <w:rPr>
          <w:sz w:val="24"/>
        </w:rPr>
        <w:t>），即￥，合同价款为包干总价，该包干总价为乙方按照合同约定完成合同全部义务后所适用的总价格，包括但不限于人工、材料、管理、维护、保险、利润、税金、政策性文件规定及合同包含的所有风险（包括但不限于国家和地方的法律法规政策变动风险、市场价格波动风险等）等各项费用。除本合同明确约定的费用外，甲方无需支付任何额外费用和承担任何额外义务。</w:t>
      </w:r>
    </w:p>
    <w:p>
      <w:pPr>
        <w:pStyle w:val="null3"/>
        <w:ind w:firstLine="482"/>
        <w:jc w:val="both"/>
      </w:pPr>
      <w:r>
        <w:rPr>
          <w:sz w:val="24"/>
          <w:b/>
        </w:rPr>
        <w:t>二、服务范围</w:t>
      </w:r>
    </w:p>
    <w:p>
      <w:pPr>
        <w:pStyle w:val="null3"/>
        <w:spacing w:before="315" w:after="315"/>
        <w:outlineLvl w:val="2"/>
      </w:pPr>
      <w:r>
        <w:rPr>
          <w:sz w:val="24"/>
          <w:b/>
        </w:rPr>
        <w:t>1.项目维护范围</w:t>
      </w:r>
    </w:p>
    <w:p>
      <w:pPr>
        <w:pStyle w:val="null3"/>
        <w:ind w:firstLine="480"/>
        <w:jc w:val="both"/>
      </w:pPr>
      <w:r>
        <w:rPr>
          <w:sz w:val="24"/>
        </w:rPr>
        <w:t>（</w:t>
      </w:r>
      <w:r>
        <w:rPr>
          <w:sz w:val="24"/>
        </w:rPr>
        <w:t>1）信息系统运行维护服务，包括但不限于日常维护服务、巡检服务、故障处理服务、操作指导服务、突发应急处理服务、技术咨询服务、报告服务、数据库运维及优化服务等。</w:t>
      </w:r>
    </w:p>
    <w:tbl>
      <w:tblPr>
        <w:tblW w:w="0" w:type="auto"/>
        <w:tblInd w:type="dxa" w:w="285"/>
        <w:tblBorders>
          <w:top w:val="none" w:color="000000" w:sz="4"/>
          <w:left w:val="none" w:color="000000" w:sz="4"/>
          <w:bottom w:val="none" w:color="000000" w:sz="4"/>
          <w:right w:val="none" w:color="000000" w:sz="4"/>
          <w:insideH w:val="none"/>
          <w:insideV w:val="none"/>
        </w:tblBorders>
      </w:tblPr>
      <w:tblGrid>
        <w:gridCol w:w="705"/>
        <w:gridCol w:w="1125"/>
        <w:gridCol w:w="1275"/>
        <w:gridCol w:w="4815"/>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名称</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运维内容</w:t>
            </w:r>
          </w:p>
        </w:tc>
        <w:tc>
          <w:tcPr>
            <w:tcW w:type="dxa" w:w="48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服务内容</w:t>
            </w:r>
          </w:p>
        </w:tc>
      </w:tr>
      <w:tr>
        <w:tc>
          <w:tcPr>
            <w:tcW w:type="dxa" w:w="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1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信息系统运维服务</w:t>
            </w:r>
          </w:p>
        </w:tc>
        <w:tc>
          <w:tcPr>
            <w:tcW w:type="dxa" w:w="1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日常运维</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系统应用功能的日常维护。</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系统参数及权限的配置及修改。</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系统与数据问题的排查及修正。</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数据报表等业务需求分析及处理。</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定期巡检</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软件配置及存储空间的定期巡检。</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系统运行环境的定期评估。</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使用状况的现场访谈。</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故障处理</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软件缺陷维护升级。</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软件故障诊断及维护。</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vMerge/>
            <w:tcBorders>
              <w:top w:val="none" w:color="000000" w:sz="4"/>
              <w:left w:val="none" w:color="000000" w:sz="4"/>
              <w:bottom w:val="single" w:color="000000" w:sz="4"/>
              <w:right w:val="single" w:color="000000" w:sz="4"/>
            </w:tcBorders>
          </w:tcP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软件运行性能提升。</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操作指导</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为各类系统提供不同类型的操作指导服务，包括但不限于：软件系统使用操作指导等基础的操作指导咨询服务活动（投标文件提供</w:t>
            </w:r>
            <w:r>
              <w:rPr>
                <w:sz w:val="24"/>
              </w:rPr>
              <w:t>信息管理系统</w:t>
            </w:r>
            <w:r>
              <w:rPr>
                <w:sz w:val="24"/>
                <w:color w:val="000000"/>
              </w:rPr>
              <w:t>相关证明材料）。</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突发应急处理</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针对系统各类突发事件，设计相应的预防与解决措施，同时提供完整的应急处理流程。</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技术咨询服务</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为甲方提供各类管理咨询、技术咨询、运维咨询等全方位</w:t>
            </w:r>
            <w:r>
              <w:rPr>
                <w:sz w:val="24"/>
                <w:color w:val="000000"/>
              </w:rPr>
              <w:t>“贴身”咨询服务。</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报告服务</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包括故障报告、巡检报告、维护</w:t>
            </w:r>
            <w:r>
              <w:rPr>
                <w:sz w:val="24"/>
                <w:color w:val="000000"/>
              </w:rPr>
              <w:t>/故障恢复计划及相关报告、突发应急事件处理报告等。</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接口对接服务</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对上级主管部门发布的政策性接口、医院业务发展需求接口及医院仪器设备与医院现有系统实现对接，费用包含在投标总价内。</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color w:val="000000"/>
              </w:rPr>
              <w:t>政策性功能优化服务</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按需提供政策性接口优化管理服务，满足相关业务系统数据上传下达要求。</w:t>
            </w:r>
          </w:p>
        </w:tc>
      </w:tr>
      <w:tr>
        <w:tc>
          <w:tcPr>
            <w:tcW w:type="dxa" w:w="7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112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数据库运维及优化</w:t>
            </w:r>
          </w:p>
        </w:tc>
        <w:tc>
          <w:tcPr>
            <w:tcW w:type="dxa" w:w="1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数据库日常维护</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检查数据库服务器是否可用，检查磁盘空间</w:t>
            </w:r>
            <w:r>
              <w:rPr>
                <w:sz w:val="24"/>
                <w:color w:val="000000"/>
              </w:rPr>
              <w:t>/表空间，检查RAC运行状态，数据库异常或故障处理等（投标文件提供基于大数据的智能安防报警方法相关证明材料）。</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数据库检查</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提供数据中心环境定期检查管理，包括主数据库系统、灾备管理系统（投标文件提供医疗机构数据监管相关证明材料）。</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日志审查</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提供对数据中心数据库日志审查服务，对数据中心的日常运营提供环境预警管理（投标文件提供数据库行为监控相关证明材料）。</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数据库优化</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提供数据库管理优化，提高系统整体运行效率。</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备份管理</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提供备份管理检查，根据备份方案定期检查实现情况，并对存在问题进行分析、排除（投标文件提供基于大数据的快速重复数据删除方法相关证明材料）。</w:t>
            </w:r>
          </w:p>
        </w:tc>
      </w:tr>
      <w:tr>
        <w:tc>
          <w:tcPr>
            <w:tcW w:type="dxa" w:w="705"/>
            <w:vMerge/>
            <w:tcBorders>
              <w:top w:val="none" w:color="000000" w:sz="4"/>
              <w:left w:val="single" w:color="000000" w:sz="4"/>
              <w:bottom w:val="single" w:color="000000" w:sz="4"/>
              <w:right w:val="single" w:color="000000" w:sz="4"/>
            </w:tcBorders>
          </w:tcPr>
          <w:p/>
        </w:tc>
        <w:tc>
          <w:tcPr>
            <w:tcW w:type="dxa" w:w="1125"/>
            <w:vMerge/>
            <w:tcBorders>
              <w:top w:val="none" w:color="000000" w:sz="4"/>
              <w:left w:val="none" w:color="000000" w:sz="4"/>
              <w:bottom w:val="single" w:color="000000" w:sz="4"/>
              <w:right w:val="single" w:color="000000" w:sz="4"/>
            </w:tcBorders>
          </w:tcPr>
          <w:p/>
        </w:tc>
        <w:tc>
          <w:tcPr>
            <w:tcW w:type="dxa" w:w="1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培训服务</w:t>
            </w:r>
          </w:p>
        </w:tc>
        <w:tc>
          <w:tcPr>
            <w:tcW w:type="dxa" w:w="48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提供数据中心管理、数据库知识等专业知识培训服务。</w:t>
            </w:r>
          </w:p>
        </w:tc>
      </w:tr>
    </w:tbl>
    <w:p>
      <w:pPr>
        <w:pStyle w:val="null3"/>
        <w:ind w:firstLine="480"/>
        <w:jc w:val="both"/>
      </w:pPr>
      <w:r>
        <w:rPr>
          <w:sz w:val="24"/>
        </w:rPr>
        <w:t>（</w:t>
      </w:r>
      <w:r>
        <w:rPr>
          <w:sz w:val="24"/>
        </w:rPr>
        <w:t>2）硬件设备运行维护服务，包括但不限于医院机房设备巡检服务工作，以及服务器、存储设备和光纤交换机、安全设备巡检服务，及时掌握网络、物理主机资源现状和配置信息，及时反映硬件资源的可用性情况和健康状况，从而保证硬件设备的可靠、高效、持续、安全运行，并提供日常巡检记录。</w:t>
      </w:r>
    </w:p>
    <w:tbl>
      <w:tblPr>
        <w:tblW w:w="0" w:type="auto"/>
        <w:tblBorders>
          <w:top w:val="none" w:color="000000" w:sz="4"/>
          <w:left w:val="none" w:color="000000" w:sz="4"/>
          <w:bottom w:val="none" w:color="000000" w:sz="4"/>
          <w:right w:val="none" w:color="000000" w:sz="4"/>
          <w:insideH w:val="none"/>
          <w:insideV w:val="none"/>
        </w:tblBorders>
      </w:tblPr>
      <w:tblGrid>
        <w:gridCol w:w="750"/>
        <w:gridCol w:w="2070"/>
        <w:gridCol w:w="5385"/>
      </w:tblGrid>
      <w:tr>
        <w:tc>
          <w:tcPr>
            <w:tcW w:type="dxa" w:w="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名称</w:t>
            </w:r>
          </w:p>
        </w:tc>
        <w:tc>
          <w:tcPr>
            <w:tcW w:type="dxa" w:w="5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服务内容</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信息资产统计服务</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硬件设备型号、数量、版本等信息统计记录，网络结构、网络路由、网络</w:t>
            </w:r>
            <w:r>
              <w:rPr>
                <w:sz w:val="24"/>
                <w:color w:val="000000"/>
              </w:rPr>
              <w:t>IP地址统计记录等管理服务（投标文件提供设备管理相关证明材料）。</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2</w:t>
            </w:r>
          </w:p>
        </w:tc>
        <w:tc>
          <w:tcPr>
            <w:tcW w:type="dxa" w:w="2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设备运维服务</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设备日常巡检：</w:t>
            </w:r>
            <w:r>
              <w:rPr>
                <w:sz w:val="24"/>
                <w:color w:val="000000"/>
              </w:rPr>
              <w:t>VMWARE平台、RAC运行、数据泵备份、虚拟机硬盘、存储设备、光交换机、数据库异地备服务器等状态检查（投标文件提供设备动态监测相关证明材料）。</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3</w:t>
            </w:r>
          </w:p>
        </w:tc>
        <w:tc>
          <w:tcPr>
            <w:tcW w:type="dxa" w:w="2070"/>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数据中心环境巡检：机房环境日常监控及巡检、故障排查。</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4</w:t>
            </w:r>
          </w:p>
        </w:tc>
        <w:tc>
          <w:tcPr>
            <w:tcW w:type="dxa" w:w="2070"/>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日志清理：各种表空间、系统日志清理。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5</w:t>
            </w:r>
          </w:p>
        </w:tc>
        <w:tc>
          <w:tcPr>
            <w:tcW w:type="dxa" w:w="2070"/>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存储空间扩容：计算机、服务器、存储设备等存储空间扩容。</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6</w:t>
            </w:r>
          </w:p>
        </w:tc>
        <w:tc>
          <w:tcPr>
            <w:tcW w:type="dxa" w:w="20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网络及安全运维服务</w:t>
            </w: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日常网络运行状态检查。</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7</w:t>
            </w:r>
          </w:p>
        </w:tc>
        <w:tc>
          <w:tcPr>
            <w:tcW w:type="dxa" w:w="2070"/>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院内网络故障排查及处理。</w:t>
            </w:r>
          </w:p>
        </w:tc>
      </w:tr>
      <w:tr>
        <w:tc>
          <w:tcPr>
            <w:tcW w:type="dxa" w:w="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color w:val="000000"/>
              </w:rPr>
              <w:t>8</w:t>
            </w:r>
          </w:p>
        </w:tc>
        <w:tc>
          <w:tcPr>
            <w:tcW w:type="dxa" w:w="2070"/>
            <w:vMerge/>
            <w:tcBorders>
              <w:top w:val="none" w:color="000000" w:sz="4"/>
              <w:left w:val="none" w:color="000000" w:sz="4"/>
              <w:bottom w:val="single" w:color="000000" w:sz="4"/>
              <w:right w:val="single" w:color="000000" w:sz="4"/>
            </w:tcBorders>
          </w:tcPr>
          <w:p/>
        </w:tc>
        <w:tc>
          <w:tcPr>
            <w:tcW w:type="dxa" w:w="5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color w:val="000000"/>
              </w:rPr>
              <w:t>网络安全巡检、漏洞扫描、网络攻击处理等安全运维服务（投标文件提供安全运维相关证明材料）。</w:t>
            </w:r>
          </w:p>
        </w:tc>
      </w:tr>
    </w:tbl>
    <w:p>
      <w:pPr>
        <w:pStyle w:val="null3"/>
        <w:ind w:firstLine="480"/>
        <w:jc w:val="both"/>
      </w:pPr>
      <w:r>
        <w:rPr>
          <w:sz w:val="24"/>
        </w:rPr>
        <w:t>（</w:t>
      </w:r>
      <w:r>
        <w:rPr>
          <w:sz w:val="24"/>
        </w:rPr>
        <w:t>3）安全加固服务</w:t>
      </w:r>
    </w:p>
    <w:p>
      <w:pPr>
        <w:pStyle w:val="null3"/>
        <w:ind w:firstLine="480"/>
        <w:jc w:val="both"/>
      </w:pPr>
      <w:r>
        <w:rPr>
          <w:sz w:val="24"/>
        </w:rPr>
        <w:t>对项目范围内的软件系统、服务器操作系统、数据库、应用中间件、网络设备、安全设备的脆弱性进行分析并修补，使之能够满足三级等保要求（投标文件提供安全加固相关证明材料）。</w:t>
      </w:r>
    </w:p>
    <w:p>
      <w:pPr>
        <w:pStyle w:val="null3"/>
        <w:spacing w:before="315" w:after="315"/>
        <w:outlineLvl w:val="2"/>
      </w:pPr>
      <w:r>
        <w:rPr>
          <w:sz w:val="24"/>
          <w:b/>
        </w:rPr>
        <w:t>2.硬件运维设备清单</w:t>
      </w:r>
    </w:p>
    <w:tbl>
      <w:tblPr>
        <w:tblW w:w="0" w:type="auto"/>
        <w:tblBorders>
          <w:top w:val="none" w:color="000000" w:sz="4"/>
          <w:left w:val="none" w:color="000000" w:sz="4"/>
          <w:bottom w:val="none" w:color="000000" w:sz="4"/>
          <w:right w:val="none" w:color="000000" w:sz="4"/>
          <w:insideH w:val="none"/>
          <w:insideV w:val="none"/>
        </w:tblBorders>
      </w:tblPr>
      <w:tblGrid>
        <w:gridCol w:w="699"/>
        <w:gridCol w:w="2986"/>
        <w:gridCol w:w="2555"/>
        <w:gridCol w:w="994"/>
        <w:gridCol w:w="992"/>
      </w:tblGrid>
      <w:tr>
        <w:tc>
          <w:tcPr>
            <w:tcW w:type="dxa" w:w="69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编号</w:t>
            </w:r>
          </w:p>
        </w:tc>
        <w:tc>
          <w:tcPr>
            <w:tcW w:type="dxa" w:w="298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名称</w:t>
            </w:r>
          </w:p>
        </w:tc>
        <w:tc>
          <w:tcPr>
            <w:tcW w:type="dxa" w:w="255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型号</w:t>
            </w:r>
          </w:p>
        </w:tc>
        <w:tc>
          <w:tcPr>
            <w:tcW w:type="dxa" w:w="99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单位</w:t>
            </w:r>
          </w:p>
        </w:tc>
        <w:tc>
          <w:tcPr>
            <w:tcW w:type="dxa" w:w="99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rPr>
              <w:t>数量</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服务器</w:t>
            </w:r>
            <w:r>
              <w:rPr>
                <w:sz w:val="24"/>
              </w:rPr>
              <w:t>esxi238</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服务器</w:t>
            </w:r>
            <w:r>
              <w:rPr>
                <w:sz w:val="24"/>
              </w:rPr>
              <w:t>esxi237</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服务器</w:t>
            </w:r>
            <w:r>
              <w:rPr>
                <w:sz w:val="24"/>
              </w:rPr>
              <w:t>esxi249</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服务器</w:t>
            </w:r>
            <w:r>
              <w:rPr>
                <w:sz w:val="24"/>
              </w:rPr>
              <w:t>esxi248</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服务器</w:t>
            </w:r>
            <w:r>
              <w:rPr>
                <w:sz w:val="24"/>
              </w:rPr>
              <w:t>esxi252</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服务器</w:t>
            </w:r>
            <w:r>
              <w:rPr>
                <w:sz w:val="24"/>
              </w:rPr>
              <w:t>esxi229</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7</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服务器</w:t>
            </w:r>
            <w:r>
              <w:rPr>
                <w:sz w:val="24"/>
              </w:rPr>
              <w:t>esxi254</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8</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服务器</w:t>
            </w:r>
            <w:r>
              <w:rPr>
                <w:sz w:val="24"/>
              </w:rPr>
              <w:t>esxi250</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9</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服务器</w:t>
            </w:r>
            <w:r>
              <w:rPr>
                <w:sz w:val="24"/>
              </w:rPr>
              <w:t>esxi251</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10</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服务器</w:t>
            </w:r>
            <w:r>
              <w:rPr>
                <w:sz w:val="24"/>
              </w:rPr>
              <w:t>esxi253</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730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11</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备份一体机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DL4000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12</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oracle服务器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920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13</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oracle服务器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920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14</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oracle备份服务器2</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920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15</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oracle备份服务器1</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Dell 920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16</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华为存储</w:t>
            </w:r>
            <w:r>
              <w:rPr>
                <w:sz w:val="24"/>
              </w:rPr>
              <w:t>sotrage</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ocean storage 5110V5</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17</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存储</w:t>
            </w:r>
            <w:r>
              <w:rPr>
                <w:sz w:val="24"/>
              </w:rPr>
              <w:t>Storage01</w:t>
            </w:r>
            <w:r>
              <w:br/>
            </w:r>
            <w:r>
              <w:rPr>
                <w:sz w:val="24"/>
              </w:rPr>
              <w:t>（</w:t>
            </w:r>
            <w:r>
              <w:rPr>
                <w:sz w:val="24"/>
              </w:rPr>
              <w:t>dell_3820f）</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MD3820F</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18</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扩展柜</w:t>
            </w:r>
            <w:r>
              <w:rPr>
                <w:sz w:val="24"/>
              </w:rPr>
              <w:t>1（接104存储）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DM1200F</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19</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存储</w:t>
            </w:r>
            <w:r>
              <w:rPr>
                <w:sz w:val="24"/>
              </w:rPr>
              <w:t>Storage02</w:t>
            </w:r>
            <w:r>
              <w:br/>
            </w:r>
            <w:r>
              <w:rPr>
                <w:sz w:val="24"/>
              </w:rPr>
              <w:t>(storage_bak)</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MD3820F</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20</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扩展柜</w:t>
            </w:r>
            <w:r>
              <w:rPr>
                <w:sz w:val="24"/>
              </w:rPr>
              <w:t>2（接101存储）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DM1200F</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21</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光交</w:t>
            </w:r>
            <w:r>
              <w:rPr>
                <w:sz w:val="24"/>
              </w:rPr>
              <w:t>001</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博科</w:t>
            </w:r>
            <w:r>
              <w:rPr>
                <w:sz w:val="24"/>
              </w:rPr>
              <w:t>BR-360-0008</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22</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光交</w:t>
            </w:r>
            <w:r>
              <w:rPr>
                <w:sz w:val="24"/>
              </w:rPr>
              <w:t>002</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rPr>
              <w:t>博科</w:t>
            </w:r>
            <w:r>
              <w:rPr>
                <w:sz w:val="24"/>
              </w:rPr>
              <w:t>BR-360-0008</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23</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医疗网防火墙</w:t>
            </w:r>
            <w:r>
              <w:rPr>
                <w:sz w:val="24"/>
              </w:rPr>
              <w:t>01</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启明</w:t>
            </w:r>
            <w:r>
              <w:rPr>
                <w:sz w:val="24"/>
              </w:rPr>
              <w:t>USG-FW-4000-T-NF3220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24</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医疗网防火墙</w:t>
            </w:r>
            <w:r>
              <w:rPr>
                <w:sz w:val="24"/>
              </w:rPr>
              <w:t>02</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启明</w:t>
            </w:r>
            <w:r>
              <w:rPr>
                <w:sz w:val="24"/>
              </w:rPr>
              <w:t>USG-FW-4000-T-NF3220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25</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入侵防御系统</w:t>
            </w:r>
            <w:r>
              <w:rPr>
                <w:sz w:val="24"/>
              </w:rPr>
              <w:t>01</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NGIPS5000-C-S</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26</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入侵防御系统</w:t>
            </w:r>
            <w:r>
              <w:rPr>
                <w:sz w:val="24"/>
              </w:rPr>
              <w:t>02</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NGIPS5000-C-S</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27</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数据库审计系统</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DA-1500-UR</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28</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终端准入系统（内网）</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NAC6000-2200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29</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运维审计系统（堡垒机）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OSM-4600-S</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30</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漏洞扫描系统</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TJCS-NS-E1010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31</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流量态势感知系统</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TAR-AIO-3</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32</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备份一体机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浪潮</w:t>
            </w:r>
            <w:r>
              <w:rPr>
                <w:sz w:val="24"/>
              </w:rPr>
              <w:t>DP1000G5</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33</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互联网防火墙</w:t>
            </w:r>
            <w:r>
              <w:rPr>
                <w:sz w:val="24"/>
              </w:rPr>
              <w:t>01</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USG-FW-310-T-NF1800R</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34</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互联网防火墙</w:t>
            </w:r>
            <w:r>
              <w:rPr>
                <w:sz w:val="24"/>
              </w:rPr>
              <w:t>02</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USG-FW-310-T-NF1800R</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35</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WEB应用防护系统</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WAF6000-C-T</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36</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终端准入系统（外网）</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NAC6000-1100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37</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日志审计系统</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TSOC-SA</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38</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数据脱敏软件</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MaskServer服务器</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套</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39</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网阐</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天融信</w:t>
            </w:r>
            <w:r>
              <w:rPr>
                <w:sz w:val="24"/>
              </w:rPr>
              <w:t>toprules TR-72104</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40</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蓝盾入侵检测</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DF_BDPS-M2000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41</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深信服上网行为管理</w:t>
            </w:r>
            <w:r>
              <w:rPr>
                <w:sz w:val="24"/>
                <w:color w:val="000000"/>
              </w:rPr>
              <w:t>1台</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AC-1000-C600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42</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蓝盾安全硬件防火墙</w:t>
            </w:r>
            <w:r>
              <w:rPr>
                <w:sz w:val="24"/>
                <w:color w:val="000000"/>
              </w:rPr>
              <w:t>1台</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BDFW-M4000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43</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核心交换机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华为</w:t>
            </w:r>
            <w:r>
              <w:rPr>
                <w:sz w:val="24"/>
                <w:color w:val="000000"/>
              </w:rPr>
              <w:t>S9306</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44</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汇聚交换机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华为</w:t>
            </w:r>
            <w:r>
              <w:rPr>
                <w:sz w:val="24"/>
                <w:color w:val="000000"/>
              </w:rPr>
              <w:t>S6700系列</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45</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接入交换机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华为</w:t>
            </w:r>
            <w:r>
              <w:rPr>
                <w:sz w:val="24"/>
                <w:color w:val="000000"/>
              </w:rPr>
              <w:t>s5700系列</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47</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46</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接入交换机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华为</w:t>
            </w:r>
            <w:r>
              <w:rPr>
                <w:sz w:val="24"/>
                <w:color w:val="000000"/>
              </w:rPr>
              <w:t>s1700系列</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7</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47</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全光网络多业务网关</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ZH-H500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48</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全光网络核心交换机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S5500V3-24P-SI</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49</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全光网络</w:t>
            </w:r>
            <w:r>
              <w:rPr>
                <w:sz w:val="24"/>
                <w:color w:val="000000"/>
              </w:rPr>
              <w:t>OLT</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ZH-8GS</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1</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50</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以太网交换机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华为</w:t>
            </w:r>
            <w:r>
              <w:rPr>
                <w:sz w:val="24"/>
                <w:color w:val="000000"/>
              </w:rPr>
              <w:t>SNS2624光纤交换机（32Gb 24端口）</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51</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路由器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华为</w:t>
            </w:r>
            <w:r>
              <w:rPr>
                <w:sz w:val="24"/>
                <w:color w:val="000000"/>
              </w:rPr>
              <w:t>AR2200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52</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超聚变服务器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超聚变</w:t>
            </w:r>
            <w:r>
              <w:rPr>
                <w:sz w:val="24"/>
              </w:rPr>
              <w:t>2288HV6</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6</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53</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华为全闪存储</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全闪存储</w:t>
            </w:r>
            <w:r>
              <w:rPr>
                <w:sz w:val="24"/>
              </w:rPr>
              <w:t>dorado 2000</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2</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54</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光纤交换机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华为</w:t>
            </w:r>
            <w:r>
              <w:rPr>
                <w:sz w:val="24"/>
              </w:rPr>
              <w:t>SNS2624</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4</w:t>
            </w:r>
          </w:p>
        </w:tc>
      </w:tr>
      <w:tr>
        <w:tc>
          <w:tcPr>
            <w:tcW w:type="dxa" w:w="69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55</w:t>
            </w:r>
          </w:p>
        </w:tc>
        <w:tc>
          <w:tcPr>
            <w:tcW w:type="dxa" w:w="298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交换机</w:t>
            </w:r>
          </w:p>
        </w:tc>
        <w:tc>
          <w:tcPr>
            <w:tcW w:type="dxa" w:w="255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S6730系列</w:t>
            </w:r>
          </w:p>
        </w:tc>
        <w:tc>
          <w:tcPr>
            <w:tcW w:type="dxa" w:w="99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rPr>
              <w:t>台</w:t>
            </w:r>
          </w:p>
        </w:tc>
        <w:tc>
          <w:tcPr>
            <w:tcW w:type="dxa" w:w="99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w:t>
            </w:r>
          </w:p>
        </w:tc>
      </w:tr>
    </w:tbl>
    <w:p>
      <w:pPr>
        <w:pStyle w:val="null3"/>
        <w:ind w:firstLine="480"/>
        <w:jc w:val="both"/>
        <w:outlineLvl w:val="2"/>
      </w:pPr>
      <w:r>
        <w:rPr>
          <w:sz w:val="24"/>
          <w:b/>
        </w:rPr>
        <w:t>3.软件系统运维清单</w:t>
      </w:r>
    </w:p>
    <w:p>
      <w:pPr>
        <w:pStyle w:val="null3"/>
        <w:ind w:firstLine="480"/>
        <w:jc w:val="both"/>
      </w:pPr>
      <w:r>
        <w:rPr>
          <w:sz w:val="24"/>
        </w:rPr>
        <w:t>软件系统运维涉及的系统清单如下表：</w:t>
      </w:r>
    </w:p>
    <w:tbl>
      <w:tblPr>
        <w:tblW w:w="0" w:type="auto"/>
        <w:tblBorders>
          <w:top w:val="none" w:color="000000" w:sz="4"/>
          <w:left w:val="none" w:color="000000" w:sz="4"/>
          <w:bottom w:val="none" w:color="000000" w:sz="4"/>
          <w:right w:val="none" w:color="000000" w:sz="4"/>
          <w:insideH w:val="none"/>
          <w:insideV w:val="none"/>
        </w:tblBorders>
      </w:tblPr>
      <w:tblGrid>
        <w:gridCol w:w="1020"/>
        <w:gridCol w:w="2807"/>
        <w:gridCol w:w="4399"/>
      </w:tblGrid>
      <w:tr>
        <w:tc>
          <w:tcPr>
            <w:tcW w:type="dxa" w:w="1020"/>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序号</w:t>
            </w:r>
          </w:p>
        </w:tc>
        <w:tc>
          <w:tcPr>
            <w:tcW w:type="dxa" w:w="280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系统名称</w:t>
            </w:r>
          </w:p>
        </w:tc>
        <w:tc>
          <w:tcPr>
            <w:tcW w:type="dxa" w:w="439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b/>
                <w:color w:val="000000"/>
              </w:rPr>
              <w:t>系统模块</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w:t>
            </w:r>
          </w:p>
        </w:tc>
        <w:tc>
          <w:tcPr>
            <w:tcW w:type="dxa" w:w="280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门诊系统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医院一卡通系统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挂号系统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分诊系统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门（急）医生工作站系统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门（急）护士工作站系统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6</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门诊配发药系统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7</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门诊注射室系统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8</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门诊电子病历</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9</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体检系统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10</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预约系统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11</w:t>
            </w:r>
          </w:p>
        </w:tc>
        <w:tc>
          <w:tcPr>
            <w:tcW w:type="dxa" w:w="280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住院系统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住院病人入出转管理系统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12</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住院医生工作站</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13</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住院护士工作站</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14</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住院配发药系统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15</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临床路径系统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16</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住院电子病历系统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17</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手术麻醉管理系统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18</w:t>
            </w:r>
          </w:p>
        </w:tc>
        <w:tc>
          <w:tcPr>
            <w:tcW w:type="dxa" w:w="280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医技管理系统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临床检验系统（</w:t>
            </w:r>
            <w:r>
              <w:rPr>
                <w:sz w:val="24"/>
                <w:color w:val="000000"/>
              </w:rPr>
              <w:t>LIS）</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19</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医学影像系统（</w:t>
            </w:r>
            <w:r>
              <w:rPr>
                <w:sz w:val="24"/>
                <w:color w:val="000000"/>
              </w:rPr>
              <w:t>PACS）</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20</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医技分诊叫号系统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21</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血库管理系统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22</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医技预约系统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23</w:t>
            </w:r>
          </w:p>
        </w:tc>
        <w:tc>
          <w:tcPr>
            <w:tcW w:type="dxa" w:w="280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医疗管理信息系统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门诊收费系统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24</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住院收费系统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25</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医务管理系统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26</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传染病管理系统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27</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病案管理系统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28</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合理用药系统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29</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护理管理系统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30</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医疗质控系统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31</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手术麻醉信息管理系统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32</w:t>
            </w:r>
          </w:p>
        </w:tc>
        <w:tc>
          <w:tcPr>
            <w:tcW w:type="dxa" w:w="280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运营管理信息系统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药库管理系统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33</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门诊药房管理系统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34</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中心药房管理系统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35</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医院药品控制管理系统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36</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物资材料管理系统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37</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物价管理系统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38</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经济核算管理系统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39</w:t>
            </w:r>
          </w:p>
        </w:tc>
        <w:tc>
          <w:tcPr>
            <w:tcW w:type="dxa" w:w="280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决策支持系统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医疗统计系统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40</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综合查询与分析系统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41</w:t>
            </w:r>
          </w:p>
        </w:tc>
        <w:tc>
          <w:tcPr>
            <w:tcW w:type="dxa" w:w="280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信息接口系统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医保接口</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42</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微信公众号自助开单功能</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43</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急诊系统接口</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44</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公立绩效考核接口</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45</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医检费用管理系统接口</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46</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血液净化中心智能管理系统接口</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47</w:t>
            </w:r>
          </w:p>
        </w:tc>
        <w:tc>
          <w:tcPr>
            <w:tcW w:type="dxa" w:w="2807"/>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区域协同</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远程会诊</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48</w:t>
            </w:r>
          </w:p>
        </w:tc>
        <w:tc>
          <w:tcPr>
            <w:tcW w:type="dxa" w:w="2807"/>
            <w:vMerge/>
            <w:tcBorders>
              <w:top w:val="none" w:color="000000" w:sz="4"/>
              <w:left w:val="none" w:color="000000" w:sz="4"/>
              <w:bottom w:val="singl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双向转诊</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49</w:t>
            </w:r>
          </w:p>
        </w:tc>
        <w:tc>
          <w:tcPr>
            <w:tcW w:type="dxa" w:w="2807"/>
            <w:vMerge w:val="restart"/>
            <w:tcBorders>
              <w:top w:val="none" w:color="000000" w:sz="4"/>
              <w:left w:val="none" w:color="000000" w:sz="4"/>
              <w:bottom w:val="non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各业务小系统</w:t>
            </w: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不良事件管理系统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50</w:t>
            </w:r>
          </w:p>
        </w:tc>
        <w:tc>
          <w:tcPr>
            <w:tcW w:type="dxa" w:w="2807"/>
            <w:vMerge/>
            <w:tcBorders>
              <w:top w:val="none" w:color="000000" w:sz="4"/>
              <w:left w:val="none" w:color="000000" w:sz="4"/>
              <w:bottom w:val="non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血液透析质量管理系统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51</w:t>
            </w:r>
          </w:p>
        </w:tc>
        <w:tc>
          <w:tcPr>
            <w:tcW w:type="dxa" w:w="2807"/>
            <w:vMerge/>
            <w:tcBorders>
              <w:top w:val="none" w:color="000000" w:sz="4"/>
              <w:left w:val="none" w:color="000000" w:sz="4"/>
              <w:bottom w:val="non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急诊信息管理系统</w:t>
            </w:r>
          </w:p>
        </w:tc>
      </w:tr>
      <w:tr>
        <w:tc>
          <w:tcPr>
            <w:tcW w:type="dxa" w:w="1020"/>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4"/>
                <w:color w:val="000000"/>
              </w:rPr>
              <w:t>52</w:t>
            </w:r>
          </w:p>
        </w:tc>
        <w:tc>
          <w:tcPr>
            <w:tcW w:type="dxa" w:w="2807"/>
            <w:vMerge/>
            <w:tcBorders>
              <w:top w:val="none" w:color="000000" w:sz="4"/>
              <w:left w:val="none" w:color="000000" w:sz="4"/>
              <w:bottom w:val="none" w:color="000000" w:sz="4"/>
              <w:right w:val="single" w:color="000000" w:sz="4"/>
            </w:tcBorders>
          </w:tcPr>
          <w:p/>
        </w:tc>
        <w:tc>
          <w:tcPr>
            <w:tcW w:type="dxa" w:w="439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sz w:val="24"/>
                <w:color w:val="000000"/>
              </w:rPr>
              <w:t>公立医院绩效考核系统</w:t>
            </w:r>
          </w:p>
        </w:tc>
      </w:tr>
    </w:tbl>
    <w:p>
      <w:pPr>
        <w:pStyle w:val="null3"/>
        <w:ind w:firstLine="555"/>
        <w:jc w:val="both"/>
      </w:pPr>
      <w:r>
        <w:rPr>
          <w:sz w:val="24"/>
          <w:b/>
        </w:rPr>
        <w:t>三、服务要求</w:t>
      </w:r>
    </w:p>
    <w:p>
      <w:pPr>
        <w:pStyle w:val="null3"/>
        <w:spacing w:before="315" w:after="315"/>
        <w:outlineLvl w:val="2"/>
      </w:pPr>
      <w:r>
        <w:rPr>
          <w:sz w:val="24"/>
          <w:b/>
        </w:rPr>
        <w:t>1.运维服务要求</w:t>
      </w:r>
    </w:p>
    <w:p>
      <w:pPr>
        <w:pStyle w:val="null3"/>
        <w:spacing w:before="315" w:after="315"/>
        <w:outlineLvl w:val="3"/>
      </w:pPr>
      <w:r>
        <w:rPr>
          <w:sz w:val="24"/>
          <w:b/>
        </w:rPr>
        <w:t>1）服务范围</w:t>
      </w:r>
    </w:p>
    <w:p>
      <w:pPr>
        <w:pStyle w:val="null3"/>
        <w:ind w:firstLine="480"/>
        <w:jc w:val="both"/>
      </w:pPr>
      <w:r>
        <w:rPr>
          <w:sz w:val="24"/>
        </w:rPr>
        <w:t>运维服务范围包括：日常巡检和维护、业务咨询、操作指导、故障问题处理、月度巡检、建议及技术咨询等。</w:t>
      </w:r>
    </w:p>
    <w:p>
      <w:pPr>
        <w:pStyle w:val="null3"/>
        <w:spacing w:before="315" w:after="315"/>
        <w:outlineLvl w:val="3"/>
      </w:pPr>
      <w:r>
        <w:rPr>
          <w:sz w:val="24"/>
          <w:b/>
        </w:rPr>
        <w:t>2）服务响应</w:t>
      </w:r>
    </w:p>
    <w:p>
      <w:pPr>
        <w:pStyle w:val="null3"/>
        <w:ind w:firstLine="480"/>
        <w:jc w:val="both"/>
      </w:pPr>
      <w:r>
        <w:rPr>
          <w:sz w:val="24"/>
        </w:rPr>
        <w:t>（</w:t>
      </w:r>
      <w:r>
        <w:rPr>
          <w:sz w:val="24"/>
        </w:rPr>
        <w:t>1）乙方须派驻不少于2名专业人员常驻甲方现场。在5*8小时工作时间内处理甲方内部的服务请求，并记录事件处理结果。正常工作时间外，有专人职守的热线电话，接听、处理甲方的服务请求。</w:t>
      </w:r>
    </w:p>
    <w:p>
      <w:pPr>
        <w:pStyle w:val="null3"/>
        <w:ind w:firstLine="480"/>
        <w:jc w:val="both"/>
      </w:pPr>
      <w:r>
        <w:rPr>
          <w:sz w:val="24"/>
        </w:rPr>
        <w:t>（</w:t>
      </w:r>
      <w:r>
        <w:rPr>
          <w:sz w:val="24"/>
        </w:rPr>
        <w:t>2）系统故障的响应时间：</w:t>
      </w:r>
    </w:p>
    <w:tbl>
      <w:tblPr>
        <w:tblW w:w="0" w:type="auto"/>
        <w:tblBorders>
          <w:top w:val="none" w:color="000000" w:sz="4"/>
          <w:left w:val="none" w:color="000000" w:sz="4"/>
          <w:bottom w:val="none" w:color="000000" w:sz="4"/>
          <w:right w:val="none" w:color="000000" w:sz="4"/>
          <w:insideH w:val="none"/>
          <w:insideV w:val="none"/>
        </w:tblBorders>
      </w:tblPr>
      <w:tblGrid>
        <w:gridCol w:w="3970"/>
        <w:gridCol w:w="2681"/>
        <w:gridCol w:w="1655"/>
      </w:tblGrid>
      <w:tr>
        <w:tc>
          <w:tcPr>
            <w:tcW w:type="dxa" w:w="39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故障级别</w:t>
            </w:r>
          </w:p>
        </w:tc>
        <w:tc>
          <w:tcPr>
            <w:tcW w:type="dxa" w:w="2681"/>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响应时间</w:t>
            </w:r>
          </w:p>
        </w:tc>
        <w:tc>
          <w:tcPr>
            <w:tcW w:type="dxa" w:w="1655"/>
            <w:tcBorders>
              <w:top w:val="singl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sz w:val="24"/>
              </w:rPr>
              <w:t>故障解决时间</w:t>
            </w:r>
          </w:p>
        </w:tc>
      </w:tr>
      <w:tr>
        <w:tc>
          <w:tcPr>
            <w:tcW w:type="dxa" w:w="3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I 级： 属于紧急问题；其具体现象为：系统崩溃导致业务停止、数据丢失。</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7×24小时应急响应，远程15分钟响应，现场30 分钟响应，1小时内提交故障处理方案</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2小时以内</w:t>
            </w:r>
          </w:p>
        </w:tc>
      </w:tr>
      <w:tr>
        <w:tc>
          <w:tcPr>
            <w:tcW w:type="dxa" w:w="3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II 级：属于严重问题；其具体现象为：出现部分部件失效、系统性能下降但能正常运行，不影响正常业务运作。</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7×24小时应急响应，远程15分钟响应，现场30 分钟响应，1小时内提交故障处理方案</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4小时以内</w:t>
            </w:r>
          </w:p>
        </w:tc>
      </w:tr>
      <w:tr>
        <w:tc>
          <w:tcPr>
            <w:tcW w:type="dxa" w:w="3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III 级：属于较严重问题；其具体现象为：出现系统报错或警告，但业务系统能继续运行且性能不受影响。</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7×8小时服务响应，远程15分钟响应，现场60 分钟响应，1小时内提交故障处理方案</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8小时以内</w:t>
            </w:r>
          </w:p>
        </w:tc>
      </w:tr>
      <w:tr>
        <w:tc>
          <w:tcPr>
            <w:tcW w:type="dxa" w:w="39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IV 级： 属于普通问题；其具体现象为：系统技术功能、安装或配置咨询，或其他不影响业务系统正常运行的问题。</w:t>
            </w:r>
          </w:p>
        </w:tc>
        <w:tc>
          <w:tcPr>
            <w:tcW w:type="dxa" w:w="2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7×8小时服务响应，远程15分钟响应，现场60 分钟响应，1小时内提交故障处理方案</w:t>
            </w:r>
          </w:p>
        </w:tc>
        <w:tc>
          <w:tcPr>
            <w:tcW w:type="dxa" w:w="16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12小时以内</w:t>
            </w:r>
          </w:p>
        </w:tc>
      </w:tr>
    </w:tbl>
    <w:p>
      <w:pPr>
        <w:pStyle w:val="null3"/>
        <w:ind w:firstLine="480"/>
        <w:jc w:val="both"/>
      </w:pPr>
      <w:r>
        <w:rPr>
          <w:sz w:val="24"/>
        </w:rPr>
        <w:t>（</w:t>
      </w:r>
      <w:r>
        <w:rPr>
          <w:sz w:val="24"/>
        </w:rPr>
        <w:t>3）乙方在解决故障时，应最大限度保护好数据，做好故障恢复的文档，力争恢复到故障点前的业务状态。对于较高级别的故障，如果不能于8小时内解决故障，需在12小时内提出应急方案，确保业务系统的运行。并于故障解决后24小时内，提交故障处理报告，说明故障种类、故障原因、故障解决中使用的方法及故障损失等情况。</w:t>
      </w:r>
    </w:p>
    <w:p>
      <w:pPr>
        <w:pStyle w:val="null3"/>
        <w:spacing w:before="315" w:after="315"/>
        <w:outlineLvl w:val="3"/>
      </w:pPr>
      <w:r>
        <w:rPr>
          <w:sz w:val="24"/>
          <w:b/>
        </w:rPr>
        <w:t>3）服务方式</w:t>
      </w:r>
    </w:p>
    <w:p>
      <w:pPr>
        <w:pStyle w:val="null3"/>
        <w:ind w:firstLine="480"/>
        <w:jc w:val="both"/>
      </w:pPr>
      <w:r>
        <w:rPr>
          <w:sz w:val="24"/>
        </w:rPr>
        <w:t>（</w:t>
      </w:r>
      <w:r>
        <w:rPr>
          <w:sz w:val="24"/>
        </w:rPr>
        <w:t>1）乙方应为甲方提供多种服务方式，包括但不限于远程支持、现场支持服务。在远程服务时能应提供线上专业服务工具和标准远程服务方法。乙方需具备线上专业服务工具提供快速响应、快速定位故障和诊断能力（</w:t>
      </w:r>
      <w:r>
        <w:rPr>
          <w:sz w:val="24"/>
          <w:color w:val="000000"/>
        </w:rPr>
        <w:t>投标文件</w:t>
      </w:r>
      <w:r>
        <w:rPr>
          <w:sz w:val="24"/>
        </w:rPr>
        <w:t>提供基于广域网实现的远程服务方法相关证明材料）</w:t>
      </w:r>
    </w:p>
    <w:p>
      <w:pPr>
        <w:pStyle w:val="null3"/>
        <w:ind w:firstLine="480"/>
        <w:jc w:val="both"/>
      </w:pPr>
      <w:r>
        <w:rPr>
          <w:sz w:val="24"/>
        </w:rPr>
        <w:t>（</w:t>
      </w:r>
      <w:r>
        <w:rPr>
          <w:sz w:val="24"/>
        </w:rPr>
        <w:t>2）针对系统运维服务需求，乙方需组建专门的服务队伍并以现场服务为主，同时也接收传真、邮件等其他方式的服务请求。运维工程师常驻现场，工作时间是7天×8小时；对于不得间断运行的各类信息系统的维护和管理工作，提供7天×24小时的移动电话值守技术服务支持。</w:t>
      </w:r>
    </w:p>
    <w:p>
      <w:pPr>
        <w:pStyle w:val="null3"/>
        <w:ind w:firstLine="480"/>
        <w:jc w:val="both"/>
      </w:pPr>
      <w:r>
        <w:rPr>
          <w:sz w:val="24"/>
        </w:rPr>
        <w:t>（</w:t>
      </w:r>
      <w:r>
        <w:rPr>
          <w:sz w:val="24"/>
        </w:rPr>
        <w:t>3）通过远程支持的方式利用远程工具，如QQ等，为甲方提供技术支持，远程对甲方问题进行检查、诊断和分析。</w:t>
      </w:r>
    </w:p>
    <w:p>
      <w:pPr>
        <w:pStyle w:val="null3"/>
        <w:spacing w:before="315" w:after="315"/>
        <w:outlineLvl w:val="2"/>
      </w:pPr>
      <w:r>
        <w:rPr>
          <w:sz w:val="24"/>
          <w:b/>
        </w:rPr>
        <w:t>2.运维管理要求</w:t>
      </w:r>
    </w:p>
    <w:p>
      <w:pPr>
        <w:pStyle w:val="null3"/>
        <w:spacing w:before="315" w:after="315"/>
        <w:outlineLvl w:val="3"/>
      </w:pPr>
      <w:r>
        <w:rPr>
          <w:sz w:val="24"/>
          <w:b/>
        </w:rPr>
        <w:t>1）服务响应要求</w:t>
      </w:r>
    </w:p>
    <w:p>
      <w:pPr>
        <w:pStyle w:val="null3"/>
        <w:ind w:firstLine="480"/>
        <w:jc w:val="both"/>
      </w:pPr>
      <w:r>
        <w:rPr>
          <w:sz w:val="24"/>
        </w:rPr>
        <w:t>甲方提出运维技术支持服务，乙方应按响应要求予以解答和处理，对于未及时解决的问题，应做好解释工作。</w:t>
      </w:r>
    </w:p>
    <w:p>
      <w:pPr>
        <w:pStyle w:val="null3"/>
        <w:ind w:firstLine="480"/>
        <w:jc w:val="both"/>
      </w:pPr>
      <w:r>
        <w:rPr>
          <w:sz w:val="24"/>
        </w:rPr>
        <w:t>乙方须承诺服务响应可通过现场、远程等方式提供（由此产生的一切费用均由乙方承担）。</w:t>
      </w:r>
    </w:p>
    <w:p>
      <w:pPr>
        <w:pStyle w:val="null3"/>
        <w:spacing w:before="315" w:after="315"/>
        <w:outlineLvl w:val="3"/>
      </w:pPr>
      <w:r>
        <w:rPr>
          <w:sz w:val="24"/>
          <w:b/>
        </w:rPr>
        <w:t>2）文档管理要求</w:t>
      </w:r>
    </w:p>
    <w:p>
      <w:pPr>
        <w:pStyle w:val="null3"/>
        <w:ind w:firstLine="480"/>
        <w:jc w:val="both"/>
      </w:pPr>
      <w:r>
        <w:rPr>
          <w:sz w:val="24"/>
        </w:rPr>
        <w:t>乙方须负责记录并定期整理归档运维服务有关的记录，相关要求如下：</w:t>
      </w:r>
    </w:p>
    <w:p>
      <w:pPr>
        <w:pStyle w:val="null3"/>
        <w:ind w:firstLine="480"/>
        <w:jc w:val="both"/>
      </w:pPr>
      <w:r>
        <w:rPr>
          <w:sz w:val="24"/>
        </w:rPr>
        <w:t>（</w:t>
      </w:r>
      <w:r>
        <w:rPr>
          <w:sz w:val="24"/>
        </w:rPr>
        <w:t>1）运维与运维记录同步进行，并按日常维护、巡检、备份等相关运维事件即时记录整理。</w:t>
      </w:r>
    </w:p>
    <w:p>
      <w:pPr>
        <w:pStyle w:val="null3"/>
        <w:ind w:firstLine="480"/>
        <w:jc w:val="both"/>
      </w:pPr>
      <w:r>
        <w:rPr>
          <w:sz w:val="24"/>
        </w:rPr>
        <w:t>（</w:t>
      </w:r>
      <w:r>
        <w:rPr>
          <w:sz w:val="24"/>
        </w:rPr>
        <w:t>2）定期提交维护报告至甲方,包含各类软件、系统等维护、检测、维修报告。作为有效的项目验收依据。</w:t>
      </w:r>
    </w:p>
    <w:p>
      <w:pPr>
        <w:pStyle w:val="null3"/>
        <w:ind w:firstLine="480"/>
        <w:jc w:val="both"/>
      </w:pPr>
      <w:r>
        <w:rPr>
          <w:sz w:val="24"/>
        </w:rPr>
        <w:t>（</w:t>
      </w:r>
      <w:r>
        <w:rPr>
          <w:sz w:val="24"/>
        </w:rPr>
        <w:t>3）乙方的运维人员不得泄露运维服务所产生的文档、资料等所有的运维记录, 涉及秘密的文档资料,乙方需采取适当有效的方式保护所获取的秘密。</w:t>
      </w:r>
    </w:p>
    <w:p>
      <w:pPr>
        <w:pStyle w:val="null3"/>
        <w:ind w:firstLine="480"/>
        <w:jc w:val="both"/>
      </w:pPr>
      <w:r>
        <w:rPr>
          <w:sz w:val="24"/>
        </w:rPr>
        <w:t>（</w:t>
      </w:r>
      <w:r>
        <w:rPr>
          <w:sz w:val="24"/>
        </w:rPr>
        <w:t>4）乙方应每季度提交巡检报告、更新说明文档、故障总结文档，每季度向甲方通报上季度的服务完成情况及存在的问题。</w:t>
      </w:r>
    </w:p>
    <w:p>
      <w:pPr>
        <w:pStyle w:val="null3"/>
        <w:spacing w:before="315" w:after="315"/>
        <w:outlineLvl w:val="3"/>
      </w:pPr>
      <w:r>
        <w:rPr>
          <w:sz w:val="24"/>
          <w:b/>
        </w:rPr>
        <w:t>3）维护团队管理要求</w:t>
      </w:r>
    </w:p>
    <w:p>
      <w:pPr>
        <w:pStyle w:val="null3"/>
        <w:ind w:firstLine="480"/>
        <w:jc w:val="both"/>
      </w:pPr>
      <w:r>
        <w:rPr>
          <w:sz w:val="24"/>
        </w:rPr>
        <w:t>（</w:t>
      </w:r>
      <w:r>
        <w:rPr>
          <w:sz w:val="24"/>
        </w:rPr>
        <w:t>1）乙方应甄选人品端正、作风正派、技术合格的人员承担本项目的建设、维护工作，并保持这些人员的相对稳定，签订合同时需同时提供有关服务人员的名单、相关证书、职责安排等资料。如果需要变更项目参加人员，需及时书面通知甲方，并提供变更人员名单附件。</w:t>
      </w:r>
    </w:p>
    <w:p>
      <w:pPr>
        <w:pStyle w:val="null3"/>
        <w:ind w:firstLine="480"/>
        <w:jc w:val="both"/>
      </w:pPr>
      <w:r>
        <w:rPr>
          <w:sz w:val="24"/>
        </w:rPr>
        <w:t>（</w:t>
      </w:r>
      <w:r>
        <w:rPr>
          <w:sz w:val="24"/>
        </w:rPr>
        <w:t>2）乙方提供统一的公司服务热线号码，并提供投诉电话，指定项目负责人。</w:t>
      </w:r>
    </w:p>
    <w:p>
      <w:pPr>
        <w:pStyle w:val="null3"/>
        <w:ind w:firstLine="480"/>
        <w:jc w:val="both"/>
      </w:pPr>
      <w:r>
        <w:rPr>
          <w:sz w:val="24"/>
        </w:rPr>
        <w:t>（</w:t>
      </w:r>
      <w:r>
        <w:rPr>
          <w:sz w:val="24"/>
        </w:rPr>
        <w:t>3）乙方的服务人员需自备服务维护工具。</w:t>
      </w:r>
    </w:p>
    <w:p>
      <w:pPr>
        <w:pStyle w:val="null3"/>
        <w:ind w:firstLine="480"/>
        <w:jc w:val="both"/>
      </w:pPr>
      <w:r>
        <w:rPr>
          <w:sz w:val="24"/>
        </w:rPr>
        <w:t>（</w:t>
      </w:r>
      <w:r>
        <w:rPr>
          <w:sz w:val="24"/>
        </w:rPr>
        <w:t>4）乙方的服务人员应严格遵守有关法律法规和内部规章制度，不得擅自翻阅、复制、传播所接触的资料或数据。</w:t>
      </w:r>
    </w:p>
    <w:p>
      <w:pPr>
        <w:pStyle w:val="null3"/>
        <w:ind w:firstLine="480"/>
        <w:jc w:val="both"/>
      </w:pPr>
      <w:r>
        <w:rPr>
          <w:sz w:val="24"/>
        </w:rPr>
        <w:t>（</w:t>
      </w:r>
      <w:r>
        <w:rPr>
          <w:sz w:val="24"/>
        </w:rPr>
        <w:t>5）乙方应和维护人员在上岗前签署保密协议书，负责约束有关员工的保密工作。</w:t>
      </w:r>
    </w:p>
    <w:p>
      <w:pPr>
        <w:pStyle w:val="null3"/>
        <w:ind w:firstLine="555"/>
        <w:jc w:val="both"/>
      </w:pPr>
      <w:r>
        <w:rPr>
          <w:sz w:val="24"/>
          <w:b/>
        </w:rPr>
        <w:t>四、服务期限</w:t>
      </w:r>
    </w:p>
    <w:p>
      <w:pPr>
        <w:pStyle w:val="null3"/>
        <w:ind w:firstLine="435"/>
        <w:jc w:val="both"/>
      </w:pPr>
      <w:r>
        <w:rPr>
          <w:sz w:val="24"/>
        </w:rPr>
        <w:t>本项目服务期限为</w:t>
      </w:r>
      <w:r>
        <w:rPr>
          <w:sz w:val="24"/>
        </w:rPr>
        <w:t>12个月，自签订合同之日起计算，具体时间以项目合同为准。</w:t>
      </w:r>
    </w:p>
    <w:p>
      <w:pPr>
        <w:pStyle w:val="null3"/>
        <w:ind w:firstLine="482"/>
        <w:jc w:val="both"/>
      </w:pPr>
      <w:r>
        <w:rPr>
          <w:sz w:val="24"/>
          <w:b/>
        </w:rPr>
        <w:t>五、付款方式</w:t>
      </w:r>
    </w:p>
    <w:p>
      <w:pPr>
        <w:pStyle w:val="null3"/>
        <w:ind w:firstLine="480"/>
        <w:jc w:val="both"/>
      </w:pPr>
      <w:r>
        <w:rPr>
          <w:sz w:val="24"/>
        </w:rPr>
        <w:t>1期：支付比例30%,1.签订合同后五个工作日内甲方支付乙方合同金额的30%；</w:t>
      </w:r>
    </w:p>
    <w:p>
      <w:pPr>
        <w:pStyle w:val="null3"/>
        <w:ind w:firstLine="480"/>
        <w:jc w:val="both"/>
      </w:pPr>
      <w:r>
        <w:rPr>
          <w:sz w:val="24"/>
        </w:rPr>
        <w:t>2期：支付比例70%,项目完成且经甲方验收合格后10个工作日内支付剩余合同金额的70%。</w:t>
      </w:r>
    </w:p>
    <w:p>
      <w:pPr>
        <w:pStyle w:val="null3"/>
        <w:ind w:firstLine="480"/>
        <w:jc w:val="both"/>
      </w:pPr>
      <w:r>
        <w:rPr>
          <w:sz w:val="24"/>
        </w:rPr>
        <w:t>注：乙方在每次请款时提供等额发票，甲方收到发票审核无误后支付相应款项。</w:t>
      </w:r>
      <w:r>
        <w:rPr>
          <w:sz w:val="24"/>
        </w:rPr>
        <w:t>如项目发生合同融资，甲方需将合同款项支付到合同约定收款账户。</w:t>
      </w:r>
    </w:p>
    <w:p>
      <w:pPr>
        <w:pStyle w:val="null3"/>
        <w:ind w:firstLine="482"/>
        <w:jc w:val="both"/>
      </w:pPr>
      <w:r>
        <w:rPr>
          <w:sz w:val="24"/>
          <w:b/>
        </w:rPr>
        <w:t>六、验收</w:t>
      </w:r>
    </w:p>
    <w:p>
      <w:pPr>
        <w:pStyle w:val="null3"/>
        <w:ind w:firstLine="480"/>
        <w:jc w:val="both"/>
      </w:pPr>
      <w:r>
        <w:rPr>
          <w:sz w:val="24"/>
        </w:rPr>
        <w:t>双方确定，按以下标准和方式对</w:t>
      </w:r>
      <w:r>
        <w:rPr>
          <w:sz w:val="24"/>
        </w:rPr>
        <w:t>乙方</w:t>
      </w:r>
      <w:r>
        <w:rPr>
          <w:sz w:val="24"/>
        </w:rPr>
        <w:t>提交的技术服务（维保）工作成果进行验收：</w:t>
      </w:r>
    </w:p>
    <w:p>
      <w:pPr>
        <w:pStyle w:val="null3"/>
        <w:ind w:firstLine="480"/>
        <w:jc w:val="both"/>
      </w:pPr>
      <w:r>
        <w:rPr>
          <w:sz w:val="24"/>
        </w:rPr>
        <w:t>（</w:t>
      </w:r>
      <w:r>
        <w:rPr>
          <w:sz w:val="24"/>
        </w:rPr>
        <w:t>1）</w:t>
      </w:r>
      <w:r>
        <w:rPr>
          <w:sz w:val="24"/>
        </w:rPr>
        <w:t>乙方</w:t>
      </w:r>
      <w:r>
        <w:rPr>
          <w:sz w:val="24"/>
        </w:rPr>
        <w:t>完成技术服务（维保）工作的形式及交付物：《采购项目履约验收书</w:t>
      </w:r>
      <w:r>
        <w:rPr>
          <w:sz w:val="24"/>
        </w:rPr>
        <w:t>(服务类)》。</w:t>
      </w:r>
    </w:p>
    <w:p>
      <w:pPr>
        <w:pStyle w:val="null3"/>
        <w:ind w:firstLine="480"/>
        <w:jc w:val="both"/>
      </w:pPr>
      <w:r>
        <w:rPr>
          <w:sz w:val="24"/>
        </w:rPr>
        <w:t>（</w:t>
      </w:r>
      <w:r>
        <w:rPr>
          <w:sz w:val="24"/>
        </w:rPr>
        <w:t>2）技术服务（维保）工作成果的验收方法：由甲方组织技术服务评估。</w:t>
      </w:r>
    </w:p>
    <w:p>
      <w:pPr>
        <w:pStyle w:val="null3"/>
        <w:ind w:firstLine="480"/>
        <w:jc w:val="both"/>
      </w:pPr>
      <w:r>
        <w:rPr>
          <w:sz w:val="24"/>
        </w:rPr>
        <w:t>（</w:t>
      </w:r>
      <w:r>
        <w:rPr>
          <w:sz w:val="24"/>
        </w:rPr>
        <w:t>3）验收的时间和地点：</w:t>
      </w:r>
      <w:r>
        <w:rPr>
          <w:sz w:val="24"/>
        </w:rPr>
        <w:t>乙方</w:t>
      </w:r>
      <w:r>
        <w:rPr>
          <w:sz w:val="24"/>
        </w:rPr>
        <w:t>按质按量完成技术（维保）服务后提出验收申请，甲方收到申请后</w:t>
      </w:r>
      <w:r>
        <w:rPr>
          <w:sz w:val="24"/>
        </w:rPr>
        <w:t>7日内组织技术（维保）服务评估，验收地点为汕头市潮阳区大峰医院。</w:t>
      </w:r>
    </w:p>
    <w:p>
      <w:pPr>
        <w:pStyle w:val="null3"/>
        <w:ind w:firstLine="480"/>
        <w:jc w:val="both"/>
      </w:pPr>
      <w:r>
        <w:rPr>
          <w:sz w:val="24"/>
        </w:rPr>
        <w:t>（</w:t>
      </w:r>
      <w:r>
        <w:rPr>
          <w:sz w:val="24"/>
        </w:rPr>
        <w:t>4）</w:t>
      </w:r>
      <w:r>
        <w:rPr>
          <w:sz w:val="24"/>
        </w:rPr>
        <w:t>乙方</w:t>
      </w:r>
      <w:r>
        <w:rPr>
          <w:sz w:val="24"/>
        </w:rPr>
        <w:t>向甲方提交的工作成果不得侵害第三方的知识产权。</w:t>
      </w:r>
    </w:p>
    <w:p>
      <w:pPr>
        <w:pStyle w:val="null3"/>
        <w:ind w:firstLine="482"/>
        <w:jc w:val="both"/>
      </w:pPr>
      <w:r>
        <w:rPr>
          <w:sz w:val="24"/>
          <w:b/>
        </w:rPr>
        <w:t>七、知识产权产权归属</w:t>
      </w:r>
    </w:p>
    <w:p>
      <w:pPr>
        <w:pStyle w:val="null3"/>
        <w:ind w:firstLine="480"/>
        <w:jc w:val="both"/>
      </w:pPr>
      <w:r>
        <w:rPr>
          <w:sz w:val="24"/>
        </w:rPr>
        <w:t>1..本合同产品的知识产权受中华人民共和国相关法律法规的保护。甲方及甲方工作人员不得擅自对本合同产品进行修改、复制、拷贝、改变用途或以任何方式将本合同产品转让、提供给第三方。甲方同意根据《中华人民共和国著作权法》等计算机有关软件保护法规的规定维护乙方公司的知识产权。</w:t>
      </w:r>
    </w:p>
    <w:p>
      <w:pPr>
        <w:pStyle w:val="null3"/>
        <w:ind w:firstLine="480"/>
        <w:jc w:val="both"/>
      </w:pPr>
      <w:r>
        <w:rPr>
          <w:sz w:val="24"/>
        </w:rPr>
        <w:t>2.乙方应保证所提供的服务或其任何一部分均不会侵犯任何第三方的专利权、商标权或著作权，如若侵权，视为乙方违约，乙方应负担由此而产生的一切责任。</w:t>
      </w:r>
    </w:p>
    <w:p>
      <w:pPr>
        <w:pStyle w:val="null3"/>
        <w:ind w:firstLine="482"/>
        <w:jc w:val="both"/>
      </w:pPr>
      <w:r>
        <w:rPr>
          <w:sz w:val="24"/>
          <w:b/>
        </w:rPr>
        <w:t>八、保密</w:t>
      </w:r>
    </w:p>
    <w:p>
      <w:pPr>
        <w:pStyle w:val="null3"/>
        <w:ind w:firstLine="480"/>
        <w:jc w:val="both"/>
      </w:pPr>
      <w:r>
        <w:rPr>
          <w:sz w:val="24"/>
        </w:rPr>
        <w:t>乙方在项目过程中需严格遵守保密协议，严禁向任何第三方披露或透露涉及甲方商业秘密的任何资料，若乙方发生保密资料或数据泄密等事件，需承担全部责任。</w:t>
      </w:r>
    </w:p>
    <w:p>
      <w:pPr>
        <w:pStyle w:val="null3"/>
        <w:ind w:left="480"/>
        <w:jc w:val="both"/>
      </w:pPr>
      <w:r>
        <w:rPr>
          <w:sz w:val="24"/>
          <w:b/>
        </w:rPr>
        <w:t>九、违约责任与赔偿损失</w:t>
      </w:r>
    </w:p>
    <w:p>
      <w:pPr>
        <w:pStyle w:val="null3"/>
        <w:ind w:firstLine="480"/>
        <w:jc w:val="both"/>
      </w:pPr>
      <w:r>
        <w:rPr>
          <w:sz w:val="24"/>
        </w:rPr>
        <w:t>1) 乙方提供的服务不符合采购文件、报价文件或本合同规定的，甲方有权拒收，并且乙方须向甲方方支付本合同总价5%的违约金。</w:t>
      </w:r>
    </w:p>
    <w:p>
      <w:pPr>
        <w:pStyle w:val="null3"/>
        <w:ind w:firstLine="480"/>
        <w:jc w:val="both"/>
      </w:pPr>
      <w:r>
        <w:rPr>
          <w:sz w:val="24"/>
        </w:rPr>
        <w:t>2) 乙方未能按本合同规定的交货时间提供服务，从逾期之日起每日按本合同总价3‰的数额向甲方支付违约金；逾期半个月以上的，甲方有权终止合同，由此造成的甲方经济损失由乙方承担。</w:t>
      </w:r>
    </w:p>
    <w:p>
      <w:pPr>
        <w:pStyle w:val="null3"/>
        <w:ind w:firstLine="480"/>
        <w:jc w:val="both"/>
      </w:pPr>
      <w:r>
        <w:rPr>
          <w:sz w:val="24"/>
        </w:rPr>
        <w:t>3) 甲方无正当理由拒收接受服务，到期拒付服务款项的，甲方向乙方偿付本合同总的5%的违约金。甲方逾期付款，则每日按本合同总价的3‰向乙方偿付违约金。</w:t>
      </w:r>
    </w:p>
    <w:p>
      <w:pPr>
        <w:pStyle w:val="null3"/>
        <w:ind w:firstLine="480"/>
        <w:jc w:val="both"/>
      </w:pPr>
      <w:r>
        <w:rPr>
          <w:sz w:val="24"/>
        </w:rPr>
        <w:t>4) 其它违约责任按《中华人民共和国民法典》处理。</w:t>
      </w:r>
    </w:p>
    <w:p>
      <w:pPr>
        <w:pStyle w:val="null3"/>
        <w:ind w:firstLine="482"/>
        <w:jc w:val="both"/>
      </w:pPr>
      <w:r>
        <w:rPr>
          <w:sz w:val="24"/>
          <w:b/>
        </w:rPr>
        <w:t>十、争端的解决</w:t>
      </w:r>
    </w:p>
    <w:p>
      <w:pPr>
        <w:pStyle w:val="null3"/>
        <w:ind w:firstLine="480"/>
        <w:jc w:val="both"/>
      </w:pPr>
      <w:r>
        <w:rPr>
          <w:sz w:val="24"/>
        </w:rPr>
        <w:t>合同执行过程中发生的任何争议，如双方不能通过友好协商解决，甲、乙双方一致同意向甲方所在地人民法院提起诉讼。</w:t>
      </w:r>
    </w:p>
    <w:p>
      <w:pPr>
        <w:pStyle w:val="null3"/>
        <w:ind w:firstLine="482"/>
        <w:jc w:val="both"/>
      </w:pPr>
      <w:r>
        <w:rPr>
          <w:sz w:val="24"/>
          <w:b/>
        </w:rPr>
        <w:t>十一、不可抗力</w:t>
      </w:r>
    </w:p>
    <w:p>
      <w:pPr>
        <w:pStyle w:val="null3"/>
        <w:ind w:firstLine="480"/>
        <w:jc w:val="both"/>
      </w:pPr>
      <w:r>
        <w:rPr>
          <w:sz w:val="24"/>
        </w:rPr>
        <w:t>任何一方由于不可抗力原因不能履行合同时，应在不可抗力事件结束后</w:t>
      </w:r>
      <w:r>
        <w:rPr>
          <w:sz w:val="24"/>
        </w:rPr>
        <w:t>1日内向对方通报，以减轻可能给对方造成的损失，在取得有关机构的不可抗力证明或双方谅解确认后，允许延期履行或修订合同，并根据情况可部分或全部免于承担违约责任。</w:t>
      </w:r>
    </w:p>
    <w:p>
      <w:pPr>
        <w:pStyle w:val="null3"/>
        <w:ind w:firstLine="482"/>
        <w:jc w:val="both"/>
      </w:pPr>
      <w:r>
        <w:rPr>
          <w:sz w:val="24"/>
          <w:b/>
        </w:rPr>
        <w:t>十二、税费</w:t>
      </w:r>
    </w:p>
    <w:p>
      <w:pPr>
        <w:pStyle w:val="null3"/>
        <w:ind w:firstLine="480"/>
        <w:jc w:val="both"/>
      </w:pPr>
      <w:r>
        <w:rPr>
          <w:sz w:val="24"/>
        </w:rPr>
        <w:t>在中国境内、外发生的与本合同执行有关的一切税费均由乙方负担。</w:t>
      </w:r>
    </w:p>
    <w:p>
      <w:pPr>
        <w:pStyle w:val="null3"/>
        <w:ind w:firstLine="482"/>
        <w:jc w:val="both"/>
      </w:pPr>
      <w:r>
        <w:rPr>
          <w:sz w:val="24"/>
          <w:b/>
        </w:rPr>
        <w:t>十三、其它</w:t>
      </w:r>
    </w:p>
    <w:p>
      <w:pPr>
        <w:pStyle w:val="null3"/>
        <w:ind w:firstLine="480"/>
        <w:jc w:val="both"/>
      </w:pPr>
      <w:r>
        <w:rPr>
          <w:sz w:val="24"/>
        </w:rPr>
        <w:t>（</w:t>
      </w:r>
      <w:r>
        <w:rPr>
          <w:sz w:val="24"/>
        </w:rPr>
        <w:t>1）、本合同所有附件、招标文件、投标文件、中标通知书均为合同的有效组成部分，与本合同具有同等法律效力。</w:t>
      </w:r>
    </w:p>
    <w:p>
      <w:pPr>
        <w:pStyle w:val="null3"/>
        <w:ind w:firstLine="480"/>
        <w:jc w:val="both"/>
      </w:pPr>
      <w:r>
        <w:rPr>
          <w:sz w:val="24"/>
        </w:rPr>
        <w:t>（</w:t>
      </w:r>
      <w:r>
        <w:rPr>
          <w:sz w:val="24"/>
        </w:rPr>
        <w:t>2）、在执行本合同的过程中，所有经双方签署确认的文件（包括会议纪要、补充协议、往来信函）即成为本合同的有效组成部分。</w:t>
      </w:r>
    </w:p>
    <w:p>
      <w:pPr>
        <w:pStyle w:val="null3"/>
        <w:ind w:firstLine="480"/>
        <w:jc w:val="both"/>
      </w:pPr>
      <w:r>
        <w:rPr>
          <w:sz w:val="24"/>
        </w:rPr>
        <w:t>（</w:t>
      </w:r>
      <w:r>
        <w:rPr>
          <w:sz w:val="24"/>
        </w:rPr>
        <w:t>3）、如一方地址、电话、传真号码有变更，应在变更当日内书面通知对方，否则，应承担相应责任。</w:t>
      </w:r>
    </w:p>
    <w:p>
      <w:pPr>
        <w:pStyle w:val="null3"/>
        <w:ind w:firstLine="480"/>
        <w:jc w:val="both"/>
      </w:pPr>
      <w:r>
        <w:rPr>
          <w:sz w:val="24"/>
        </w:rPr>
        <w:t>（</w:t>
      </w:r>
      <w:r>
        <w:rPr>
          <w:sz w:val="24"/>
        </w:rPr>
        <w:t>4）、除甲方事先书面同意外，乙方不得部分或全部转让其应履行的合同项下的义务。</w:t>
      </w:r>
    </w:p>
    <w:p>
      <w:pPr>
        <w:pStyle w:val="null3"/>
        <w:ind w:firstLine="482"/>
        <w:jc w:val="both"/>
      </w:pPr>
      <w:r>
        <w:rPr>
          <w:sz w:val="24"/>
          <w:b/>
        </w:rPr>
        <w:t>十四、合同生效</w:t>
      </w:r>
    </w:p>
    <w:p>
      <w:pPr>
        <w:pStyle w:val="null3"/>
        <w:ind w:firstLine="480"/>
        <w:jc w:val="both"/>
      </w:pPr>
      <w:r>
        <w:rPr>
          <w:sz w:val="24"/>
        </w:rPr>
        <w:t>1）合同自甲乙双方法人代表或其授权代表签字盖章之日起生效。</w:t>
      </w:r>
    </w:p>
    <w:p>
      <w:pPr>
        <w:pStyle w:val="null3"/>
        <w:ind w:firstLine="480"/>
        <w:jc w:val="both"/>
      </w:pPr>
      <w:r>
        <w:rPr>
          <w:sz w:val="24"/>
        </w:rPr>
        <w:t>2）合同壹式份，其中甲乙双方各执份，采购代理机构执壹份，政府采购监督管理部门份。</w:t>
      </w:r>
    </w:p>
    <w:p>
      <w:pPr>
        <w:pStyle w:val="null3"/>
        <w:jc w:val="both"/>
      </w:pPr>
      <w:r>
        <w:rPr>
          <w:sz w:val="24"/>
          <w:b/>
        </w:rPr>
        <w:t>（以下无正文，为双方盖章处）</w:t>
      </w:r>
    </w:p>
    <w:p>
      <w:pPr>
        <w:pStyle w:val="null3"/>
        <w:jc w:val="both"/>
      </w:pPr>
      <w:r>
        <w:rPr>
          <w:sz w:val="24"/>
        </w:rPr>
        <w:t>甲方（盖章）：汕头市潮阳区大峰医院</w:t>
      </w:r>
      <w:r>
        <w:rPr>
          <w:sz w:val="24"/>
        </w:rPr>
        <w:t xml:space="preserve">       </w:t>
      </w:r>
      <w:r>
        <w:rPr>
          <w:sz w:val="24"/>
        </w:rPr>
        <w:t>乙方（盖章）：</w:t>
      </w:r>
    </w:p>
    <w:p>
      <w:pPr>
        <w:pStyle w:val="null3"/>
      </w:pPr>
      <w:r>
        <w:rPr>
          <w:sz w:val="24"/>
        </w:rPr>
        <w:t>甲方法定代表人</w:t>
      </w:r>
      <w:r>
        <w:rPr>
          <w:sz w:val="24"/>
        </w:rPr>
        <w:t>/委托代理人：              乙方法定代表人/委托代理人：</w:t>
      </w:r>
    </w:p>
    <w:p>
      <w:pPr>
        <w:pStyle w:val="null3"/>
      </w:pPr>
      <w:r>
        <w:rPr>
          <w:sz w:val="24"/>
        </w:rPr>
        <w:t>地址：</w:t>
      </w:r>
      <w:r>
        <w:rPr>
          <w:sz w:val="24"/>
        </w:rPr>
        <w:t xml:space="preserve">                                   </w:t>
      </w:r>
      <w:r>
        <w:rPr>
          <w:sz w:val="24"/>
        </w:rPr>
        <w:t>地址：</w:t>
      </w:r>
    </w:p>
    <w:p>
      <w:pPr>
        <w:pStyle w:val="null3"/>
      </w:pPr>
      <w:r>
        <w:rPr>
          <w:sz w:val="24"/>
        </w:rPr>
        <w:t>邮政编码：</w:t>
      </w:r>
      <w:r>
        <w:rPr>
          <w:sz w:val="24"/>
        </w:rPr>
        <w:t xml:space="preserve">                               </w:t>
      </w:r>
      <w:r>
        <w:rPr>
          <w:sz w:val="24"/>
        </w:rPr>
        <w:t>邮政编码：</w:t>
      </w:r>
    </w:p>
    <w:p>
      <w:pPr>
        <w:pStyle w:val="null3"/>
      </w:pPr>
      <w:r>
        <w:rPr>
          <w:sz w:val="24"/>
        </w:rPr>
        <w:t>电话：</w:t>
      </w:r>
      <w:r>
        <w:rPr>
          <w:sz w:val="24"/>
        </w:rPr>
        <w:t xml:space="preserve">                                   </w:t>
      </w:r>
      <w:r>
        <w:rPr>
          <w:sz w:val="24"/>
        </w:rPr>
        <w:t>电话：</w:t>
      </w:r>
    </w:p>
    <w:p>
      <w:pPr>
        <w:pStyle w:val="null3"/>
        <w:jc w:val="both"/>
      </w:pPr>
      <w:r>
        <w:rPr>
          <w:sz w:val="24"/>
        </w:rPr>
        <w:t>传</w:t>
      </w:r>
      <w:r>
        <w:rPr>
          <w:sz w:val="24"/>
        </w:rPr>
        <w:t xml:space="preserve">  </w:t>
      </w:r>
      <w:r>
        <w:rPr>
          <w:sz w:val="24"/>
        </w:rPr>
        <w:t>真：</w:t>
      </w:r>
      <w:r>
        <w:rPr>
          <w:sz w:val="24"/>
        </w:rPr>
        <w:t xml:space="preserve">                                 </w:t>
      </w:r>
      <w:r>
        <w:rPr>
          <w:sz w:val="24"/>
        </w:rPr>
        <w:t>传</w:t>
      </w:r>
      <w:r>
        <w:rPr>
          <w:sz w:val="24"/>
        </w:rPr>
        <w:t xml:space="preserve">  </w:t>
      </w:r>
      <w:r>
        <w:rPr>
          <w:sz w:val="24"/>
        </w:rPr>
        <w:t>真：</w:t>
      </w:r>
    </w:p>
    <w:p>
      <w:pPr>
        <w:pStyle w:val="null3"/>
        <w:jc w:val="both"/>
      </w:pP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签约日期：</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r>
        <w:rPr>
          <w:sz w:val="24"/>
          <w:b/>
        </w:rPr>
        <w:t>关于政府采购合同融资贷款</w:t>
      </w:r>
    </w:p>
    <w:p>
      <w:pPr>
        <w:pStyle w:val="null3"/>
        <w:jc w:val="both"/>
      </w:pPr>
      <w:r>
        <w:rPr>
          <w:sz w:val="24"/>
        </w:rPr>
        <w:t>(1)乙方是否已申请政府采购合同融资贷款（在□打√表示）：□是   □否。融资银行及联系人、联系方式：_________________________________。</w:t>
      </w:r>
    </w:p>
    <w:p>
      <w:pPr>
        <w:pStyle w:val="null3"/>
        <w:jc w:val="both"/>
      </w:pPr>
      <w:r>
        <w:rPr>
          <w:sz w:val="24"/>
        </w:rPr>
        <w:t>(2)若乙方已申请政府采购合同融资贷款，其在本合同中登记的银行帐号为融资银行的唯一收款账号，未获得融资银行同意，乙方不得变更收款账号。</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440513-2025-03803</w:t>
      </w:r>
    </w:p>
    <w:p>
      <w:pPr>
        <w:pStyle w:val="null3"/>
        <w:jc w:val="center"/>
        <w:outlineLvl w:val="3"/>
      </w:pPr>
      <w:r>
        <w:rPr>
          <w:sz w:val="24"/>
          <w:b/>
        </w:rPr>
        <w:t>采购项目编号：</w:t>
      </w:r>
      <w:r>
        <w:rPr>
          <w:sz w:val="24"/>
          <w:b/>
        </w:rPr>
        <w:t>0724-2531Z1438864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国义招标股份有限公司</w:t>
      </w:r>
    </w:p>
    <w:p>
      <w:pPr>
        <w:pStyle w:val="null3"/>
        <w:ind w:firstLine="480"/>
      </w:pPr>
      <w:r>
        <w:rPr/>
        <w:t xml:space="preserve"> 你方组织的</w:t>
      </w:r>
      <w:r>
        <w:rPr>
          <w:u w:val="single"/>
        </w:rPr>
        <w:t>“</w:t>
      </w:r>
      <w:r>
        <w:rPr>
          <w:u w:val="single"/>
        </w:rPr>
        <w:t>汕头市潮阳区大峰医院信息管理系统及配套设备运维项目</w:t>
      </w:r>
      <w:r>
        <w:rPr>
          <w:u w:val="single"/>
        </w:rPr>
        <w:t>”</w:t>
      </w:r>
      <w:r>
        <w:rPr/>
        <w:t>项目的招标[采购项目编号为：</w:t>
      </w:r>
      <w:r>
        <w:rPr>
          <w:u w:val="single"/>
        </w:rPr>
        <w:t>0724-2531Z1438864</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汕头市潮阳区大峰医院信息管理系统及配套设备运维项目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汕头市潮阳区大峰医院信息管理系统及配套设备运维项目</w:t>
      </w:r>
      <w:r>
        <w:rPr/>
        <w:t>”项目采购[采购项目编号为</w:t>
      </w:r>
      <w:r>
        <w:rPr/>
        <w:t>0724-2531Z1438864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汕头市潮阳区大峰医院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国义招标股份有限公司</w:t>
      </w:r>
    </w:p>
    <w:p>
      <w:pPr>
        <w:pStyle w:val="null3"/>
        <w:ind w:firstLine="480"/>
      </w:pPr>
      <w:r>
        <w:rPr/>
        <w:t xml:space="preserve"> 如果我方在贵采购代理机构组织的</w:t>
      </w:r>
      <w:r>
        <w:rPr/>
        <w:t>汕头市潮阳区大峰医院信息管理系统及配套设备运维项目</w:t>
      </w:r>
      <w:r>
        <w:rPr/>
        <w:t>招标中获中标（采购项目编号：</w:t>
      </w:r>
      <w:r>
        <w:rPr/>
        <w:t>0724-2531Z1438864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 xml:space="preserve">国义招标股份有限公司 </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国义招标股份有限公司</w:t>
      </w:r>
    </w:p>
    <w:p>
      <w:pPr>
        <w:pStyle w:val="null3"/>
        <w:ind w:firstLine="480"/>
      </w:pPr>
      <w:r>
        <w:rPr/>
        <w:t>我单位已登记并准备参与“</w:t>
      </w:r>
      <w:r>
        <w:rPr/>
        <w:t>汕头市潮阳区大峰医院信息管理系统及配套设备运维项目</w:t>
      </w:r>
      <w:r>
        <w:rPr/>
        <w:t>”项目（采购项目编号：</w:t>
      </w:r>
      <w:r>
        <w:rPr/>
        <w:t>0724-2531Z1438864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